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image/svg+xml" Extension="svg"/>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drawingml.chart+xml" PartName="/word/charts/chart10.xml"/>
  <Override ContentType="application/vnd.openxmlformats-officedocument.drawingml.chart+xml" PartName="/word/charts/chart11.xml"/>
  <Override ContentType="application/vnd.openxmlformats-officedocument.drawingml.chart+xml" PartName="/word/charts/chart12.xml"/>
  <Override ContentType="application/vnd.openxmlformats-officedocument.drawingml.chart+xml" PartName="/word/charts/chart13.xml"/>
  <Override ContentType="application/vnd.openxmlformats-officedocument.drawingml.chart+xml" PartName="/word/charts/chart14.xml"/>
  <Override ContentType="application/vnd.openxmlformats-officedocument.drawingml.chart+xml" PartName="/word/charts/chart15.xml"/>
  <Override ContentType="application/vnd.openxmlformats-officedocument.drawingml.chart+xml" PartName="/word/charts/chart16.xml"/>
  <Override ContentType="application/vnd.openxmlformats-officedocument.drawingml.chart+xml" PartName="/word/charts/chart17.xml"/>
  <Override ContentType="application/vnd.openxmlformats-officedocument.drawingml.chart+xml" PartName="/word/charts/chart18.xml"/>
  <Override ContentType="application/vnd.openxmlformats-officedocument.drawingml.chart+xml" PartName="/word/charts/chart19.xml"/>
  <Override ContentType="application/vnd.openxmlformats-officedocument.drawingml.chart+xml" PartName="/word/charts/chart20.xml"/>
  <Override ContentType="application/vnd.openxmlformats-officedocument.drawingml.chart+xml" PartName="/word/charts/chart21.xml"/>
  <Override ContentType="application/vnd.openxmlformats-officedocument.drawingml.chart+xml" PartName="/word/charts/chart22.xml"/>
  <Override ContentType="application/vnd.openxmlformats-officedocument.drawingml.chart+xml" PartName="/word/charts/chart23.xml"/>
  <Override ContentType="application/vnd.openxmlformats-officedocument.drawingml.chart+xml" PartName="/word/charts/chart24.xml"/>
  <Override ContentType="application/vnd.openxmlformats-officedocument.drawingml.chart+xml" PartName="/word/charts/chart25.xml"/>
  <Override ContentType="application/vnd.openxmlformats-officedocument.drawingml.chart+xml" PartName="/word/charts/chart26.xml"/>
  <Override ContentType="application/vnd.openxmlformats-officedocument.drawingml.chart+xml" PartName="/word/charts/chart27.xml"/>
  <Override ContentType="application/vnd.openxmlformats-officedocument.drawingml.chart+xml" PartName="/word/charts/chart28.xml"/>
  <Override ContentType="application/vnd.openxmlformats-officedocument.drawingml.chart+xml" PartName="/word/charts/chart29.xml"/>
  <Override ContentType="application/vnd.openxmlformats-officedocument.drawingml.chart+xml" PartName="/word/charts/chart30.xml"/>
  <Override ContentType="application/vnd.openxmlformats-officedocument.drawingml.chart+xml" PartName="/word/charts/chart31.xml"/>
  <Override ContentType="application/vnd.openxmlformats-officedocument.drawingml.chart+xml" PartName="/word/charts/chart32.xml"/>
  <Override ContentType="application/vnd.openxmlformats-officedocument.drawingml.chart+xml" PartName="/word/charts/chart33.xml"/>
  <Override ContentType="application/vnd.openxmlformats-officedocument.drawingml.chart+xml" PartName="/word/charts/chart34.xml"/>
  <Override ContentType="application/vnd.openxmlformats-officedocument.drawingml.chart+xml" PartName="/word/charts/chart35.xml"/>
  <Override ContentType="application/vnd.openxmlformats-officedocument.drawingml.chart+xml" PartName="/word/charts/chart36.xml"/>
  <Override ContentType="application/vnd.openxmlformats-officedocument.drawingml.chart+xml" PartName="/word/charts/chart37.xml"/>
  <Override ContentType="application/vnd.openxmlformats-officedocument.drawingml.chart+xml" PartName="/word/charts/chart38.xml"/>
  <Override ContentType="application/vnd.openxmlformats-officedocument.drawingml.chart+xml" PartName="/word/charts/chart39.xml"/>
  <Override ContentType="application/vnd.openxmlformats-officedocument.drawingml.chart+xml" PartName="/word/charts/chart40.xml"/>
  <Override ContentType="application/vnd.openxmlformats-officedocument.drawingml.chart+xml" PartName="/word/charts/chart41.xml"/>
  <Override ContentType="application/vnd.openxmlformats-officedocument.drawingml.chart+xml" PartName="/word/charts/chart42.xml"/>
  <Override ContentType="application/vnd.openxmlformats-officedocument.drawingml.chart+xml" PartName="/word/charts/chart43.xml"/>
  <Override ContentType="application/vnd.openxmlformats-officedocument.drawingml.chart+xml" PartName="/word/charts/chart44.xml"/>
  <Override ContentType="application/vnd.openxmlformats-officedocument.drawingml.chart+xml" PartName="/word/charts/chart45.xml"/>
  <Override ContentType="application/vnd.openxmlformats-officedocument.drawingml.chart+xml" PartName="/word/charts/chart46.xml"/>
  <Override ContentType="application/vnd.openxmlformats-officedocument.drawingml.chart+xml" PartName="/word/charts/chart47.xml"/>
  <Override ContentType="application/vnd.openxmlformats-officedocument.drawingml.chart+xml" PartName="/word/charts/chart48.xml"/>
  <Override ContentType="application/vnd.openxmlformats-officedocument.drawingml.chart+xml" PartName="/word/charts/chart49.xml"/>
  <Override ContentType="application/vnd.openxmlformats-officedocument.drawingml.chart+xml" PartName="/word/charts/chart50.xml"/>
  <Override ContentType="application/vnd.openxmlformats-officedocument.drawingml.chart+xml" PartName="/word/charts/chart51.xml"/>
  <Override ContentType="application/vnd.openxmlformats-officedocument.drawingml.chart+xml" PartName="/word/charts/chart52.xml"/>
  <Override ContentType="application/vnd.openxmlformats-officedocument.drawingml.chart+xml" PartName="/word/charts/chart53.xml"/>
  <Override ContentType="application/vnd.openxmlformats-officedocument.drawingml.chart+xml" PartName="/word/charts/chart54.xml"/>
  <Override ContentType="application/vnd.openxmlformats-officedocument.drawingml.chart+xml" PartName="/word/charts/chart55.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colorstyle+xml" PartName="/word/charts/colors4.xml"/>
  <Override ContentType="application/vnd.ms-office.chartcolorstyle+xml" PartName="/word/charts/colors5.xml"/>
  <Override ContentType="application/vnd.ms-office.chartcolorstyle+xml" PartName="/word/charts/colors6.xml"/>
  <Override ContentType="application/vnd.ms-office.chartcolorstyle+xml" PartName="/word/charts/colors7.xml"/>
  <Override ContentType="application/vnd.ms-office.chartcolorstyle+xml" PartName="/word/charts/colors8.xml"/>
  <Override ContentType="application/vnd.ms-office.chartcolorstyle+xml" PartName="/word/charts/colors9.xml"/>
  <Override ContentType="application/vnd.ms-office.chartcolorstyle+xml" PartName="/word/charts/colors10.xml"/>
  <Override ContentType="application/vnd.ms-office.chartcolorstyle+xml" PartName="/word/charts/colors11.xml"/>
  <Override ContentType="application/vnd.ms-office.chartcolorstyle+xml" PartName="/word/charts/colors12.xml"/>
  <Override ContentType="application/vnd.ms-office.chartcolorstyle+xml" PartName="/word/charts/colors13.xml"/>
  <Override ContentType="application/vnd.ms-office.chartcolorstyle+xml" PartName="/word/charts/colors14.xml"/>
  <Override ContentType="application/vnd.ms-office.chartcolorstyle+xml" PartName="/word/charts/colors15.xml"/>
  <Override ContentType="application/vnd.ms-office.chartcolorstyle+xml" PartName="/word/charts/colors16.xml"/>
  <Override ContentType="application/vnd.ms-office.chartcolorstyle+xml" PartName="/word/charts/colors17.xml"/>
  <Override ContentType="application/vnd.ms-office.chartcolorstyle+xml" PartName="/word/charts/colors18.xml"/>
  <Override ContentType="application/vnd.ms-office.chartcolorstyle+xml" PartName="/word/charts/colors19.xml"/>
  <Override ContentType="application/vnd.ms-office.chartcolorstyle+xml" PartName="/word/charts/colors20.xml"/>
  <Override ContentType="application/vnd.ms-office.chartcolorstyle+xml" PartName="/word/charts/colors21.xml"/>
  <Override ContentType="application/vnd.ms-office.chartcolorstyle+xml" PartName="/word/charts/colors22.xml"/>
  <Override ContentType="application/vnd.ms-office.chartcolorstyle+xml" PartName="/word/charts/colors23.xml"/>
  <Override ContentType="application/vnd.ms-office.chartcolorstyle+xml" PartName="/word/charts/colors24.xml"/>
  <Override ContentType="application/vnd.ms-office.chartcolorstyle+xml" PartName="/word/charts/colors25.xml"/>
  <Override ContentType="application/vnd.ms-office.chartcolorstyle+xml" PartName="/word/charts/colors26.xml"/>
  <Override ContentType="application/vnd.ms-office.chartcolorstyle+xml" PartName="/word/charts/colors27.xml"/>
  <Override ContentType="application/vnd.ms-office.chartcolorstyle+xml" PartName="/word/charts/colors28.xml"/>
  <Override ContentType="application/vnd.ms-office.chartcolorstyle+xml" PartName="/word/charts/colors29.xml"/>
  <Override ContentType="application/vnd.ms-office.chartcolorstyle+xml" PartName="/word/charts/colors30.xml"/>
  <Override ContentType="application/vnd.ms-office.chartcolorstyle+xml" PartName="/word/charts/colors31.xml"/>
  <Override ContentType="application/vnd.ms-office.chartcolorstyle+xml" PartName="/word/charts/colors32.xml"/>
  <Override ContentType="application/vnd.ms-office.chartcolorstyle+xml" PartName="/word/charts/colors33.xml"/>
  <Override ContentType="application/vnd.ms-office.chartcolorstyle+xml" PartName="/word/charts/colors34.xml"/>
  <Override ContentType="application/vnd.ms-office.chartcolorstyle+xml" PartName="/word/charts/colors35.xml"/>
  <Override ContentType="application/vnd.ms-office.chartcolorstyle+xml" PartName="/word/charts/colors36.xml"/>
  <Override ContentType="application/vnd.ms-office.chartcolorstyle+xml" PartName="/word/charts/colors37.xml"/>
  <Override ContentType="application/vnd.ms-office.chartcolorstyle+xml" PartName="/word/charts/colors38.xml"/>
  <Override ContentType="application/vnd.ms-office.chartcolorstyle+xml" PartName="/word/charts/colors39.xml"/>
  <Override ContentType="application/vnd.ms-office.chartcolorstyle+xml" PartName="/word/charts/colors40.xml"/>
  <Override ContentType="application/vnd.ms-office.chartcolorstyle+xml" PartName="/word/charts/colors41.xml"/>
  <Override ContentType="application/vnd.ms-office.chartcolorstyle+xml" PartName="/word/charts/colors42.xml"/>
  <Override ContentType="application/vnd.ms-office.chartcolorstyle+xml" PartName="/word/charts/colors43.xml"/>
  <Override ContentType="application/vnd.ms-office.chartcolorstyle+xml" PartName="/word/charts/colors44.xml"/>
  <Override ContentType="application/vnd.ms-office.chartcolorstyle+xml" PartName="/word/charts/colors45.xml"/>
  <Override ContentType="application/vnd.ms-office.chartcolorstyle+xml" PartName="/word/charts/colors46.xml"/>
  <Override ContentType="application/vnd.ms-office.chartcolorstyle+xml" PartName="/word/charts/colors47.xml"/>
  <Override ContentType="application/vnd.ms-office.chartcolorstyle+xml" PartName="/word/charts/colors48.xml"/>
  <Override ContentType="application/vnd.ms-office.chartcolorstyle+xml" PartName="/word/charts/colors49.xml"/>
  <Override ContentType="application/vnd.ms-office.chartcolorstyle+xml" PartName="/word/charts/colors50.xml"/>
  <Override ContentType="application/vnd.ms-office.chartcolorstyle+xml" PartName="/word/charts/colors51.xml"/>
  <Override ContentType="application/vnd.ms-office.chartcolorstyle+xml" PartName="/word/charts/colors52.xml"/>
  <Override ContentType="application/vnd.ms-office.chartcolorstyle+xml" PartName="/word/charts/colors53.xml"/>
  <Override ContentType="application/vnd.ms-office.chartcolorstyle+xml" PartName="/word/charts/colors54.xml"/>
  <Override ContentType="application/vnd.ms-office.chartcolorstyle+xml" PartName="/word/charts/colors55.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ms-office.chartstyle+xml" PartName="/word/charts/style4.xml"/>
  <Override ContentType="application/vnd.ms-office.chartstyle+xml" PartName="/word/charts/style5.xml"/>
  <Override ContentType="application/vnd.ms-office.chartstyle+xml" PartName="/word/charts/style6.xml"/>
  <Override ContentType="application/vnd.ms-office.chartstyle+xml" PartName="/word/charts/style7.xml"/>
  <Override ContentType="application/vnd.ms-office.chartstyle+xml" PartName="/word/charts/style8.xml"/>
  <Override ContentType="application/vnd.ms-office.chartstyle+xml" PartName="/word/charts/style9.xml"/>
  <Override ContentType="application/vnd.ms-office.chartstyle+xml" PartName="/word/charts/style10.xml"/>
  <Override ContentType="application/vnd.ms-office.chartstyle+xml" PartName="/word/charts/style11.xml"/>
  <Override ContentType="application/vnd.ms-office.chartstyle+xml" PartName="/word/charts/style12.xml"/>
  <Override ContentType="application/vnd.ms-office.chartstyle+xml" PartName="/word/charts/style13.xml"/>
  <Override ContentType="application/vnd.ms-office.chartstyle+xml" PartName="/word/charts/style14.xml"/>
  <Override ContentType="application/vnd.ms-office.chartstyle+xml" PartName="/word/charts/style15.xml"/>
  <Override ContentType="application/vnd.ms-office.chartstyle+xml" PartName="/word/charts/style16.xml"/>
  <Override ContentType="application/vnd.ms-office.chartstyle+xml" PartName="/word/charts/style17.xml"/>
  <Override ContentType="application/vnd.ms-office.chartstyle+xml" PartName="/word/charts/style18.xml"/>
  <Override ContentType="application/vnd.ms-office.chartstyle+xml" PartName="/word/charts/style19.xml"/>
  <Override ContentType="application/vnd.ms-office.chartstyle+xml" PartName="/word/charts/style20.xml"/>
  <Override ContentType="application/vnd.ms-office.chartstyle+xml" PartName="/word/charts/style21.xml"/>
  <Override ContentType="application/vnd.ms-office.chartstyle+xml" PartName="/word/charts/style22.xml"/>
  <Override ContentType="application/vnd.ms-office.chartstyle+xml" PartName="/word/charts/style23.xml"/>
  <Override ContentType="application/vnd.ms-office.chartstyle+xml" PartName="/word/charts/style24.xml"/>
  <Override ContentType="application/vnd.ms-office.chartstyle+xml" PartName="/word/charts/style25.xml"/>
  <Override ContentType="application/vnd.ms-office.chartstyle+xml" PartName="/word/charts/style26.xml"/>
  <Override ContentType="application/vnd.ms-office.chartstyle+xml" PartName="/word/charts/style27.xml"/>
  <Override ContentType="application/vnd.ms-office.chartstyle+xml" PartName="/word/charts/style28.xml"/>
  <Override ContentType="application/vnd.ms-office.chartstyle+xml" PartName="/word/charts/style29.xml"/>
  <Override ContentType="application/vnd.ms-office.chartstyle+xml" PartName="/word/charts/style30.xml"/>
  <Override ContentType="application/vnd.ms-office.chartstyle+xml" PartName="/word/charts/style31.xml"/>
  <Override ContentType="application/vnd.ms-office.chartstyle+xml" PartName="/word/charts/style32.xml"/>
  <Override ContentType="application/vnd.ms-office.chartstyle+xml" PartName="/word/charts/style33.xml"/>
  <Override ContentType="application/vnd.ms-office.chartstyle+xml" PartName="/word/charts/style34.xml"/>
  <Override ContentType="application/vnd.ms-office.chartstyle+xml" PartName="/word/charts/style35.xml"/>
  <Override ContentType="application/vnd.ms-office.chartstyle+xml" PartName="/word/charts/style36.xml"/>
  <Override ContentType="application/vnd.ms-office.chartstyle+xml" PartName="/word/charts/style37.xml"/>
  <Override ContentType="application/vnd.ms-office.chartstyle+xml" PartName="/word/charts/style38.xml"/>
  <Override ContentType="application/vnd.ms-office.chartstyle+xml" PartName="/word/charts/style39.xml"/>
  <Override ContentType="application/vnd.ms-office.chartstyle+xml" PartName="/word/charts/style40.xml"/>
  <Override ContentType="application/vnd.ms-office.chartstyle+xml" PartName="/word/charts/style41.xml"/>
  <Override ContentType="application/vnd.ms-office.chartstyle+xml" PartName="/word/charts/style42.xml"/>
  <Override ContentType="application/vnd.ms-office.chartstyle+xml" PartName="/word/charts/style43.xml"/>
  <Override ContentType="application/vnd.ms-office.chartstyle+xml" PartName="/word/charts/style44.xml"/>
  <Override ContentType="application/vnd.ms-office.chartstyle+xml" PartName="/word/charts/style45.xml"/>
  <Override ContentType="application/vnd.ms-office.chartstyle+xml" PartName="/word/charts/style46.xml"/>
  <Override ContentType="application/vnd.ms-office.chartstyle+xml" PartName="/word/charts/style47.xml"/>
  <Override ContentType="application/vnd.ms-office.chartstyle+xml" PartName="/word/charts/style48.xml"/>
  <Override ContentType="application/vnd.ms-office.chartstyle+xml" PartName="/word/charts/style49.xml"/>
  <Override ContentType="application/vnd.ms-office.chartstyle+xml" PartName="/word/charts/style50.xml"/>
  <Override ContentType="application/vnd.ms-office.chartstyle+xml" PartName="/word/charts/style51.xml"/>
  <Override ContentType="application/vnd.ms-office.chartstyle+xml" PartName="/word/charts/style52.xml"/>
  <Override ContentType="application/vnd.ms-office.chartstyle+xml" PartName="/word/charts/style53.xml"/>
  <Override ContentType="application/vnd.ms-office.chartstyle+xml" PartName="/word/charts/style54.xml"/>
  <Override ContentType="application/vnd.ms-office.chartstyle+xml" PartName="/word/charts/style55.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FCF79" w14:textId="38ADE958" w:rsidR="001F4F86" w:rsidRPr="00111DC0" w:rsidRDefault="00730539" w:rsidP="00350BA5">
      <w:pPr>
        <w:spacing w:after="0"/>
        <w:rPr>
          <w:rFonts w:cs="Arial"/>
        </w:rPr>
      </w:pPr>
      <w:bookmarkStart w:id="0" w:name="_GoBack"/>
      <w:bookmarkEnd w:id="0"/>
      <w:r w:rsidRPr="00111DC0">
        <w:rPr>
          <w:rFonts w:cs="Arial"/>
          <w:b/>
          <w:bCs/>
          <w:noProof/>
          <w:sz w:val="94"/>
          <w:szCs w:val="320"/>
          <w:lang w:eastAsia="es-ES"/>
        </w:rPr>
        <w:drawing>
          <wp:anchor distT="0" distB="0" distL="114300" distR="114300" simplePos="0" relativeHeight="251658240" behindDoc="0" locked="0" layoutInCell="1" allowOverlap="1" wp14:anchorId="589A7423" wp14:editId="7FBB9529">
            <wp:simplePos x="0" y="0"/>
            <wp:positionH relativeFrom="column">
              <wp:posOffset>17145</wp:posOffset>
            </wp:positionH>
            <wp:positionV relativeFrom="paragraph">
              <wp:posOffset>243840</wp:posOffset>
            </wp:positionV>
            <wp:extent cx="4250055" cy="1661795"/>
            <wp:effectExtent l="0" t="0" r="0" b="0"/>
            <wp:wrapSquare wrapText="bothSides"/>
            <wp:docPr id="2" name="Imagen 2"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Descripción generada automáticamente"/>
                    <pic:cNvPicPr/>
                  </pic:nvPicPr>
                  <pic:blipFill rotWithShape="1">
                    <a:blip r:embed="rId9">
                      <a:extLst>
                        <a:ext uri="{28A0092B-C50C-407E-A947-70E740481C1C}">
                          <a14:useLocalDpi xmlns:a14="http://schemas.microsoft.com/office/drawing/2010/main" val="0"/>
                        </a:ext>
                      </a:extLst>
                    </a:blip>
                    <a:srcRect l="10580"/>
                    <a:stretch/>
                  </pic:blipFill>
                  <pic:spPr bwMode="auto">
                    <a:xfrm>
                      <a:off x="0" y="0"/>
                      <a:ext cx="4250055" cy="1661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434B84E" w14:textId="76D97A7A" w:rsidR="001F4F86" w:rsidRPr="00111DC0" w:rsidRDefault="001F4F86" w:rsidP="00350BA5">
      <w:pPr>
        <w:spacing w:after="0"/>
        <w:rPr>
          <w:rFonts w:cs="Arial"/>
        </w:rPr>
      </w:pPr>
    </w:p>
    <w:p w14:paraId="34EA95BC" w14:textId="5DB99EB7" w:rsidR="001F4F86" w:rsidRPr="00111DC0" w:rsidRDefault="001F4F86" w:rsidP="00350BA5">
      <w:pPr>
        <w:spacing w:after="0"/>
        <w:rPr>
          <w:rFonts w:cs="Arial"/>
        </w:rPr>
      </w:pPr>
    </w:p>
    <w:p w14:paraId="6766865F" w14:textId="77777777" w:rsidR="0048344F" w:rsidRPr="00111DC0" w:rsidRDefault="0048344F" w:rsidP="00350BA5">
      <w:pPr>
        <w:spacing w:after="0" w:line="240" w:lineRule="auto"/>
        <w:jc w:val="left"/>
        <w:rPr>
          <w:rFonts w:cs="Arial"/>
          <w:b/>
          <w:bCs/>
          <w:sz w:val="94"/>
          <w:szCs w:val="320"/>
        </w:rPr>
      </w:pPr>
    </w:p>
    <w:p w14:paraId="633DC8FF" w14:textId="77777777" w:rsidR="0048344F" w:rsidRPr="00111DC0" w:rsidRDefault="0048344F" w:rsidP="00350BA5">
      <w:pPr>
        <w:spacing w:after="0" w:line="240" w:lineRule="auto"/>
        <w:jc w:val="left"/>
        <w:rPr>
          <w:rFonts w:cs="Arial"/>
          <w:b/>
          <w:bCs/>
          <w:sz w:val="94"/>
          <w:szCs w:val="320"/>
        </w:rPr>
      </w:pPr>
    </w:p>
    <w:p w14:paraId="696040B2" w14:textId="77777777" w:rsidR="00B86C2A" w:rsidRPr="00BF0DAA" w:rsidRDefault="00B86C2A" w:rsidP="00B86C2A">
      <w:pPr>
        <w:spacing w:line="240" w:lineRule="auto"/>
        <w:rPr>
          <w:b/>
          <w:bCs/>
          <w:sz w:val="72"/>
          <w:szCs w:val="72"/>
        </w:rPr>
      </w:pPr>
      <w:r>
        <w:rPr>
          <w:b/>
          <w:bCs/>
          <w:sz w:val="72"/>
          <w:szCs w:val="72"/>
        </w:rPr>
        <w:t>I Plan de i</w:t>
      </w:r>
      <w:r w:rsidRPr="00BF0DAA">
        <w:rPr>
          <w:b/>
          <w:bCs/>
          <w:sz w:val="72"/>
          <w:szCs w:val="72"/>
        </w:rPr>
        <w:t xml:space="preserve">gualdad </w:t>
      </w:r>
    </w:p>
    <w:p w14:paraId="6EDEE36A" w14:textId="014C17C9" w:rsidR="001F4F86" w:rsidRPr="00C17A5D" w:rsidRDefault="00730539" w:rsidP="00350BA5">
      <w:pPr>
        <w:spacing w:after="0" w:line="240" w:lineRule="auto"/>
        <w:rPr>
          <w:rFonts w:cs="Arial"/>
          <w:sz w:val="36"/>
          <w:szCs w:val="36"/>
        </w:rPr>
      </w:pPr>
      <w:proofErr w:type="gramStart"/>
      <w:r w:rsidRPr="00C17A5D">
        <w:rPr>
          <w:rFonts w:cs="Arial"/>
          <w:sz w:val="36"/>
          <w:szCs w:val="36"/>
        </w:rPr>
        <w:t>entre</w:t>
      </w:r>
      <w:proofErr w:type="gramEnd"/>
      <w:r w:rsidRPr="00C17A5D">
        <w:rPr>
          <w:rFonts w:cs="Arial"/>
          <w:sz w:val="36"/>
          <w:szCs w:val="36"/>
        </w:rPr>
        <w:t xml:space="preserve"> mujeres y hombres en la Administración General de la Comunidad Autónoma de La Rioja</w:t>
      </w:r>
    </w:p>
    <w:p w14:paraId="6BC0C062" w14:textId="0899AA0D" w:rsidR="001F4F86" w:rsidRPr="00B86C2A" w:rsidRDefault="00B86C2A" w:rsidP="00B86C2A">
      <w:pPr>
        <w:spacing w:line="240" w:lineRule="auto"/>
        <w:rPr>
          <w:b/>
          <w:bCs/>
          <w:sz w:val="40"/>
          <w:szCs w:val="40"/>
        </w:rPr>
      </w:pPr>
      <w:r>
        <w:rPr>
          <w:b/>
          <w:bCs/>
          <w:sz w:val="40"/>
          <w:szCs w:val="40"/>
        </w:rPr>
        <w:t>2022 - 2026</w:t>
      </w:r>
    </w:p>
    <w:p w14:paraId="36F7D2D8" w14:textId="5C607C63" w:rsidR="001F4F86" w:rsidRPr="00111DC0" w:rsidRDefault="001F4F86" w:rsidP="00350BA5">
      <w:pPr>
        <w:spacing w:after="0"/>
        <w:jc w:val="left"/>
        <w:rPr>
          <w:rFonts w:cs="Arial"/>
        </w:rPr>
      </w:pPr>
      <w:r w:rsidRPr="00111DC0">
        <w:rPr>
          <w:rFonts w:cs="Arial"/>
        </w:rPr>
        <w:br w:type="page"/>
      </w:r>
    </w:p>
    <w:p w14:paraId="13FC2133" w14:textId="45030A1C" w:rsidR="002D6E43" w:rsidRDefault="00693837" w:rsidP="002D6E43">
      <w:pPr>
        <w:pStyle w:val="TDC1"/>
        <w:spacing w:line="276" w:lineRule="auto"/>
        <w:rPr>
          <w:rFonts w:asciiTheme="minorHAnsi" w:eastAsiaTheme="minorEastAsia" w:hAnsiTheme="minorHAnsi"/>
          <w:noProof/>
          <w:color w:val="auto"/>
          <w:lang w:eastAsia="es-ES"/>
        </w:rPr>
      </w:pPr>
      <w:r>
        <w:rPr>
          <w:rFonts w:cs="Arial"/>
        </w:rPr>
        <w:lastRenderedPageBreak/>
        <w:fldChar w:fldCharType="begin"/>
      </w:r>
      <w:r>
        <w:rPr>
          <w:rFonts w:cs="Arial"/>
        </w:rPr>
        <w:instrText xml:space="preserve"> TOC \o "1-2" \u </w:instrText>
      </w:r>
      <w:r>
        <w:rPr>
          <w:rFonts w:cs="Arial"/>
        </w:rPr>
        <w:fldChar w:fldCharType="separate"/>
      </w:r>
      <w:r w:rsidR="002D6E43" w:rsidRPr="005705DF">
        <w:rPr>
          <w:rFonts w:cs="Arial"/>
          <w:noProof/>
        </w:rPr>
        <w:t>INTRODUCCIÓN</w:t>
      </w:r>
      <w:r w:rsidR="002D6E43">
        <w:rPr>
          <w:noProof/>
        </w:rPr>
        <w:tab/>
      </w:r>
      <w:r w:rsidR="002D6E43">
        <w:rPr>
          <w:noProof/>
        </w:rPr>
        <w:fldChar w:fldCharType="begin"/>
      </w:r>
      <w:r w:rsidR="002D6E43">
        <w:rPr>
          <w:noProof/>
        </w:rPr>
        <w:instrText xml:space="preserve"> PAGEREF _Toc122080778 \h </w:instrText>
      </w:r>
      <w:r w:rsidR="002D6E43">
        <w:rPr>
          <w:noProof/>
        </w:rPr>
      </w:r>
      <w:r w:rsidR="002D6E43">
        <w:rPr>
          <w:noProof/>
        </w:rPr>
        <w:fldChar w:fldCharType="separate"/>
      </w:r>
      <w:r w:rsidR="00D414D5">
        <w:rPr>
          <w:noProof/>
        </w:rPr>
        <w:t>3</w:t>
      </w:r>
      <w:r w:rsidR="002D6E43">
        <w:rPr>
          <w:noProof/>
        </w:rPr>
        <w:fldChar w:fldCharType="end"/>
      </w:r>
    </w:p>
    <w:p w14:paraId="4A9259A7" w14:textId="59A39397"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Marco normativo de referencia</w:t>
      </w:r>
      <w:r>
        <w:rPr>
          <w:noProof/>
        </w:rPr>
        <w:tab/>
      </w:r>
      <w:r>
        <w:rPr>
          <w:noProof/>
        </w:rPr>
        <w:fldChar w:fldCharType="begin"/>
      </w:r>
      <w:r>
        <w:rPr>
          <w:noProof/>
        </w:rPr>
        <w:instrText xml:space="preserve"> PAGEREF _Toc122080779 \h </w:instrText>
      </w:r>
      <w:r>
        <w:rPr>
          <w:noProof/>
        </w:rPr>
      </w:r>
      <w:r>
        <w:rPr>
          <w:noProof/>
        </w:rPr>
        <w:fldChar w:fldCharType="separate"/>
      </w:r>
      <w:r w:rsidR="00D414D5">
        <w:rPr>
          <w:noProof/>
        </w:rPr>
        <w:t>3</w:t>
      </w:r>
      <w:r>
        <w:rPr>
          <w:noProof/>
        </w:rPr>
        <w:fldChar w:fldCharType="end"/>
      </w:r>
    </w:p>
    <w:p w14:paraId="6B862804" w14:textId="10A2D2BB"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Compromiso institucional</w:t>
      </w:r>
      <w:r>
        <w:rPr>
          <w:noProof/>
        </w:rPr>
        <w:tab/>
      </w:r>
      <w:r>
        <w:rPr>
          <w:noProof/>
        </w:rPr>
        <w:fldChar w:fldCharType="begin"/>
      </w:r>
      <w:r>
        <w:rPr>
          <w:noProof/>
        </w:rPr>
        <w:instrText xml:space="preserve"> PAGEREF _Toc122080780 \h </w:instrText>
      </w:r>
      <w:r>
        <w:rPr>
          <w:noProof/>
        </w:rPr>
      </w:r>
      <w:r>
        <w:rPr>
          <w:noProof/>
        </w:rPr>
        <w:fldChar w:fldCharType="separate"/>
      </w:r>
      <w:r w:rsidR="00D414D5">
        <w:rPr>
          <w:noProof/>
        </w:rPr>
        <w:t>5</w:t>
      </w:r>
      <w:r>
        <w:rPr>
          <w:noProof/>
        </w:rPr>
        <w:fldChar w:fldCharType="end"/>
      </w:r>
    </w:p>
    <w:p w14:paraId="14BA252E" w14:textId="78BA13BE"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Determinación de las partes</w:t>
      </w:r>
      <w:r>
        <w:rPr>
          <w:noProof/>
        </w:rPr>
        <w:tab/>
      </w:r>
      <w:r>
        <w:rPr>
          <w:noProof/>
        </w:rPr>
        <w:fldChar w:fldCharType="begin"/>
      </w:r>
      <w:r>
        <w:rPr>
          <w:noProof/>
        </w:rPr>
        <w:instrText xml:space="preserve"> PAGEREF _Toc122080781 \h </w:instrText>
      </w:r>
      <w:r>
        <w:rPr>
          <w:noProof/>
        </w:rPr>
      </w:r>
      <w:r>
        <w:rPr>
          <w:noProof/>
        </w:rPr>
        <w:fldChar w:fldCharType="separate"/>
      </w:r>
      <w:r w:rsidR="00D414D5">
        <w:rPr>
          <w:noProof/>
        </w:rPr>
        <w:t>5</w:t>
      </w:r>
      <w:r>
        <w:rPr>
          <w:noProof/>
        </w:rPr>
        <w:fldChar w:fldCharType="end"/>
      </w:r>
    </w:p>
    <w:p w14:paraId="443115C6" w14:textId="7722AF7D"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Ámbito y vigencia</w:t>
      </w:r>
      <w:r>
        <w:rPr>
          <w:noProof/>
        </w:rPr>
        <w:tab/>
      </w:r>
      <w:r>
        <w:rPr>
          <w:noProof/>
        </w:rPr>
        <w:fldChar w:fldCharType="begin"/>
      </w:r>
      <w:r>
        <w:rPr>
          <w:noProof/>
        </w:rPr>
        <w:instrText xml:space="preserve"> PAGEREF _Toc122080782 \h </w:instrText>
      </w:r>
      <w:r>
        <w:rPr>
          <w:noProof/>
        </w:rPr>
      </w:r>
      <w:r>
        <w:rPr>
          <w:noProof/>
        </w:rPr>
        <w:fldChar w:fldCharType="separate"/>
      </w:r>
      <w:r w:rsidR="00D414D5">
        <w:rPr>
          <w:noProof/>
        </w:rPr>
        <w:t>5</w:t>
      </w:r>
      <w:r>
        <w:rPr>
          <w:noProof/>
        </w:rPr>
        <w:fldChar w:fldCharType="end"/>
      </w:r>
    </w:p>
    <w:p w14:paraId="2A1D3262" w14:textId="601E22C0"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Principios</w:t>
      </w:r>
      <w:r>
        <w:rPr>
          <w:noProof/>
        </w:rPr>
        <w:tab/>
      </w:r>
      <w:r>
        <w:rPr>
          <w:noProof/>
        </w:rPr>
        <w:fldChar w:fldCharType="begin"/>
      </w:r>
      <w:r>
        <w:rPr>
          <w:noProof/>
        </w:rPr>
        <w:instrText xml:space="preserve"> PAGEREF _Toc122080783 \h </w:instrText>
      </w:r>
      <w:r>
        <w:rPr>
          <w:noProof/>
        </w:rPr>
      </w:r>
      <w:r>
        <w:rPr>
          <w:noProof/>
        </w:rPr>
        <w:fldChar w:fldCharType="separate"/>
      </w:r>
      <w:r w:rsidR="00D414D5">
        <w:rPr>
          <w:noProof/>
        </w:rPr>
        <w:t>6</w:t>
      </w:r>
      <w:r>
        <w:rPr>
          <w:noProof/>
        </w:rPr>
        <w:fldChar w:fldCharType="end"/>
      </w:r>
    </w:p>
    <w:p w14:paraId="3D22B131" w14:textId="3F4ADD3D"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Plan de trabajo</w:t>
      </w:r>
      <w:r>
        <w:rPr>
          <w:noProof/>
        </w:rPr>
        <w:tab/>
      </w:r>
      <w:r>
        <w:rPr>
          <w:noProof/>
        </w:rPr>
        <w:fldChar w:fldCharType="begin"/>
      </w:r>
      <w:r>
        <w:rPr>
          <w:noProof/>
        </w:rPr>
        <w:instrText xml:space="preserve"> PAGEREF _Toc122080784 \h </w:instrText>
      </w:r>
      <w:r>
        <w:rPr>
          <w:noProof/>
        </w:rPr>
      </w:r>
      <w:r>
        <w:rPr>
          <w:noProof/>
        </w:rPr>
        <w:fldChar w:fldCharType="separate"/>
      </w:r>
      <w:r w:rsidR="00D414D5">
        <w:rPr>
          <w:noProof/>
        </w:rPr>
        <w:t>7</w:t>
      </w:r>
      <w:r>
        <w:rPr>
          <w:noProof/>
        </w:rPr>
        <w:fldChar w:fldCharType="end"/>
      </w:r>
    </w:p>
    <w:p w14:paraId="76F48B99" w14:textId="0EE565BA"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Participantes</w:t>
      </w:r>
      <w:r>
        <w:rPr>
          <w:noProof/>
        </w:rPr>
        <w:tab/>
      </w:r>
      <w:r>
        <w:rPr>
          <w:noProof/>
        </w:rPr>
        <w:fldChar w:fldCharType="begin"/>
      </w:r>
      <w:r>
        <w:rPr>
          <w:noProof/>
        </w:rPr>
        <w:instrText xml:space="preserve"> PAGEREF _Toc122080785 \h </w:instrText>
      </w:r>
      <w:r>
        <w:rPr>
          <w:noProof/>
        </w:rPr>
      </w:r>
      <w:r>
        <w:rPr>
          <w:noProof/>
        </w:rPr>
        <w:fldChar w:fldCharType="separate"/>
      </w:r>
      <w:r w:rsidR="00D414D5">
        <w:rPr>
          <w:noProof/>
        </w:rPr>
        <w:t>7</w:t>
      </w:r>
      <w:r>
        <w:rPr>
          <w:noProof/>
        </w:rPr>
        <w:fldChar w:fldCharType="end"/>
      </w:r>
    </w:p>
    <w:p w14:paraId="1E9C74E1" w14:textId="6A36B067" w:rsidR="002D6E43" w:rsidRDefault="002D6E43" w:rsidP="002D6E43">
      <w:pPr>
        <w:pStyle w:val="TDC1"/>
        <w:spacing w:line="276" w:lineRule="auto"/>
        <w:rPr>
          <w:rFonts w:asciiTheme="minorHAnsi" w:eastAsiaTheme="minorEastAsia" w:hAnsiTheme="minorHAnsi"/>
          <w:noProof/>
          <w:color w:val="auto"/>
          <w:lang w:eastAsia="es-ES"/>
        </w:rPr>
      </w:pPr>
      <w:r w:rsidRPr="005705DF">
        <w:rPr>
          <w:rFonts w:cs="Arial"/>
          <w:noProof/>
        </w:rPr>
        <w:t>DIAGNÓSTICO</w:t>
      </w:r>
      <w:r>
        <w:rPr>
          <w:noProof/>
        </w:rPr>
        <w:tab/>
      </w:r>
      <w:r>
        <w:rPr>
          <w:noProof/>
        </w:rPr>
        <w:fldChar w:fldCharType="begin"/>
      </w:r>
      <w:r>
        <w:rPr>
          <w:noProof/>
        </w:rPr>
        <w:instrText xml:space="preserve"> PAGEREF _Toc122080786 \h </w:instrText>
      </w:r>
      <w:r>
        <w:rPr>
          <w:noProof/>
        </w:rPr>
      </w:r>
      <w:r>
        <w:rPr>
          <w:noProof/>
        </w:rPr>
        <w:fldChar w:fldCharType="separate"/>
      </w:r>
      <w:r w:rsidR="00D414D5">
        <w:rPr>
          <w:noProof/>
        </w:rPr>
        <w:t>8</w:t>
      </w:r>
      <w:r>
        <w:rPr>
          <w:noProof/>
        </w:rPr>
        <w:fldChar w:fldCharType="end"/>
      </w:r>
    </w:p>
    <w:p w14:paraId="733C9ECC" w14:textId="4229648E"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Aspectos formales</w:t>
      </w:r>
      <w:r>
        <w:rPr>
          <w:noProof/>
        </w:rPr>
        <w:tab/>
      </w:r>
      <w:r>
        <w:rPr>
          <w:noProof/>
        </w:rPr>
        <w:fldChar w:fldCharType="begin"/>
      </w:r>
      <w:r>
        <w:rPr>
          <w:noProof/>
        </w:rPr>
        <w:instrText xml:space="preserve"> PAGEREF _Toc122080787 \h </w:instrText>
      </w:r>
      <w:r>
        <w:rPr>
          <w:noProof/>
        </w:rPr>
      </w:r>
      <w:r>
        <w:rPr>
          <w:noProof/>
        </w:rPr>
        <w:fldChar w:fldCharType="separate"/>
      </w:r>
      <w:r w:rsidR="00D414D5">
        <w:rPr>
          <w:noProof/>
        </w:rPr>
        <w:t>8</w:t>
      </w:r>
      <w:r>
        <w:rPr>
          <w:noProof/>
        </w:rPr>
        <w:fldChar w:fldCharType="end"/>
      </w:r>
    </w:p>
    <w:p w14:paraId="77A4E7C0" w14:textId="2363B7CA"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Entidad</w:t>
      </w:r>
      <w:r>
        <w:rPr>
          <w:noProof/>
        </w:rPr>
        <w:tab/>
      </w:r>
      <w:r>
        <w:rPr>
          <w:noProof/>
        </w:rPr>
        <w:fldChar w:fldCharType="begin"/>
      </w:r>
      <w:r>
        <w:rPr>
          <w:noProof/>
        </w:rPr>
        <w:instrText xml:space="preserve"> PAGEREF _Toc122080788 \h </w:instrText>
      </w:r>
      <w:r>
        <w:rPr>
          <w:noProof/>
        </w:rPr>
      </w:r>
      <w:r>
        <w:rPr>
          <w:noProof/>
        </w:rPr>
        <w:fldChar w:fldCharType="separate"/>
      </w:r>
      <w:r w:rsidR="00D414D5">
        <w:rPr>
          <w:noProof/>
        </w:rPr>
        <w:t>9</w:t>
      </w:r>
      <w:r>
        <w:rPr>
          <w:noProof/>
        </w:rPr>
        <w:fldChar w:fldCharType="end"/>
      </w:r>
    </w:p>
    <w:p w14:paraId="0C5BA378" w14:textId="500D1665"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Características de la plantilla</w:t>
      </w:r>
      <w:r>
        <w:rPr>
          <w:noProof/>
        </w:rPr>
        <w:tab/>
      </w:r>
      <w:r>
        <w:rPr>
          <w:noProof/>
        </w:rPr>
        <w:fldChar w:fldCharType="begin"/>
      </w:r>
      <w:r>
        <w:rPr>
          <w:noProof/>
        </w:rPr>
        <w:instrText xml:space="preserve"> PAGEREF _Toc122080789 \h </w:instrText>
      </w:r>
      <w:r>
        <w:rPr>
          <w:noProof/>
        </w:rPr>
      </w:r>
      <w:r>
        <w:rPr>
          <w:noProof/>
        </w:rPr>
        <w:fldChar w:fldCharType="separate"/>
      </w:r>
      <w:r w:rsidR="00D414D5">
        <w:rPr>
          <w:noProof/>
        </w:rPr>
        <w:t>15</w:t>
      </w:r>
      <w:r>
        <w:rPr>
          <w:noProof/>
        </w:rPr>
        <w:fldChar w:fldCharType="end"/>
      </w:r>
    </w:p>
    <w:p w14:paraId="329AE9AB" w14:textId="0CF25A25"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Clasificación profesional</w:t>
      </w:r>
      <w:r>
        <w:rPr>
          <w:noProof/>
        </w:rPr>
        <w:tab/>
      </w:r>
      <w:r>
        <w:rPr>
          <w:noProof/>
        </w:rPr>
        <w:fldChar w:fldCharType="begin"/>
      </w:r>
      <w:r>
        <w:rPr>
          <w:noProof/>
        </w:rPr>
        <w:instrText xml:space="preserve"> PAGEREF _Toc122080790 \h </w:instrText>
      </w:r>
      <w:r>
        <w:rPr>
          <w:noProof/>
        </w:rPr>
      </w:r>
      <w:r>
        <w:rPr>
          <w:noProof/>
        </w:rPr>
        <w:fldChar w:fldCharType="separate"/>
      </w:r>
      <w:r w:rsidR="00D414D5">
        <w:rPr>
          <w:noProof/>
        </w:rPr>
        <w:t>26</w:t>
      </w:r>
      <w:r>
        <w:rPr>
          <w:noProof/>
        </w:rPr>
        <w:fldChar w:fldCharType="end"/>
      </w:r>
    </w:p>
    <w:p w14:paraId="7C030C00" w14:textId="649C6393"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Acceso al empleo público</w:t>
      </w:r>
      <w:r>
        <w:rPr>
          <w:noProof/>
        </w:rPr>
        <w:tab/>
      </w:r>
      <w:r>
        <w:rPr>
          <w:noProof/>
        </w:rPr>
        <w:fldChar w:fldCharType="begin"/>
      </w:r>
      <w:r>
        <w:rPr>
          <w:noProof/>
        </w:rPr>
        <w:instrText xml:space="preserve"> PAGEREF _Toc122080791 \h </w:instrText>
      </w:r>
      <w:r>
        <w:rPr>
          <w:noProof/>
        </w:rPr>
      </w:r>
      <w:r>
        <w:rPr>
          <w:noProof/>
        </w:rPr>
        <w:fldChar w:fldCharType="separate"/>
      </w:r>
      <w:r w:rsidR="00D414D5">
        <w:rPr>
          <w:noProof/>
        </w:rPr>
        <w:t>38</w:t>
      </w:r>
      <w:r>
        <w:rPr>
          <w:noProof/>
        </w:rPr>
        <w:fldChar w:fldCharType="end"/>
      </w:r>
    </w:p>
    <w:p w14:paraId="1BF055C3" w14:textId="75EE89D9"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Formación</w:t>
      </w:r>
      <w:r>
        <w:rPr>
          <w:noProof/>
        </w:rPr>
        <w:tab/>
      </w:r>
      <w:r>
        <w:rPr>
          <w:noProof/>
        </w:rPr>
        <w:fldChar w:fldCharType="begin"/>
      </w:r>
      <w:r>
        <w:rPr>
          <w:noProof/>
        </w:rPr>
        <w:instrText xml:space="preserve"> PAGEREF _Toc122080792 \h </w:instrText>
      </w:r>
      <w:r>
        <w:rPr>
          <w:noProof/>
        </w:rPr>
      </w:r>
      <w:r>
        <w:rPr>
          <w:noProof/>
        </w:rPr>
        <w:fldChar w:fldCharType="separate"/>
      </w:r>
      <w:r w:rsidR="00D414D5">
        <w:rPr>
          <w:noProof/>
        </w:rPr>
        <w:t>46</w:t>
      </w:r>
      <w:r>
        <w:rPr>
          <w:noProof/>
        </w:rPr>
        <w:fldChar w:fldCharType="end"/>
      </w:r>
    </w:p>
    <w:p w14:paraId="6E16D3C2" w14:textId="2348F51C"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Promoción</w:t>
      </w:r>
      <w:r>
        <w:rPr>
          <w:noProof/>
        </w:rPr>
        <w:tab/>
      </w:r>
      <w:r>
        <w:rPr>
          <w:noProof/>
        </w:rPr>
        <w:fldChar w:fldCharType="begin"/>
      </w:r>
      <w:r>
        <w:rPr>
          <w:noProof/>
        </w:rPr>
        <w:instrText xml:space="preserve"> PAGEREF _Toc122080793 \h </w:instrText>
      </w:r>
      <w:r>
        <w:rPr>
          <w:noProof/>
        </w:rPr>
      </w:r>
      <w:r>
        <w:rPr>
          <w:noProof/>
        </w:rPr>
        <w:fldChar w:fldCharType="separate"/>
      </w:r>
      <w:r w:rsidR="00D414D5">
        <w:rPr>
          <w:noProof/>
        </w:rPr>
        <w:t>54</w:t>
      </w:r>
      <w:r>
        <w:rPr>
          <w:noProof/>
        </w:rPr>
        <w:fldChar w:fldCharType="end"/>
      </w:r>
    </w:p>
    <w:p w14:paraId="7CC6A2F9" w14:textId="512500CF"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Retribuciones</w:t>
      </w:r>
      <w:r>
        <w:rPr>
          <w:noProof/>
        </w:rPr>
        <w:tab/>
      </w:r>
      <w:r>
        <w:rPr>
          <w:noProof/>
        </w:rPr>
        <w:fldChar w:fldCharType="begin"/>
      </w:r>
      <w:r>
        <w:rPr>
          <w:noProof/>
        </w:rPr>
        <w:instrText xml:space="preserve"> PAGEREF _Toc122080794 \h </w:instrText>
      </w:r>
      <w:r>
        <w:rPr>
          <w:noProof/>
        </w:rPr>
      </w:r>
      <w:r>
        <w:rPr>
          <w:noProof/>
        </w:rPr>
        <w:fldChar w:fldCharType="separate"/>
      </w:r>
      <w:r w:rsidR="00D414D5">
        <w:rPr>
          <w:noProof/>
        </w:rPr>
        <w:t>62</w:t>
      </w:r>
      <w:r>
        <w:rPr>
          <w:noProof/>
        </w:rPr>
        <w:fldChar w:fldCharType="end"/>
      </w:r>
    </w:p>
    <w:p w14:paraId="6B672111" w14:textId="04B7EDB7"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Conciliación y corresponsabilidad</w:t>
      </w:r>
      <w:r>
        <w:rPr>
          <w:noProof/>
        </w:rPr>
        <w:tab/>
      </w:r>
      <w:r>
        <w:rPr>
          <w:noProof/>
        </w:rPr>
        <w:fldChar w:fldCharType="begin"/>
      </w:r>
      <w:r>
        <w:rPr>
          <w:noProof/>
        </w:rPr>
        <w:instrText xml:space="preserve"> PAGEREF _Toc122080795 \h </w:instrText>
      </w:r>
      <w:r>
        <w:rPr>
          <w:noProof/>
        </w:rPr>
      </w:r>
      <w:r>
        <w:rPr>
          <w:noProof/>
        </w:rPr>
        <w:fldChar w:fldCharType="separate"/>
      </w:r>
      <w:r w:rsidR="00D414D5">
        <w:rPr>
          <w:noProof/>
        </w:rPr>
        <w:t>74</w:t>
      </w:r>
      <w:r>
        <w:rPr>
          <w:noProof/>
        </w:rPr>
        <w:fldChar w:fldCharType="end"/>
      </w:r>
    </w:p>
    <w:p w14:paraId="6E6C77B1" w14:textId="3BEF6123"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Prevención y actuación frente al acoso sexual y por razón de sexo, y otras formas de violencia</w:t>
      </w:r>
      <w:r>
        <w:rPr>
          <w:noProof/>
        </w:rPr>
        <w:tab/>
      </w:r>
      <w:r>
        <w:rPr>
          <w:noProof/>
        </w:rPr>
        <w:fldChar w:fldCharType="begin"/>
      </w:r>
      <w:r>
        <w:rPr>
          <w:noProof/>
        </w:rPr>
        <w:instrText xml:space="preserve"> PAGEREF _Toc122080796 \h </w:instrText>
      </w:r>
      <w:r>
        <w:rPr>
          <w:noProof/>
        </w:rPr>
      </w:r>
      <w:r>
        <w:rPr>
          <w:noProof/>
        </w:rPr>
        <w:fldChar w:fldCharType="separate"/>
      </w:r>
      <w:r w:rsidR="00D414D5">
        <w:rPr>
          <w:noProof/>
        </w:rPr>
        <w:t>79</w:t>
      </w:r>
      <w:r>
        <w:rPr>
          <w:noProof/>
        </w:rPr>
        <w:fldChar w:fldCharType="end"/>
      </w:r>
    </w:p>
    <w:p w14:paraId="5238BE81" w14:textId="488D1D7E"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Salud laboral</w:t>
      </w:r>
      <w:r>
        <w:rPr>
          <w:noProof/>
        </w:rPr>
        <w:tab/>
      </w:r>
      <w:r>
        <w:rPr>
          <w:noProof/>
        </w:rPr>
        <w:fldChar w:fldCharType="begin"/>
      </w:r>
      <w:r>
        <w:rPr>
          <w:noProof/>
        </w:rPr>
        <w:instrText xml:space="preserve"> PAGEREF _Toc122080797 \h </w:instrText>
      </w:r>
      <w:r>
        <w:rPr>
          <w:noProof/>
        </w:rPr>
      </w:r>
      <w:r>
        <w:rPr>
          <w:noProof/>
        </w:rPr>
        <w:fldChar w:fldCharType="separate"/>
      </w:r>
      <w:r w:rsidR="00D414D5">
        <w:rPr>
          <w:noProof/>
        </w:rPr>
        <w:t>83</w:t>
      </w:r>
      <w:r>
        <w:rPr>
          <w:noProof/>
        </w:rPr>
        <w:fldChar w:fldCharType="end"/>
      </w:r>
    </w:p>
    <w:p w14:paraId="65F148C8" w14:textId="71C2024D" w:rsidR="002D6E43" w:rsidRDefault="002D6E43" w:rsidP="002D6E43">
      <w:pPr>
        <w:pStyle w:val="TDC1"/>
        <w:spacing w:line="276" w:lineRule="auto"/>
        <w:rPr>
          <w:rFonts w:asciiTheme="minorHAnsi" w:eastAsiaTheme="minorEastAsia" w:hAnsiTheme="minorHAnsi"/>
          <w:noProof/>
          <w:color w:val="auto"/>
          <w:lang w:eastAsia="es-ES"/>
        </w:rPr>
      </w:pPr>
      <w:r w:rsidRPr="005705DF">
        <w:rPr>
          <w:rFonts w:cs="Arial"/>
          <w:noProof/>
          <w:lang w:val="es-ES_tradnl"/>
        </w:rPr>
        <w:t>PLAN DE IGUALDAD</w:t>
      </w:r>
      <w:r>
        <w:rPr>
          <w:noProof/>
        </w:rPr>
        <w:tab/>
      </w:r>
      <w:r>
        <w:rPr>
          <w:noProof/>
        </w:rPr>
        <w:fldChar w:fldCharType="begin"/>
      </w:r>
      <w:r>
        <w:rPr>
          <w:noProof/>
        </w:rPr>
        <w:instrText xml:space="preserve"> PAGEREF _Toc122080798 \h </w:instrText>
      </w:r>
      <w:r>
        <w:rPr>
          <w:noProof/>
        </w:rPr>
      </w:r>
      <w:r>
        <w:rPr>
          <w:noProof/>
        </w:rPr>
        <w:fldChar w:fldCharType="separate"/>
      </w:r>
      <w:r w:rsidR="00D414D5">
        <w:rPr>
          <w:noProof/>
        </w:rPr>
        <w:t>87</w:t>
      </w:r>
      <w:r>
        <w:rPr>
          <w:noProof/>
        </w:rPr>
        <w:fldChar w:fldCharType="end"/>
      </w:r>
    </w:p>
    <w:p w14:paraId="74820C66" w14:textId="21DCE8F5"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Ámbito 1. Cultura organizativa y gestión de la igualdad</w:t>
      </w:r>
      <w:r>
        <w:rPr>
          <w:noProof/>
        </w:rPr>
        <w:tab/>
      </w:r>
      <w:r>
        <w:rPr>
          <w:noProof/>
        </w:rPr>
        <w:fldChar w:fldCharType="begin"/>
      </w:r>
      <w:r>
        <w:rPr>
          <w:noProof/>
        </w:rPr>
        <w:instrText xml:space="preserve"> PAGEREF _Toc122080799 \h </w:instrText>
      </w:r>
      <w:r>
        <w:rPr>
          <w:noProof/>
        </w:rPr>
      </w:r>
      <w:r>
        <w:rPr>
          <w:noProof/>
        </w:rPr>
        <w:fldChar w:fldCharType="separate"/>
      </w:r>
      <w:r w:rsidR="00D414D5">
        <w:rPr>
          <w:noProof/>
        </w:rPr>
        <w:t>88</w:t>
      </w:r>
      <w:r>
        <w:rPr>
          <w:noProof/>
        </w:rPr>
        <w:fldChar w:fldCharType="end"/>
      </w:r>
    </w:p>
    <w:p w14:paraId="3C22ACE6" w14:textId="1968F4C3"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Ámbito 2. Formación y sensibilización en igualdad</w:t>
      </w:r>
      <w:r>
        <w:rPr>
          <w:noProof/>
        </w:rPr>
        <w:tab/>
      </w:r>
      <w:r>
        <w:rPr>
          <w:noProof/>
        </w:rPr>
        <w:fldChar w:fldCharType="begin"/>
      </w:r>
      <w:r>
        <w:rPr>
          <w:noProof/>
        </w:rPr>
        <w:instrText xml:space="preserve"> PAGEREF _Toc122080800 \h </w:instrText>
      </w:r>
      <w:r>
        <w:rPr>
          <w:noProof/>
        </w:rPr>
      </w:r>
      <w:r>
        <w:rPr>
          <w:noProof/>
        </w:rPr>
        <w:fldChar w:fldCharType="separate"/>
      </w:r>
      <w:r w:rsidR="00D414D5">
        <w:rPr>
          <w:noProof/>
        </w:rPr>
        <w:t>101</w:t>
      </w:r>
      <w:r>
        <w:rPr>
          <w:noProof/>
        </w:rPr>
        <w:fldChar w:fldCharType="end"/>
      </w:r>
    </w:p>
    <w:p w14:paraId="194FD989" w14:textId="2E2F21DE"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sidRPr="005705DF">
        <w:rPr>
          <w:rFonts w:cs="Arial"/>
          <w:noProof/>
        </w:rPr>
        <w:t xml:space="preserve">Ámbito 3. </w:t>
      </w:r>
      <w:r>
        <w:rPr>
          <w:noProof/>
        </w:rPr>
        <w:t>Acceso al empleo público</w:t>
      </w:r>
      <w:r>
        <w:rPr>
          <w:noProof/>
        </w:rPr>
        <w:tab/>
      </w:r>
      <w:r>
        <w:rPr>
          <w:noProof/>
        </w:rPr>
        <w:fldChar w:fldCharType="begin"/>
      </w:r>
      <w:r>
        <w:rPr>
          <w:noProof/>
        </w:rPr>
        <w:instrText xml:space="preserve"> PAGEREF _Toc122080801 \h </w:instrText>
      </w:r>
      <w:r>
        <w:rPr>
          <w:noProof/>
        </w:rPr>
      </w:r>
      <w:r>
        <w:rPr>
          <w:noProof/>
        </w:rPr>
        <w:fldChar w:fldCharType="separate"/>
      </w:r>
      <w:r w:rsidR="00D414D5">
        <w:rPr>
          <w:noProof/>
        </w:rPr>
        <w:t>109</w:t>
      </w:r>
      <w:r>
        <w:rPr>
          <w:noProof/>
        </w:rPr>
        <w:fldChar w:fldCharType="end"/>
      </w:r>
    </w:p>
    <w:p w14:paraId="2759186A" w14:textId="7CB02A3F"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Ámbito 4. Condiciones laborales y carrera profesional</w:t>
      </w:r>
      <w:r>
        <w:rPr>
          <w:noProof/>
        </w:rPr>
        <w:tab/>
      </w:r>
      <w:r>
        <w:rPr>
          <w:noProof/>
        </w:rPr>
        <w:fldChar w:fldCharType="begin"/>
      </w:r>
      <w:r>
        <w:rPr>
          <w:noProof/>
        </w:rPr>
        <w:instrText xml:space="preserve"> PAGEREF _Toc122080802 \h </w:instrText>
      </w:r>
      <w:r>
        <w:rPr>
          <w:noProof/>
        </w:rPr>
      </w:r>
      <w:r>
        <w:rPr>
          <w:noProof/>
        </w:rPr>
        <w:fldChar w:fldCharType="separate"/>
      </w:r>
      <w:r w:rsidR="00D414D5">
        <w:rPr>
          <w:noProof/>
        </w:rPr>
        <w:t>113</w:t>
      </w:r>
      <w:r>
        <w:rPr>
          <w:noProof/>
        </w:rPr>
        <w:fldChar w:fldCharType="end"/>
      </w:r>
    </w:p>
    <w:p w14:paraId="200A6477" w14:textId="144194A8"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sidRPr="005705DF">
        <w:rPr>
          <w:noProof/>
        </w:rPr>
        <w:t xml:space="preserve">Ámbito </w:t>
      </w:r>
      <w:r>
        <w:rPr>
          <w:noProof/>
        </w:rPr>
        <w:t>5. Retribuciones</w:t>
      </w:r>
      <w:r>
        <w:rPr>
          <w:noProof/>
        </w:rPr>
        <w:tab/>
      </w:r>
      <w:r>
        <w:rPr>
          <w:noProof/>
        </w:rPr>
        <w:fldChar w:fldCharType="begin"/>
      </w:r>
      <w:r>
        <w:rPr>
          <w:noProof/>
        </w:rPr>
        <w:instrText xml:space="preserve"> PAGEREF _Toc122080803 \h </w:instrText>
      </w:r>
      <w:r>
        <w:rPr>
          <w:noProof/>
        </w:rPr>
      </w:r>
      <w:r>
        <w:rPr>
          <w:noProof/>
        </w:rPr>
        <w:fldChar w:fldCharType="separate"/>
      </w:r>
      <w:r w:rsidR="00D414D5">
        <w:rPr>
          <w:noProof/>
        </w:rPr>
        <w:t>118</w:t>
      </w:r>
      <w:r>
        <w:rPr>
          <w:noProof/>
        </w:rPr>
        <w:fldChar w:fldCharType="end"/>
      </w:r>
    </w:p>
    <w:p w14:paraId="49BCE76C" w14:textId="5736E620"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sidRPr="005705DF">
        <w:rPr>
          <w:noProof/>
        </w:rPr>
        <w:t xml:space="preserve">Ámbito </w:t>
      </w:r>
      <w:r>
        <w:rPr>
          <w:noProof/>
        </w:rPr>
        <w:t>6. Ordenación del tiempo de trabajo y corresponsabilidad</w:t>
      </w:r>
      <w:r>
        <w:rPr>
          <w:noProof/>
        </w:rPr>
        <w:tab/>
      </w:r>
      <w:r>
        <w:rPr>
          <w:noProof/>
        </w:rPr>
        <w:fldChar w:fldCharType="begin"/>
      </w:r>
      <w:r>
        <w:rPr>
          <w:noProof/>
        </w:rPr>
        <w:instrText xml:space="preserve"> PAGEREF _Toc122080804 \h </w:instrText>
      </w:r>
      <w:r>
        <w:rPr>
          <w:noProof/>
        </w:rPr>
      </w:r>
      <w:r>
        <w:rPr>
          <w:noProof/>
        </w:rPr>
        <w:fldChar w:fldCharType="separate"/>
      </w:r>
      <w:r w:rsidR="00D414D5">
        <w:rPr>
          <w:noProof/>
        </w:rPr>
        <w:t>122</w:t>
      </w:r>
      <w:r>
        <w:rPr>
          <w:noProof/>
        </w:rPr>
        <w:fldChar w:fldCharType="end"/>
      </w:r>
    </w:p>
    <w:p w14:paraId="6F06EAEE" w14:textId="2F40DC1D"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sidRPr="005705DF">
        <w:rPr>
          <w:noProof/>
        </w:rPr>
        <w:t xml:space="preserve">Ámbito </w:t>
      </w:r>
      <w:r>
        <w:rPr>
          <w:noProof/>
        </w:rPr>
        <w:t>7. Prevención del acoso sexual y por razón de sexo y de las violencias machistas</w:t>
      </w:r>
      <w:r>
        <w:rPr>
          <w:noProof/>
        </w:rPr>
        <w:tab/>
      </w:r>
      <w:r>
        <w:rPr>
          <w:noProof/>
        </w:rPr>
        <w:fldChar w:fldCharType="begin"/>
      </w:r>
      <w:r>
        <w:rPr>
          <w:noProof/>
        </w:rPr>
        <w:instrText xml:space="preserve"> PAGEREF _Toc122080805 \h </w:instrText>
      </w:r>
      <w:r>
        <w:rPr>
          <w:noProof/>
        </w:rPr>
      </w:r>
      <w:r>
        <w:rPr>
          <w:noProof/>
        </w:rPr>
        <w:fldChar w:fldCharType="separate"/>
      </w:r>
      <w:r w:rsidR="00D414D5">
        <w:rPr>
          <w:noProof/>
        </w:rPr>
        <w:t>125</w:t>
      </w:r>
      <w:r>
        <w:rPr>
          <w:noProof/>
        </w:rPr>
        <w:fldChar w:fldCharType="end"/>
      </w:r>
    </w:p>
    <w:p w14:paraId="776F9E59" w14:textId="1C02B2DD"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sidRPr="005705DF">
        <w:rPr>
          <w:noProof/>
        </w:rPr>
        <w:t xml:space="preserve">Ámbito </w:t>
      </w:r>
      <w:r>
        <w:rPr>
          <w:noProof/>
        </w:rPr>
        <w:t>8. Prevención y salud laboral</w:t>
      </w:r>
      <w:r>
        <w:rPr>
          <w:noProof/>
        </w:rPr>
        <w:tab/>
      </w:r>
      <w:r>
        <w:rPr>
          <w:noProof/>
        </w:rPr>
        <w:fldChar w:fldCharType="begin"/>
      </w:r>
      <w:r>
        <w:rPr>
          <w:noProof/>
        </w:rPr>
        <w:instrText xml:space="preserve"> PAGEREF _Toc122080806 \h </w:instrText>
      </w:r>
      <w:r>
        <w:rPr>
          <w:noProof/>
        </w:rPr>
      </w:r>
      <w:r>
        <w:rPr>
          <w:noProof/>
        </w:rPr>
        <w:fldChar w:fldCharType="separate"/>
      </w:r>
      <w:r w:rsidR="00D414D5">
        <w:rPr>
          <w:noProof/>
        </w:rPr>
        <w:t>129</w:t>
      </w:r>
      <w:r>
        <w:rPr>
          <w:noProof/>
        </w:rPr>
        <w:fldChar w:fldCharType="end"/>
      </w:r>
    </w:p>
    <w:p w14:paraId="101AC022" w14:textId="126AED5C" w:rsidR="002D6E43" w:rsidRDefault="002D6E43" w:rsidP="002D6E43">
      <w:pPr>
        <w:pStyle w:val="TDC1"/>
        <w:spacing w:line="276" w:lineRule="auto"/>
        <w:rPr>
          <w:rFonts w:asciiTheme="minorHAnsi" w:eastAsiaTheme="minorEastAsia" w:hAnsiTheme="minorHAnsi"/>
          <w:noProof/>
          <w:color w:val="auto"/>
          <w:lang w:eastAsia="es-ES"/>
        </w:rPr>
      </w:pPr>
      <w:r w:rsidRPr="005705DF">
        <w:rPr>
          <w:rFonts w:cs="Arial"/>
          <w:noProof/>
          <w:lang w:val="es-ES_tradnl"/>
        </w:rPr>
        <w:t>Calendario</w:t>
      </w:r>
      <w:r>
        <w:rPr>
          <w:noProof/>
        </w:rPr>
        <w:tab/>
      </w:r>
      <w:r>
        <w:rPr>
          <w:noProof/>
        </w:rPr>
        <w:fldChar w:fldCharType="begin"/>
      </w:r>
      <w:r>
        <w:rPr>
          <w:noProof/>
        </w:rPr>
        <w:instrText xml:space="preserve"> PAGEREF _Toc122080807 \h </w:instrText>
      </w:r>
      <w:r>
        <w:rPr>
          <w:noProof/>
        </w:rPr>
      </w:r>
      <w:r>
        <w:rPr>
          <w:noProof/>
        </w:rPr>
        <w:fldChar w:fldCharType="separate"/>
      </w:r>
      <w:r w:rsidR="00D414D5">
        <w:rPr>
          <w:noProof/>
        </w:rPr>
        <w:t>132</w:t>
      </w:r>
      <w:r>
        <w:rPr>
          <w:noProof/>
        </w:rPr>
        <w:fldChar w:fldCharType="end"/>
      </w:r>
    </w:p>
    <w:p w14:paraId="6D499F4E" w14:textId="1B827179" w:rsidR="002D6E43" w:rsidRDefault="002D6E43" w:rsidP="002D6E43">
      <w:pPr>
        <w:pStyle w:val="TDC1"/>
        <w:spacing w:line="276" w:lineRule="auto"/>
        <w:rPr>
          <w:rFonts w:asciiTheme="minorHAnsi" w:eastAsiaTheme="minorEastAsia" w:hAnsiTheme="minorHAnsi"/>
          <w:noProof/>
          <w:color w:val="auto"/>
          <w:lang w:eastAsia="es-ES"/>
        </w:rPr>
      </w:pPr>
      <w:r>
        <w:rPr>
          <w:noProof/>
        </w:rPr>
        <w:t>Comunicación del Plan</w:t>
      </w:r>
      <w:r>
        <w:rPr>
          <w:noProof/>
        </w:rPr>
        <w:tab/>
      </w:r>
      <w:r>
        <w:rPr>
          <w:noProof/>
        </w:rPr>
        <w:fldChar w:fldCharType="begin"/>
      </w:r>
      <w:r>
        <w:rPr>
          <w:noProof/>
        </w:rPr>
        <w:instrText xml:space="preserve"> PAGEREF _Toc122080808 \h </w:instrText>
      </w:r>
      <w:r>
        <w:rPr>
          <w:noProof/>
        </w:rPr>
      </w:r>
      <w:r>
        <w:rPr>
          <w:noProof/>
        </w:rPr>
        <w:fldChar w:fldCharType="separate"/>
      </w:r>
      <w:r w:rsidR="00D414D5">
        <w:rPr>
          <w:noProof/>
        </w:rPr>
        <w:t>133</w:t>
      </w:r>
      <w:r>
        <w:rPr>
          <w:noProof/>
        </w:rPr>
        <w:fldChar w:fldCharType="end"/>
      </w:r>
    </w:p>
    <w:p w14:paraId="3C717410" w14:textId="3ECC4DBD" w:rsidR="002D6E43" w:rsidRDefault="002D6E43" w:rsidP="002D6E43">
      <w:pPr>
        <w:pStyle w:val="TDC1"/>
        <w:spacing w:line="276" w:lineRule="auto"/>
        <w:rPr>
          <w:rFonts w:asciiTheme="minorHAnsi" w:eastAsiaTheme="minorEastAsia" w:hAnsiTheme="minorHAnsi"/>
          <w:noProof/>
          <w:color w:val="auto"/>
          <w:lang w:eastAsia="es-ES"/>
        </w:rPr>
      </w:pPr>
      <w:r w:rsidRPr="005705DF">
        <w:rPr>
          <w:noProof/>
          <w:lang w:val="es-ES_tradnl"/>
        </w:rPr>
        <w:t>Sistema de seguimiento y evaluación</w:t>
      </w:r>
      <w:r>
        <w:rPr>
          <w:noProof/>
        </w:rPr>
        <w:tab/>
      </w:r>
      <w:r>
        <w:rPr>
          <w:noProof/>
        </w:rPr>
        <w:fldChar w:fldCharType="begin"/>
      </w:r>
      <w:r>
        <w:rPr>
          <w:noProof/>
        </w:rPr>
        <w:instrText xml:space="preserve"> PAGEREF _Toc122080809 \h </w:instrText>
      </w:r>
      <w:r>
        <w:rPr>
          <w:noProof/>
        </w:rPr>
      </w:r>
      <w:r>
        <w:rPr>
          <w:noProof/>
        </w:rPr>
        <w:fldChar w:fldCharType="separate"/>
      </w:r>
      <w:r w:rsidR="00D414D5">
        <w:rPr>
          <w:noProof/>
        </w:rPr>
        <w:t>134</w:t>
      </w:r>
      <w:r>
        <w:rPr>
          <w:noProof/>
        </w:rPr>
        <w:fldChar w:fldCharType="end"/>
      </w:r>
    </w:p>
    <w:p w14:paraId="677E660C" w14:textId="2A91002D"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Reglamento</w:t>
      </w:r>
      <w:r>
        <w:rPr>
          <w:noProof/>
        </w:rPr>
        <w:tab/>
      </w:r>
      <w:r>
        <w:rPr>
          <w:noProof/>
        </w:rPr>
        <w:fldChar w:fldCharType="begin"/>
      </w:r>
      <w:r>
        <w:rPr>
          <w:noProof/>
        </w:rPr>
        <w:instrText xml:space="preserve"> PAGEREF _Toc122080810 \h </w:instrText>
      </w:r>
      <w:r>
        <w:rPr>
          <w:noProof/>
        </w:rPr>
      </w:r>
      <w:r>
        <w:rPr>
          <w:noProof/>
        </w:rPr>
        <w:fldChar w:fldCharType="separate"/>
      </w:r>
      <w:r w:rsidR="00D414D5">
        <w:rPr>
          <w:noProof/>
        </w:rPr>
        <w:t>134</w:t>
      </w:r>
      <w:r>
        <w:rPr>
          <w:noProof/>
        </w:rPr>
        <w:fldChar w:fldCharType="end"/>
      </w:r>
    </w:p>
    <w:p w14:paraId="771DCB33" w14:textId="4F709F94"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Calendario de seguimiento</w:t>
      </w:r>
      <w:r>
        <w:rPr>
          <w:noProof/>
        </w:rPr>
        <w:tab/>
      </w:r>
      <w:r>
        <w:rPr>
          <w:noProof/>
        </w:rPr>
        <w:fldChar w:fldCharType="begin"/>
      </w:r>
      <w:r>
        <w:rPr>
          <w:noProof/>
        </w:rPr>
        <w:instrText xml:space="preserve"> PAGEREF _Toc122080811 \h </w:instrText>
      </w:r>
      <w:r>
        <w:rPr>
          <w:noProof/>
        </w:rPr>
      </w:r>
      <w:r>
        <w:rPr>
          <w:noProof/>
        </w:rPr>
        <w:fldChar w:fldCharType="separate"/>
      </w:r>
      <w:r w:rsidR="00D414D5">
        <w:rPr>
          <w:noProof/>
        </w:rPr>
        <w:t>138</w:t>
      </w:r>
      <w:r>
        <w:rPr>
          <w:noProof/>
        </w:rPr>
        <w:fldChar w:fldCharType="end"/>
      </w:r>
    </w:p>
    <w:p w14:paraId="4D09527F" w14:textId="51555B5B" w:rsidR="002D6E43" w:rsidRDefault="002D6E43" w:rsidP="002D6E43">
      <w:pPr>
        <w:pStyle w:val="TDC2"/>
        <w:tabs>
          <w:tab w:val="right" w:leader="dot" w:pos="8494"/>
        </w:tabs>
        <w:spacing w:before="0" w:after="0"/>
        <w:rPr>
          <w:rFonts w:asciiTheme="minorHAnsi" w:eastAsiaTheme="minorEastAsia" w:hAnsiTheme="minorHAnsi"/>
          <w:noProof/>
          <w:color w:val="auto"/>
          <w:lang w:eastAsia="es-ES"/>
        </w:rPr>
      </w:pPr>
      <w:r>
        <w:rPr>
          <w:noProof/>
        </w:rPr>
        <w:t>Herramienta de seguimiento</w:t>
      </w:r>
      <w:r>
        <w:rPr>
          <w:noProof/>
        </w:rPr>
        <w:tab/>
      </w:r>
      <w:r>
        <w:rPr>
          <w:noProof/>
        </w:rPr>
        <w:fldChar w:fldCharType="begin"/>
      </w:r>
      <w:r>
        <w:rPr>
          <w:noProof/>
        </w:rPr>
        <w:instrText xml:space="preserve"> PAGEREF _Toc122080812 \h </w:instrText>
      </w:r>
      <w:r>
        <w:rPr>
          <w:noProof/>
        </w:rPr>
      </w:r>
      <w:r>
        <w:rPr>
          <w:noProof/>
        </w:rPr>
        <w:fldChar w:fldCharType="separate"/>
      </w:r>
      <w:r w:rsidR="00D414D5">
        <w:rPr>
          <w:noProof/>
        </w:rPr>
        <w:t>139</w:t>
      </w:r>
      <w:r>
        <w:rPr>
          <w:noProof/>
        </w:rPr>
        <w:fldChar w:fldCharType="end"/>
      </w:r>
    </w:p>
    <w:p w14:paraId="3AEB0E2A" w14:textId="79AEAC6C" w:rsidR="00693837" w:rsidRDefault="00693837" w:rsidP="002D6E43">
      <w:pPr>
        <w:spacing w:before="0" w:after="0"/>
        <w:jc w:val="left"/>
        <w:rPr>
          <w:rFonts w:eastAsiaTheme="majorEastAsia" w:cs="Arial"/>
          <w:b/>
          <w:bCs/>
          <w:snapToGrid w:val="0"/>
          <w:color w:val="78BE20"/>
          <w:kern w:val="32"/>
          <w:sz w:val="32"/>
          <w:szCs w:val="32"/>
        </w:rPr>
      </w:pPr>
      <w:r>
        <w:rPr>
          <w:rFonts w:cs="Arial"/>
        </w:rPr>
        <w:fldChar w:fldCharType="end"/>
      </w:r>
      <w:r>
        <w:rPr>
          <w:rFonts w:cs="Arial"/>
        </w:rPr>
        <w:br w:type="page"/>
      </w:r>
    </w:p>
    <w:p w14:paraId="59C96746" w14:textId="42B87EF3" w:rsidR="007324BD" w:rsidRPr="00111DC0" w:rsidRDefault="007324BD" w:rsidP="009F1C3F">
      <w:pPr>
        <w:pStyle w:val="Ttulo1"/>
        <w:rPr>
          <w:rFonts w:cs="Arial"/>
        </w:rPr>
      </w:pPr>
      <w:bookmarkStart w:id="1" w:name="_Toc122080778"/>
      <w:r w:rsidRPr="00111DC0">
        <w:rPr>
          <w:rFonts w:cs="Arial"/>
        </w:rPr>
        <w:lastRenderedPageBreak/>
        <w:t>INTRODUCCIÓN</w:t>
      </w:r>
      <w:bookmarkEnd w:id="1"/>
      <w:r w:rsidRPr="00111DC0">
        <w:rPr>
          <w:rFonts w:cs="Arial"/>
        </w:rPr>
        <w:t xml:space="preserve"> </w:t>
      </w:r>
    </w:p>
    <w:p w14:paraId="2A23D9EB" w14:textId="2C89814F" w:rsidR="00C0275A" w:rsidRPr="00111DC0" w:rsidRDefault="00C0275A" w:rsidP="00F83227">
      <w:pPr>
        <w:rPr>
          <w:rFonts w:cs="Arial"/>
        </w:rPr>
      </w:pPr>
      <w:r w:rsidRPr="00A3024E">
        <w:rPr>
          <w:rFonts w:cs="Arial"/>
          <w:b/>
          <w:bCs/>
        </w:rPr>
        <w:t>La elaboración del I Plan de Igualdad entre mujeres y hombres en la Administración General de la Comunidad Autónoma de La Rioja supone todo un hito a nivel administrativo, político y social</w:t>
      </w:r>
      <w:r w:rsidRPr="00B86C2A">
        <w:rPr>
          <w:rFonts w:cs="Arial"/>
        </w:rPr>
        <w:t>.</w:t>
      </w:r>
      <w:r w:rsidRPr="00111DC0">
        <w:rPr>
          <w:rFonts w:cs="Arial"/>
        </w:rPr>
        <w:t xml:space="preserve"> </w:t>
      </w:r>
    </w:p>
    <w:p w14:paraId="3C6BCBD6" w14:textId="72F6F22B" w:rsidR="00C0275A" w:rsidRPr="00111DC0" w:rsidRDefault="00C0275A" w:rsidP="00F83227">
      <w:pPr>
        <w:rPr>
          <w:rFonts w:cs="Arial"/>
        </w:rPr>
      </w:pPr>
      <w:r w:rsidRPr="00111DC0">
        <w:rPr>
          <w:rFonts w:cs="Arial"/>
        </w:rPr>
        <w:t>En tanto continúan los trámites de aprobación de la ley de igualdad de La Rioja, la Administración General, liderada por la Consejería de Hacienda y Administración Pública, y a partir del trabajo realizado por las personas que integran la Comisión Negociadora del Plan de Igualdad, se ha comprometido a elaborar</w:t>
      </w:r>
      <w:r w:rsidR="00176B63">
        <w:rPr>
          <w:rFonts w:cs="Arial"/>
        </w:rPr>
        <w:t xml:space="preserve"> y</w:t>
      </w:r>
      <w:r w:rsidRPr="00111DC0">
        <w:rPr>
          <w:rFonts w:cs="Arial"/>
        </w:rPr>
        <w:t xml:space="preserve"> negociar el I Plan de Igualdad entre mujeres y hombres en la Administración General de la Comunidad Autónoma de La Rioja. </w:t>
      </w:r>
    </w:p>
    <w:p w14:paraId="0E77A4D1" w14:textId="17C5CB26" w:rsidR="00C0275A" w:rsidRPr="00111DC0" w:rsidRDefault="00B86C2A" w:rsidP="00F83227">
      <w:pPr>
        <w:rPr>
          <w:rFonts w:cs="Arial"/>
        </w:rPr>
      </w:pPr>
      <w:r>
        <w:rPr>
          <w:rFonts w:cs="Arial"/>
        </w:rPr>
        <w:t>El contenido resumido del Diagnóstico</w:t>
      </w:r>
      <w:r w:rsidR="00A3024E">
        <w:rPr>
          <w:rStyle w:val="Refdenotaalpie"/>
          <w:rFonts w:cs="Arial"/>
        </w:rPr>
        <w:footnoteReference w:id="1"/>
      </w:r>
      <w:r>
        <w:rPr>
          <w:rFonts w:cs="Arial"/>
        </w:rPr>
        <w:t xml:space="preserve"> de la situación de </w:t>
      </w:r>
      <w:r w:rsidR="00B1378B">
        <w:rPr>
          <w:rFonts w:cs="Arial"/>
        </w:rPr>
        <w:t>igualdad,</w:t>
      </w:r>
      <w:r>
        <w:rPr>
          <w:rFonts w:cs="Arial"/>
        </w:rPr>
        <w:t xml:space="preserve"> así como el conjunto íntegro de medidas del Plan y su sistema de seguimiento son incluidos en este documento. </w:t>
      </w:r>
    </w:p>
    <w:p w14:paraId="2AC1FE6A" w14:textId="4A38BB29" w:rsidR="00682CDB" w:rsidRDefault="00682CDB" w:rsidP="00350BA5">
      <w:pPr>
        <w:spacing w:after="0"/>
        <w:rPr>
          <w:rFonts w:cs="Arial"/>
        </w:rPr>
      </w:pPr>
    </w:p>
    <w:p w14:paraId="7D70F9F2" w14:textId="77777777" w:rsidR="006E2FEE" w:rsidRPr="00111DC0" w:rsidRDefault="006E2FEE" w:rsidP="00350BA5">
      <w:pPr>
        <w:spacing w:after="0"/>
        <w:rPr>
          <w:rFonts w:cs="Arial"/>
        </w:rPr>
      </w:pPr>
    </w:p>
    <w:p w14:paraId="4AC33EA6" w14:textId="77777777" w:rsidR="008D3274" w:rsidRPr="00111DC0" w:rsidRDefault="008D3274" w:rsidP="00024B4E">
      <w:pPr>
        <w:pStyle w:val="Ttulo2"/>
      </w:pPr>
      <w:bookmarkStart w:id="2" w:name="_Toc122080779"/>
      <w:r w:rsidRPr="00111DC0">
        <w:t>Marco normativo de referencia</w:t>
      </w:r>
      <w:bookmarkEnd w:id="2"/>
    </w:p>
    <w:p w14:paraId="1893E308" w14:textId="0018B78A" w:rsidR="00C0275A" w:rsidRPr="00A704C5" w:rsidRDefault="00C0275A" w:rsidP="00AD3259">
      <w:pPr>
        <w:rPr>
          <w:rFonts w:cs="Arial"/>
          <w:b/>
          <w:bCs/>
        </w:rPr>
      </w:pPr>
      <w:r w:rsidRPr="00A704C5">
        <w:rPr>
          <w:rFonts w:cs="Arial"/>
          <w:b/>
          <w:bCs/>
        </w:rPr>
        <w:t>La igualdad es un principio jurídico universal reconocido en el marco</w:t>
      </w:r>
      <w:r w:rsidR="00F50B07" w:rsidRPr="00A704C5">
        <w:rPr>
          <w:rFonts w:cs="Arial"/>
          <w:b/>
          <w:bCs/>
        </w:rPr>
        <w:t xml:space="preserve"> internacional,</w:t>
      </w:r>
      <w:r w:rsidRPr="00A704C5">
        <w:rPr>
          <w:rFonts w:cs="Arial"/>
          <w:b/>
          <w:bCs/>
        </w:rPr>
        <w:t xml:space="preserve"> europeo y estatal. </w:t>
      </w:r>
    </w:p>
    <w:p w14:paraId="025A64F6" w14:textId="328247E7" w:rsidR="004D2399" w:rsidRPr="00111DC0" w:rsidRDefault="00F14F7B" w:rsidP="00A704C5">
      <w:pPr>
        <w:rPr>
          <w:rFonts w:cs="Arial"/>
          <w:iCs/>
        </w:rPr>
      </w:pPr>
      <w:r w:rsidRPr="00DF0631">
        <w:rPr>
          <w:rFonts w:cs="Arial"/>
          <w:b/>
          <w:bCs/>
        </w:rPr>
        <w:t>A nivel internacional,</w:t>
      </w:r>
      <w:r w:rsidRPr="00111DC0">
        <w:rPr>
          <w:rFonts w:cs="Arial"/>
        </w:rPr>
        <w:t xml:space="preserve"> la</w:t>
      </w:r>
      <w:r w:rsidR="00A704C5">
        <w:rPr>
          <w:rFonts w:cs="Arial"/>
        </w:rPr>
        <w:t xml:space="preserve"> primera referencia obligada es la</w:t>
      </w:r>
      <w:r w:rsidRPr="00111DC0">
        <w:rPr>
          <w:rFonts w:cs="Arial"/>
        </w:rPr>
        <w:t xml:space="preserve"> </w:t>
      </w:r>
      <w:r w:rsidRPr="00111DC0">
        <w:rPr>
          <w:rFonts w:cs="Arial"/>
          <w:i/>
          <w:iCs/>
          <w:color w:val="78BE20"/>
        </w:rPr>
        <w:t>Convención sobre la eliminación de todas las formas de discriminación contra la mujer</w:t>
      </w:r>
      <w:r w:rsidRPr="00111DC0">
        <w:rPr>
          <w:rFonts w:cs="Arial"/>
        </w:rPr>
        <w:t>, aprobada por la Asamblea General de las Naciones Unidas en 1979 y ratificada por España en 1983.</w:t>
      </w:r>
      <w:r w:rsidR="00A704C5">
        <w:rPr>
          <w:rFonts w:cs="Arial"/>
        </w:rPr>
        <w:t xml:space="preserve"> Adicionalmente, es preciso nombrar </w:t>
      </w:r>
      <w:r w:rsidRPr="00111DC0">
        <w:rPr>
          <w:rFonts w:cs="Arial"/>
        </w:rPr>
        <w:t xml:space="preserve">la Resolución adoptada por la Asamblea General de la ONU, el día 25 de septiembre de 2015, denominada </w:t>
      </w:r>
      <w:r w:rsidRPr="00111DC0">
        <w:rPr>
          <w:rFonts w:cs="Arial"/>
          <w:i/>
          <w:iCs/>
          <w:color w:val="78BE20"/>
        </w:rPr>
        <w:t>Agenda 2030 para el Desarrollo Sostenible</w:t>
      </w:r>
      <w:r w:rsidR="00A704C5">
        <w:rPr>
          <w:rFonts w:cs="Arial"/>
        </w:rPr>
        <w:t xml:space="preserve">. Entre sus </w:t>
      </w:r>
      <w:r w:rsidR="00A704C5" w:rsidRPr="00111DC0">
        <w:rPr>
          <w:rFonts w:cs="Arial"/>
        </w:rPr>
        <w:t>17 objetivos</w:t>
      </w:r>
      <w:r w:rsidR="00A704C5">
        <w:rPr>
          <w:rFonts w:cs="Arial"/>
        </w:rPr>
        <w:t xml:space="preserve"> se</w:t>
      </w:r>
      <w:r w:rsidR="00A704C5" w:rsidRPr="00111DC0">
        <w:rPr>
          <w:rFonts w:cs="Arial"/>
        </w:rPr>
        <w:t xml:space="preserve"> incluye </w:t>
      </w:r>
      <w:r w:rsidR="00A704C5" w:rsidRPr="00111DC0">
        <w:rPr>
          <w:rFonts w:cs="Arial"/>
          <w:i/>
        </w:rPr>
        <w:t xml:space="preserve">alcanzar la igualdad entre los géneros y empoderar a todas las mujeres y niñas </w:t>
      </w:r>
      <w:r w:rsidR="00A704C5" w:rsidRPr="00111DC0">
        <w:rPr>
          <w:rFonts w:cs="Arial"/>
        </w:rPr>
        <w:t>(ODS 5)</w:t>
      </w:r>
      <w:r w:rsidR="00A704C5" w:rsidRPr="00111DC0">
        <w:rPr>
          <w:rFonts w:cs="Arial"/>
          <w:i/>
        </w:rPr>
        <w:t>,</w:t>
      </w:r>
      <w:r w:rsidR="00A704C5" w:rsidRPr="00111DC0">
        <w:rPr>
          <w:rFonts w:cs="Arial"/>
          <w:iCs/>
        </w:rPr>
        <w:t xml:space="preserve"> </w:t>
      </w:r>
      <w:r w:rsidR="00A704C5">
        <w:rPr>
          <w:rFonts w:cs="Arial"/>
          <w:iCs/>
        </w:rPr>
        <w:t>para el cual</w:t>
      </w:r>
      <w:r w:rsidRPr="00111DC0">
        <w:rPr>
          <w:rFonts w:cs="Arial"/>
        </w:rPr>
        <w:t xml:space="preserve"> todas las Administraciones Públicas deben promover acciones </w:t>
      </w:r>
      <w:r w:rsidR="00A704C5">
        <w:rPr>
          <w:rFonts w:cs="Arial"/>
        </w:rPr>
        <w:t>consecuentes.</w:t>
      </w:r>
    </w:p>
    <w:p w14:paraId="608EEEB5" w14:textId="7BD38217" w:rsidR="001A79D4" w:rsidRPr="00111DC0" w:rsidRDefault="00F14F7B" w:rsidP="00AD3259">
      <w:pPr>
        <w:rPr>
          <w:rFonts w:cs="Arial"/>
        </w:rPr>
      </w:pPr>
      <w:r w:rsidRPr="00DF0631">
        <w:rPr>
          <w:rFonts w:cs="Arial"/>
          <w:b/>
          <w:bCs/>
        </w:rPr>
        <w:t>En la Unión Europea,</w:t>
      </w:r>
      <w:r w:rsidRPr="00111DC0">
        <w:rPr>
          <w:rFonts w:cs="Arial"/>
        </w:rPr>
        <w:t xml:space="preserve"> la igualdad entre </w:t>
      </w:r>
      <w:r w:rsidR="004D2399" w:rsidRPr="00111DC0">
        <w:rPr>
          <w:rFonts w:cs="Arial"/>
        </w:rPr>
        <w:t xml:space="preserve">mujeres y </w:t>
      </w:r>
      <w:r w:rsidRPr="00111DC0">
        <w:rPr>
          <w:rFonts w:cs="Arial"/>
        </w:rPr>
        <w:t xml:space="preserve">hombres </w:t>
      </w:r>
      <w:r w:rsidR="00A704C5">
        <w:rPr>
          <w:rFonts w:cs="Arial"/>
        </w:rPr>
        <w:t>es</w:t>
      </w:r>
      <w:r w:rsidR="00686EC0" w:rsidRPr="00111DC0">
        <w:rPr>
          <w:rFonts w:cs="Arial"/>
        </w:rPr>
        <w:t xml:space="preserve"> </w:t>
      </w:r>
      <w:r w:rsidRPr="00111DC0">
        <w:rPr>
          <w:rFonts w:cs="Arial"/>
        </w:rPr>
        <w:t xml:space="preserve">un valor fundamental recogido en el </w:t>
      </w:r>
      <w:r w:rsidRPr="00111DC0">
        <w:rPr>
          <w:rFonts w:cs="Arial"/>
          <w:i/>
          <w:iCs/>
          <w:color w:val="78BE20"/>
        </w:rPr>
        <w:t>Tratado de la Unión Europea</w:t>
      </w:r>
      <w:r w:rsidRPr="00111DC0">
        <w:rPr>
          <w:rFonts w:cs="Arial"/>
        </w:rPr>
        <w:t xml:space="preserve">, en el </w:t>
      </w:r>
      <w:r w:rsidRPr="00111DC0">
        <w:rPr>
          <w:rFonts w:cs="Arial"/>
          <w:i/>
          <w:iCs/>
          <w:color w:val="78BE20"/>
        </w:rPr>
        <w:t>Tratado de Funcionamiento de la Unión Europea</w:t>
      </w:r>
      <w:r w:rsidRPr="00111DC0">
        <w:rPr>
          <w:rFonts w:cs="Arial"/>
        </w:rPr>
        <w:t xml:space="preserve"> y en la </w:t>
      </w:r>
      <w:r w:rsidRPr="00111DC0">
        <w:rPr>
          <w:rFonts w:cs="Arial"/>
          <w:i/>
          <w:iCs/>
          <w:color w:val="78BE20"/>
        </w:rPr>
        <w:t>Carta de los Derechos Fundamentales</w:t>
      </w:r>
      <w:r w:rsidRPr="00111DC0">
        <w:rPr>
          <w:rFonts w:cs="Arial"/>
        </w:rPr>
        <w:t>, debiéndose integrar en todas las políticas y acciones de la Unión y de sus Estados miembros.</w:t>
      </w:r>
      <w:r w:rsidR="00AD3259" w:rsidRPr="00111DC0">
        <w:rPr>
          <w:rFonts w:cs="Arial"/>
        </w:rPr>
        <w:br w:type="page"/>
      </w:r>
      <w:r w:rsidR="00C0275A" w:rsidRPr="00DF0631">
        <w:rPr>
          <w:rFonts w:cs="Arial"/>
          <w:b/>
          <w:bCs/>
        </w:rPr>
        <w:lastRenderedPageBreak/>
        <w:t>En España,</w:t>
      </w:r>
      <w:r w:rsidR="00C0275A" w:rsidRPr="00111DC0">
        <w:rPr>
          <w:rFonts w:cs="Arial"/>
        </w:rPr>
        <w:t xml:space="preserve"> los principios de igualdad y de no discriminación están reconocidos en el artículo 14 de la </w:t>
      </w:r>
      <w:r w:rsidR="00C0275A" w:rsidRPr="00111DC0">
        <w:rPr>
          <w:rFonts w:cs="Arial"/>
          <w:i/>
          <w:iCs/>
          <w:color w:val="78BE20"/>
        </w:rPr>
        <w:t>Constitución</w:t>
      </w:r>
      <w:r w:rsidR="00C0275A" w:rsidRPr="00111DC0">
        <w:rPr>
          <w:rFonts w:cs="Arial"/>
        </w:rPr>
        <w:t xml:space="preserve">. </w:t>
      </w:r>
      <w:r w:rsidR="00A704C5">
        <w:rPr>
          <w:rFonts w:cs="Arial"/>
        </w:rPr>
        <w:t>Hasta la aprobación de</w:t>
      </w:r>
      <w:r w:rsidR="00196555" w:rsidRPr="00111DC0">
        <w:rPr>
          <w:rFonts w:cs="Arial"/>
        </w:rPr>
        <w:t xml:space="preserve"> ley de igualdad </w:t>
      </w:r>
      <w:r w:rsidR="00A704C5">
        <w:rPr>
          <w:rFonts w:cs="Arial"/>
        </w:rPr>
        <w:t xml:space="preserve">de </w:t>
      </w:r>
      <w:r w:rsidR="004D2399" w:rsidRPr="00111DC0">
        <w:rPr>
          <w:rFonts w:cs="Arial"/>
        </w:rPr>
        <w:t>La Rioja</w:t>
      </w:r>
      <w:r w:rsidR="00196555" w:rsidRPr="00111DC0">
        <w:rPr>
          <w:rFonts w:cs="Arial"/>
        </w:rPr>
        <w:t>, l</w:t>
      </w:r>
      <w:r w:rsidR="00C0275A" w:rsidRPr="00111DC0">
        <w:rPr>
          <w:rFonts w:cs="Arial"/>
        </w:rPr>
        <w:t xml:space="preserve">a </w:t>
      </w:r>
      <w:r w:rsidR="00196555" w:rsidRPr="00111DC0">
        <w:rPr>
          <w:rFonts w:cs="Arial"/>
          <w:i/>
          <w:iCs/>
          <w:color w:val="78BE20"/>
        </w:rPr>
        <w:t>l</w:t>
      </w:r>
      <w:r w:rsidR="00C0275A" w:rsidRPr="00111DC0">
        <w:rPr>
          <w:rFonts w:cs="Arial"/>
          <w:i/>
          <w:iCs/>
          <w:color w:val="78BE20"/>
        </w:rPr>
        <w:t xml:space="preserve">ey </w:t>
      </w:r>
      <w:r w:rsidR="00B1378B">
        <w:rPr>
          <w:rFonts w:cs="Arial"/>
          <w:i/>
          <w:iCs/>
          <w:color w:val="78BE20"/>
        </w:rPr>
        <w:t>o</w:t>
      </w:r>
      <w:r w:rsidR="00C0275A" w:rsidRPr="00111DC0">
        <w:rPr>
          <w:rFonts w:cs="Arial"/>
          <w:i/>
          <w:iCs/>
          <w:color w:val="78BE20"/>
        </w:rPr>
        <w:t>rgánica 3/2007, de 22 de marzo, para la igualdad efectiva entre mujeres y hombres</w:t>
      </w:r>
      <w:r w:rsidR="00C0275A" w:rsidRPr="00111DC0">
        <w:rPr>
          <w:rFonts w:cs="Arial"/>
          <w:b/>
          <w:bCs/>
        </w:rPr>
        <w:t xml:space="preserve"> </w:t>
      </w:r>
      <w:r w:rsidR="00A704C5" w:rsidRPr="00111DC0">
        <w:rPr>
          <w:rFonts w:cs="Arial"/>
        </w:rPr>
        <w:t xml:space="preserve">es </w:t>
      </w:r>
      <w:r w:rsidR="00196555" w:rsidRPr="00111DC0">
        <w:rPr>
          <w:rFonts w:cs="Arial"/>
        </w:rPr>
        <w:t xml:space="preserve">la base </w:t>
      </w:r>
      <w:r w:rsidR="00C0275A" w:rsidRPr="00111DC0">
        <w:rPr>
          <w:rFonts w:cs="Arial"/>
        </w:rPr>
        <w:t xml:space="preserve">de referencia </w:t>
      </w:r>
      <w:r w:rsidR="00A704C5">
        <w:rPr>
          <w:rFonts w:cs="Arial"/>
        </w:rPr>
        <w:t xml:space="preserve">de los </w:t>
      </w:r>
      <w:r w:rsidR="002A6051" w:rsidRPr="00111DC0">
        <w:rPr>
          <w:rFonts w:cs="Arial"/>
        </w:rPr>
        <w:t xml:space="preserve">criterios y principios de actuación </w:t>
      </w:r>
      <w:r w:rsidR="00196555" w:rsidRPr="00111DC0">
        <w:rPr>
          <w:rFonts w:cs="Arial"/>
        </w:rPr>
        <w:t xml:space="preserve">a los </w:t>
      </w:r>
      <w:r w:rsidR="00A704C5">
        <w:rPr>
          <w:rFonts w:cs="Arial"/>
        </w:rPr>
        <w:t>que</w:t>
      </w:r>
      <w:r w:rsidR="00196555" w:rsidRPr="00111DC0">
        <w:rPr>
          <w:rFonts w:cs="Arial"/>
        </w:rPr>
        <w:t xml:space="preserve"> debe</w:t>
      </w:r>
      <w:r w:rsidR="00A704C5">
        <w:rPr>
          <w:rFonts w:cs="Arial"/>
        </w:rPr>
        <w:t>n</w:t>
      </w:r>
      <w:r w:rsidR="00196555" w:rsidRPr="00111DC0">
        <w:rPr>
          <w:rFonts w:cs="Arial"/>
        </w:rPr>
        <w:t xml:space="preserve"> plegarse </w:t>
      </w:r>
      <w:r w:rsidR="00A704C5">
        <w:rPr>
          <w:rFonts w:cs="Arial"/>
        </w:rPr>
        <w:t>los Poderes Públicos</w:t>
      </w:r>
      <w:r w:rsidR="00196555" w:rsidRPr="00111DC0">
        <w:rPr>
          <w:rFonts w:cs="Arial"/>
        </w:rPr>
        <w:t xml:space="preserve"> de La Rioja</w:t>
      </w:r>
      <w:r w:rsidR="00A704C5">
        <w:rPr>
          <w:rFonts w:cs="Arial"/>
        </w:rPr>
        <w:t xml:space="preserve"> en esta materia. </w:t>
      </w:r>
      <w:r w:rsidR="001A79D4" w:rsidRPr="00111DC0">
        <w:rPr>
          <w:rFonts w:cs="Arial"/>
        </w:rPr>
        <w:t>Todo ello alumbrado por los contenidos del Título V, en do</w:t>
      </w:r>
      <w:r w:rsidR="00B15108" w:rsidRPr="00111DC0">
        <w:rPr>
          <w:rFonts w:cs="Arial"/>
        </w:rPr>
        <w:t>n</w:t>
      </w:r>
      <w:r w:rsidR="001A79D4" w:rsidRPr="00111DC0">
        <w:rPr>
          <w:rFonts w:cs="Arial"/>
        </w:rPr>
        <w:t xml:space="preserve">de se dicta el </w:t>
      </w:r>
      <w:r w:rsidR="00B15108" w:rsidRPr="00111DC0">
        <w:rPr>
          <w:rFonts w:cs="Arial"/>
        </w:rPr>
        <w:t>principio</w:t>
      </w:r>
      <w:r w:rsidR="001A79D4" w:rsidRPr="00111DC0">
        <w:rPr>
          <w:rFonts w:cs="Arial"/>
        </w:rPr>
        <w:t xml:space="preserve"> de </w:t>
      </w:r>
      <w:r w:rsidR="00B15108" w:rsidRPr="00111DC0">
        <w:rPr>
          <w:rFonts w:cs="Arial"/>
        </w:rPr>
        <w:t>igualdad</w:t>
      </w:r>
      <w:r w:rsidR="001A79D4" w:rsidRPr="00111DC0">
        <w:rPr>
          <w:rFonts w:cs="Arial"/>
        </w:rPr>
        <w:t xml:space="preserve"> en el empleo público y se especifican los criterios de actuación de las Administraciones Públicas. </w:t>
      </w:r>
    </w:p>
    <w:p w14:paraId="3DB9EB64" w14:textId="6832D218" w:rsidR="001A79D4" w:rsidRPr="00111DC0" w:rsidRDefault="00A704C5" w:rsidP="00AD3259">
      <w:pPr>
        <w:rPr>
          <w:rFonts w:cs="Arial"/>
        </w:rPr>
      </w:pPr>
      <w:r>
        <w:rPr>
          <w:rFonts w:cs="Arial"/>
        </w:rPr>
        <w:t>Además</w:t>
      </w:r>
      <w:r w:rsidR="002A6051" w:rsidRPr="00111DC0">
        <w:rPr>
          <w:rFonts w:cs="Arial"/>
        </w:rPr>
        <w:t xml:space="preserve">, dos menciones concretas a los Planes de Igualdad </w:t>
      </w:r>
      <w:r w:rsidR="00DF0631">
        <w:rPr>
          <w:rFonts w:cs="Arial"/>
        </w:rPr>
        <w:t xml:space="preserve">se han tomado </w:t>
      </w:r>
      <w:r w:rsidR="002A6051" w:rsidRPr="00111DC0">
        <w:rPr>
          <w:rFonts w:cs="Arial"/>
        </w:rPr>
        <w:t xml:space="preserve">como guía </w:t>
      </w:r>
      <w:r w:rsidR="00DF0631">
        <w:rPr>
          <w:rFonts w:cs="Arial"/>
        </w:rPr>
        <w:t>en este I Plan de Igualdad de la Administración General de La Rioja</w:t>
      </w:r>
      <w:r>
        <w:rPr>
          <w:rFonts w:cs="Arial"/>
        </w:rPr>
        <w:t>:</w:t>
      </w:r>
      <w:r w:rsidR="002A6051" w:rsidRPr="00111DC0">
        <w:rPr>
          <w:rFonts w:cs="Arial"/>
        </w:rPr>
        <w:t xml:space="preserve"> </w:t>
      </w:r>
      <w:r>
        <w:rPr>
          <w:rFonts w:cs="Arial"/>
        </w:rPr>
        <w:t>e</w:t>
      </w:r>
      <w:r w:rsidR="002A6051" w:rsidRPr="00111DC0">
        <w:rPr>
          <w:rFonts w:cs="Arial"/>
        </w:rPr>
        <w:t>l artículo 64</w:t>
      </w:r>
      <w:r w:rsidR="00F6503F" w:rsidRPr="00111DC0">
        <w:rPr>
          <w:rFonts w:cs="Arial"/>
        </w:rPr>
        <w:t xml:space="preserve">, </w:t>
      </w:r>
      <w:r>
        <w:rPr>
          <w:rFonts w:cs="Arial"/>
        </w:rPr>
        <w:t>sobre el</w:t>
      </w:r>
      <w:r w:rsidR="00F6503F" w:rsidRPr="00111DC0">
        <w:rPr>
          <w:rFonts w:cs="Arial"/>
        </w:rPr>
        <w:t xml:space="preserve"> Plan de promoción de la igualdad de trato y de oportunidades en el empleo público, que tendrá que ser negociado y acordado con la </w:t>
      </w:r>
      <w:r w:rsidR="00EA6D52">
        <w:rPr>
          <w:rFonts w:cs="Arial"/>
        </w:rPr>
        <w:t>R</w:t>
      </w:r>
      <w:r w:rsidR="00F6503F" w:rsidRPr="00111DC0">
        <w:rPr>
          <w:rFonts w:cs="Arial"/>
        </w:rPr>
        <w:t xml:space="preserve">epresentación </w:t>
      </w:r>
      <w:r w:rsidR="00EA6D52">
        <w:rPr>
          <w:rFonts w:cs="Arial"/>
        </w:rPr>
        <w:t>L</w:t>
      </w:r>
      <w:r w:rsidR="00F6503F" w:rsidRPr="00111DC0">
        <w:rPr>
          <w:rFonts w:cs="Arial"/>
        </w:rPr>
        <w:t>egal de las empleadas y empleados públicos</w:t>
      </w:r>
      <w:r w:rsidR="00DF0631">
        <w:rPr>
          <w:rFonts w:cs="Arial"/>
        </w:rPr>
        <w:t xml:space="preserve">, y el </w:t>
      </w:r>
      <w:r w:rsidR="00FE1A8F" w:rsidRPr="00111DC0">
        <w:rPr>
          <w:rFonts w:cs="Arial"/>
        </w:rPr>
        <w:t>artículo 46</w:t>
      </w:r>
      <w:r w:rsidR="00DF0631">
        <w:rPr>
          <w:rFonts w:cs="Arial"/>
        </w:rPr>
        <w:t>,</w:t>
      </w:r>
      <w:r w:rsidR="00FE1A8F" w:rsidRPr="00111DC0">
        <w:rPr>
          <w:rFonts w:cs="Arial"/>
        </w:rPr>
        <w:t xml:space="preserve"> sobre e</w:t>
      </w:r>
      <w:r w:rsidR="00C654A3" w:rsidRPr="00111DC0">
        <w:rPr>
          <w:rFonts w:cs="Arial"/>
        </w:rPr>
        <w:t xml:space="preserve">l concepto y contenido de los planes de igualdad en las empresas. </w:t>
      </w:r>
    </w:p>
    <w:p w14:paraId="28663336" w14:textId="65274375" w:rsidR="00917C82" w:rsidRPr="00111DC0" w:rsidRDefault="00DF0631" w:rsidP="00AD3259">
      <w:pPr>
        <w:rPr>
          <w:rFonts w:cs="Arial"/>
        </w:rPr>
      </w:pPr>
      <w:r>
        <w:rPr>
          <w:rFonts w:cs="Arial"/>
        </w:rPr>
        <w:t>Sobre este último</w:t>
      </w:r>
      <w:r w:rsidR="00FE1A8F" w:rsidRPr="00111DC0">
        <w:rPr>
          <w:rFonts w:cs="Arial"/>
        </w:rPr>
        <w:t>, dos</w:t>
      </w:r>
      <w:r w:rsidR="00C654A3" w:rsidRPr="00111DC0">
        <w:rPr>
          <w:rFonts w:cs="Arial"/>
        </w:rPr>
        <w:t xml:space="preserve"> Reglamentos posteriores, </w:t>
      </w:r>
      <w:r w:rsidR="00917C82" w:rsidRPr="00111DC0">
        <w:rPr>
          <w:rFonts w:cs="Arial"/>
        </w:rPr>
        <w:t xml:space="preserve">el </w:t>
      </w:r>
      <w:r w:rsidR="00917C82" w:rsidRPr="00111DC0">
        <w:rPr>
          <w:rFonts w:cs="Arial"/>
          <w:i/>
          <w:iCs/>
          <w:color w:val="78BE20"/>
        </w:rPr>
        <w:t xml:space="preserve">RD 901/2020, de 13 de octubre, por el que se regulan los planes de igualdad y su registro, </w:t>
      </w:r>
      <w:r w:rsidR="00917C82" w:rsidRPr="00111DC0">
        <w:rPr>
          <w:rFonts w:cs="Arial"/>
        </w:rPr>
        <w:t>y el</w:t>
      </w:r>
      <w:r w:rsidR="00917C82" w:rsidRPr="00111DC0">
        <w:rPr>
          <w:rFonts w:cs="Arial"/>
          <w:i/>
          <w:iCs/>
          <w:color w:val="78BE20"/>
        </w:rPr>
        <w:t xml:space="preserve"> RD 902/2020, de 13 de octubre, de igualdad retributiva entre mujeres y hombres</w:t>
      </w:r>
      <w:r w:rsidR="00917C82" w:rsidRPr="00111DC0">
        <w:rPr>
          <w:rFonts w:cs="Arial"/>
        </w:rPr>
        <w:t xml:space="preserve">, son también </w:t>
      </w:r>
      <w:r>
        <w:rPr>
          <w:rFonts w:cs="Arial"/>
        </w:rPr>
        <w:t>empleados</w:t>
      </w:r>
      <w:r w:rsidR="00917C82" w:rsidRPr="00111DC0">
        <w:rPr>
          <w:rFonts w:cs="Arial"/>
        </w:rPr>
        <w:t xml:space="preserve"> como guía de desarrollo </w:t>
      </w:r>
      <w:r>
        <w:rPr>
          <w:rFonts w:cs="Arial"/>
        </w:rPr>
        <w:t>de este documento</w:t>
      </w:r>
      <w:r w:rsidR="00917C82" w:rsidRPr="00111DC0">
        <w:rPr>
          <w:rFonts w:cs="Arial"/>
        </w:rPr>
        <w:t xml:space="preserve">, </w:t>
      </w:r>
      <w:r>
        <w:rPr>
          <w:rFonts w:cs="Arial"/>
        </w:rPr>
        <w:t>asumiendo que este último</w:t>
      </w:r>
      <w:r w:rsidR="00917C82" w:rsidRPr="00111DC0">
        <w:rPr>
          <w:rFonts w:cs="Arial"/>
        </w:rPr>
        <w:t xml:space="preserve"> es aplicable al personal laboral al servicio de las administraciones públicas</w:t>
      </w:r>
      <w:r w:rsidR="00CF79F9" w:rsidRPr="00111DC0">
        <w:rPr>
          <w:rFonts w:cs="Arial"/>
        </w:rPr>
        <w:t xml:space="preserve">. </w:t>
      </w:r>
      <w:r w:rsidR="00917C82" w:rsidRPr="00111DC0">
        <w:rPr>
          <w:rFonts w:cs="Arial"/>
        </w:rPr>
        <w:t xml:space="preserve"> </w:t>
      </w:r>
    </w:p>
    <w:p w14:paraId="09F6FC93" w14:textId="47C8CD88" w:rsidR="00917C82" w:rsidRPr="00111DC0" w:rsidRDefault="00027311" w:rsidP="00AD3259">
      <w:pPr>
        <w:rPr>
          <w:rFonts w:cs="Arial"/>
        </w:rPr>
      </w:pPr>
      <w:r w:rsidRPr="00111DC0">
        <w:rPr>
          <w:rFonts w:cs="Arial"/>
        </w:rPr>
        <w:t xml:space="preserve">Otras dos normas de carácter estatal son referencia obligada. De un lado, el </w:t>
      </w:r>
      <w:r w:rsidRPr="00111DC0">
        <w:rPr>
          <w:rFonts w:cs="Arial"/>
          <w:i/>
          <w:iCs/>
          <w:color w:val="78BE20"/>
        </w:rPr>
        <w:t>Real Decreto Legislativo 5/2015, de 30 de octubre, por el que se aprueba el texto refundido de la Ley del Estatuto Básico del Emple</w:t>
      </w:r>
      <w:r w:rsidR="00176B63">
        <w:rPr>
          <w:rFonts w:cs="Arial"/>
          <w:i/>
          <w:iCs/>
          <w:color w:val="78BE20"/>
        </w:rPr>
        <w:t>ad</w:t>
      </w:r>
      <w:r w:rsidRPr="00111DC0">
        <w:rPr>
          <w:rFonts w:cs="Arial"/>
          <w:i/>
          <w:iCs/>
          <w:color w:val="78BE20"/>
        </w:rPr>
        <w:t>o Público</w:t>
      </w:r>
      <w:r w:rsidRPr="00111DC0">
        <w:rPr>
          <w:rFonts w:cs="Arial"/>
        </w:rPr>
        <w:t xml:space="preserve">, </w:t>
      </w:r>
      <w:r w:rsidR="00DF0631">
        <w:rPr>
          <w:rFonts w:cs="Arial"/>
        </w:rPr>
        <w:t>cuya</w:t>
      </w:r>
      <w:r w:rsidR="006C79AC" w:rsidRPr="00111DC0">
        <w:rPr>
          <w:rFonts w:cs="Arial"/>
        </w:rPr>
        <w:t xml:space="preserve"> Disposición Adicional Séptima dicta la </w:t>
      </w:r>
      <w:r w:rsidR="000F7F74" w:rsidRPr="00111DC0">
        <w:rPr>
          <w:rFonts w:cs="Arial"/>
        </w:rPr>
        <w:t>obligatoriedad</w:t>
      </w:r>
      <w:r w:rsidR="006C79AC" w:rsidRPr="00111DC0">
        <w:rPr>
          <w:rFonts w:cs="Arial"/>
        </w:rPr>
        <w:t xml:space="preserve"> de las </w:t>
      </w:r>
      <w:r w:rsidR="000F7F74" w:rsidRPr="00111DC0">
        <w:rPr>
          <w:rFonts w:cs="Arial"/>
        </w:rPr>
        <w:t>Administraciones</w:t>
      </w:r>
      <w:r w:rsidR="006C79AC" w:rsidRPr="00111DC0">
        <w:rPr>
          <w:rFonts w:cs="Arial"/>
        </w:rPr>
        <w:t xml:space="preserve"> </w:t>
      </w:r>
      <w:r w:rsidR="000F7F74" w:rsidRPr="00111DC0">
        <w:rPr>
          <w:rFonts w:cs="Arial"/>
        </w:rPr>
        <w:t>Públicas</w:t>
      </w:r>
      <w:r w:rsidR="006C79AC" w:rsidRPr="00111DC0">
        <w:rPr>
          <w:rFonts w:cs="Arial"/>
        </w:rPr>
        <w:t xml:space="preserve"> de respetar la igualdad de trato y de oportunidades en el ámbito laboral, para cuya finalidad deberán adoptar medidas dirigidas a evitar cualquier tipo de discriminación laboral entre mujeres y hombres</w:t>
      </w:r>
      <w:r w:rsidR="00DF0631">
        <w:rPr>
          <w:rFonts w:cs="Arial"/>
        </w:rPr>
        <w:t xml:space="preserve">, y </w:t>
      </w:r>
      <w:r w:rsidR="000F7F74" w:rsidRPr="00111DC0">
        <w:rPr>
          <w:rFonts w:cs="Arial"/>
        </w:rPr>
        <w:t>materializadas</w:t>
      </w:r>
      <w:r w:rsidR="006C79AC" w:rsidRPr="00111DC0">
        <w:rPr>
          <w:rFonts w:cs="Arial"/>
        </w:rPr>
        <w:t xml:space="preserve"> en un P</w:t>
      </w:r>
      <w:r w:rsidR="00E8302F" w:rsidRPr="00111DC0">
        <w:rPr>
          <w:rFonts w:cs="Arial"/>
        </w:rPr>
        <w:t>l</w:t>
      </w:r>
      <w:r w:rsidR="006C79AC" w:rsidRPr="00111DC0">
        <w:rPr>
          <w:rFonts w:cs="Arial"/>
        </w:rPr>
        <w:t xml:space="preserve">an de Igualdad. </w:t>
      </w:r>
      <w:r w:rsidR="008268A8" w:rsidRPr="00111DC0">
        <w:rPr>
          <w:rFonts w:cs="Arial"/>
        </w:rPr>
        <w:t xml:space="preserve">De otro lado, y como marco aplicable al personal laboral, el </w:t>
      </w:r>
      <w:r w:rsidR="008268A8" w:rsidRPr="00111DC0">
        <w:rPr>
          <w:rFonts w:cs="Arial"/>
          <w:i/>
          <w:iCs/>
          <w:color w:val="78BE20"/>
        </w:rPr>
        <w:t xml:space="preserve">Estatuto de los </w:t>
      </w:r>
      <w:r w:rsidR="00B850EC" w:rsidRPr="00111DC0">
        <w:rPr>
          <w:rFonts w:cs="Arial"/>
          <w:i/>
          <w:iCs/>
          <w:color w:val="78BE20"/>
        </w:rPr>
        <w:t>Trabajadores, aprobado</w:t>
      </w:r>
      <w:r w:rsidR="008268A8" w:rsidRPr="00111DC0">
        <w:rPr>
          <w:rFonts w:cs="Arial"/>
          <w:i/>
          <w:iCs/>
          <w:color w:val="78BE20"/>
        </w:rPr>
        <w:t xml:space="preserve"> por el Real Decreto </w:t>
      </w:r>
      <w:r w:rsidR="007142F5" w:rsidRPr="00111DC0">
        <w:rPr>
          <w:rFonts w:cs="Arial"/>
          <w:i/>
          <w:iCs/>
          <w:color w:val="78BE20"/>
        </w:rPr>
        <w:t>L</w:t>
      </w:r>
      <w:r w:rsidR="008268A8" w:rsidRPr="00111DC0">
        <w:rPr>
          <w:rFonts w:cs="Arial"/>
          <w:i/>
          <w:iCs/>
          <w:color w:val="78BE20"/>
        </w:rPr>
        <w:t xml:space="preserve">egislativo </w:t>
      </w:r>
      <w:r w:rsidR="000F7F74" w:rsidRPr="00111DC0">
        <w:rPr>
          <w:rFonts w:cs="Arial"/>
          <w:i/>
          <w:iCs/>
          <w:color w:val="78BE20"/>
        </w:rPr>
        <w:t>2</w:t>
      </w:r>
      <w:r w:rsidR="008268A8" w:rsidRPr="00111DC0">
        <w:rPr>
          <w:rFonts w:cs="Arial"/>
          <w:i/>
          <w:iCs/>
          <w:color w:val="78BE20"/>
        </w:rPr>
        <w:t>/2015 de 22 de octubre</w:t>
      </w:r>
      <w:r w:rsidR="008268A8" w:rsidRPr="00111DC0">
        <w:rPr>
          <w:rFonts w:cs="Arial"/>
        </w:rPr>
        <w:t xml:space="preserve">, recoge numerosas obligaciones y derechos en materia </w:t>
      </w:r>
      <w:r w:rsidR="00FE1A8F" w:rsidRPr="00111DC0">
        <w:rPr>
          <w:rFonts w:cs="Arial"/>
        </w:rPr>
        <w:t>de igualdad</w:t>
      </w:r>
      <w:r w:rsidR="008268A8" w:rsidRPr="00111DC0">
        <w:rPr>
          <w:rFonts w:cs="Arial"/>
        </w:rPr>
        <w:t xml:space="preserve">. </w:t>
      </w:r>
    </w:p>
    <w:p w14:paraId="5CF0F220" w14:textId="623CE65C" w:rsidR="00716460" w:rsidRPr="00111DC0" w:rsidRDefault="00716460" w:rsidP="00AD3259">
      <w:pPr>
        <w:rPr>
          <w:rFonts w:cs="Arial"/>
        </w:rPr>
      </w:pPr>
      <w:r w:rsidRPr="00DF0631">
        <w:rPr>
          <w:rFonts w:cs="Arial"/>
          <w:b/>
          <w:bCs/>
        </w:rPr>
        <w:t>En la Comunidad Autónoma de La Rioja</w:t>
      </w:r>
      <w:r w:rsidRPr="00111DC0">
        <w:rPr>
          <w:rFonts w:cs="Arial"/>
        </w:rPr>
        <w:t xml:space="preserve"> se han venido impulsando igualmente normativas</w:t>
      </w:r>
      <w:r w:rsidR="007368BA" w:rsidRPr="00111DC0">
        <w:rPr>
          <w:rFonts w:cs="Arial"/>
        </w:rPr>
        <w:t xml:space="preserve"> y</w:t>
      </w:r>
      <w:r w:rsidRPr="00111DC0">
        <w:rPr>
          <w:rFonts w:cs="Arial"/>
        </w:rPr>
        <w:t xml:space="preserve"> programas</w:t>
      </w:r>
      <w:r w:rsidR="007368BA" w:rsidRPr="00111DC0">
        <w:rPr>
          <w:rFonts w:cs="Arial"/>
        </w:rPr>
        <w:t>, así como</w:t>
      </w:r>
      <w:r w:rsidRPr="00111DC0">
        <w:rPr>
          <w:rFonts w:cs="Arial"/>
        </w:rPr>
        <w:t xml:space="preserve"> servicios y recursos orientados a mejorar la igualdad entre mujeres y hombres. También </w:t>
      </w:r>
      <w:r w:rsidR="007368BA" w:rsidRPr="00111DC0">
        <w:rPr>
          <w:rFonts w:cs="Arial"/>
        </w:rPr>
        <w:t xml:space="preserve">se han orientado </w:t>
      </w:r>
      <w:r w:rsidRPr="00111DC0">
        <w:rPr>
          <w:rFonts w:cs="Arial"/>
        </w:rPr>
        <w:t>a erradicar y atender, en su caso, situaciones de violencia contra las mujeres en cumplimiento del artículo 7 del Estatuto de Autonomía de La Rioja, aprobado por</w:t>
      </w:r>
      <w:r w:rsidR="004D2399" w:rsidRPr="00111DC0">
        <w:rPr>
          <w:rFonts w:cs="Arial"/>
        </w:rPr>
        <w:t xml:space="preserve"> la</w:t>
      </w:r>
      <w:r w:rsidRPr="00111DC0">
        <w:rPr>
          <w:rFonts w:cs="Arial"/>
        </w:rPr>
        <w:t xml:space="preserve"> </w:t>
      </w:r>
      <w:r w:rsidRPr="00111DC0">
        <w:rPr>
          <w:rFonts w:cs="Arial"/>
          <w:i/>
          <w:iCs/>
          <w:color w:val="78BE20"/>
        </w:rPr>
        <w:t>Ley Orgánica 3/1982, de 9 de junio</w:t>
      </w:r>
      <w:r w:rsidRPr="00111DC0">
        <w:rPr>
          <w:rFonts w:cs="Arial"/>
        </w:rPr>
        <w:t>.</w:t>
      </w:r>
      <w:r w:rsidR="00DF0631">
        <w:rPr>
          <w:rFonts w:cs="Arial"/>
        </w:rPr>
        <w:t xml:space="preserve"> </w:t>
      </w:r>
      <w:r w:rsidRPr="00111DC0">
        <w:rPr>
          <w:rFonts w:cs="Arial"/>
        </w:rPr>
        <w:t xml:space="preserve">En este sentido, tanto la disposición adicional duodécima del </w:t>
      </w:r>
      <w:r w:rsidRPr="00111DC0">
        <w:rPr>
          <w:rFonts w:cs="Arial"/>
          <w:i/>
          <w:iCs/>
          <w:color w:val="78BE20"/>
        </w:rPr>
        <w:t xml:space="preserve">Acuerdo para el personal funcionario de la Comunidad Autónoma de La Rioja (2008-2011) </w:t>
      </w:r>
      <w:r w:rsidRPr="00111DC0">
        <w:rPr>
          <w:rFonts w:cs="Arial"/>
        </w:rPr>
        <w:t>como la disposición adicional décima del</w:t>
      </w:r>
      <w:r w:rsidRPr="00111DC0">
        <w:rPr>
          <w:rFonts w:cs="Arial"/>
          <w:i/>
          <w:iCs/>
          <w:color w:val="78BE20"/>
        </w:rPr>
        <w:t xml:space="preserve"> Convenio Colectivo para el personal laboral de la Comunidad Autónoma de La Rioja (2008-2011)</w:t>
      </w:r>
      <w:r w:rsidRPr="00111DC0">
        <w:rPr>
          <w:rFonts w:cs="Arial"/>
        </w:rPr>
        <w:t xml:space="preserve">, disponen que la Mesa General y </w:t>
      </w:r>
      <w:r w:rsidR="004D2399" w:rsidRPr="00111DC0">
        <w:rPr>
          <w:rFonts w:cs="Arial"/>
        </w:rPr>
        <w:t xml:space="preserve">la </w:t>
      </w:r>
      <w:r w:rsidRPr="00111DC0">
        <w:rPr>
          <w:rFonts w:cs="Arial"/>
        </w:rPr>
        <w:t xml:space="preserve">Comisión Paritaria se reúnan para </w:t>
      </w:r>
      <w:r w:rsidR="00DF0631" w:rsidRPr="00111DC0">
        <w:rPr>
          <w:rFonts w:cs="Arial"/>
        </w:rPr>
        <w:t>elaborar</w:t>
      </w:r>
      <w:r w:rsidRPr="00111DC0">
        <w:rPr>
          <w:rFonts w:cs="Arial"/>
        </w:rPr>
        <w:t xml:space="preserve"> el Plan de Igualdad de </w:t>
      </w:r>
      <w:r w:rsidR="004D2399" w:rsidRPr="00111DC0">
        <w:rPr>
          <w:rFonts w:cs="Arial"/>
        </w:rPr>
        <w:t xml:space="preserve">las empleadas y </w:t>
      </w:r>
      <w:r w:rsidRPr="00111DC0">
        <w:rPr>
          <w:rFonts w:cs="Arial"/>
        </w:rPr>
        <w:t xml:space="preserve">empleados públicos de la Comunidad Autónoma de La Rioja. </w:t>
      </w:r>
    </w:p>
    <w:p w14:paraId="78C493BE" w14:textId="77813861" w:rsidR="00682CDB" w:rsidRPr="00111DC0" w:rsidRDefault="00682CDB">
      <w:pPr>
        <w:spacing w:line="259" w:lineRule="auto"/>
        <w:jc w:val="left"/>
        <w:rPr>
          <w:rFonts w:cs="Arial"/>
        </w:rPr>
      </w:pPr>
      <w:r w:rsidRPr="00111DC0">
        <w:rPr>
          <w:rFonts w:cs="Arial"/>
        </w:rPr>
        <w:br w:type="page"/>
      </w:r>
    </w:p>
    <w:p w14:paraId="05A59F24" w14:textId="77777777" w:rsidR="00582034" w:rsidRPr="00111DC0" w:rsidRDefault="00582034" w:rsidP="00024B4E">
      <w:pPr>
        <w:pStyle w:val="Ttulo2"/>
      </w:pPr>
      <w:bookmarkStart w:id="3" w:name="_Toc122080780"/>
      <w:r w:rsidRPr="00111DC0">
        <w:lastRenderedPageBreak/>
        <w:t>Compromiso institucional</w:t>
      </w:r>
      <w:bookmarkEnd w:id="3"/>
    </w:p>
    <w:p w14:paraId="1DF7333D" w14:textId="57BD88E3" w:rsidR="00FE642F" w:rsidRPr="00111DC0" w:rsidRDefault="00FE642F" w:rsidP="00FE642F">
      <w:pPr>
        <w:rPr>
          <w:rFonts w:cs="Arial"/>
        </w:rPr>
      </w:pPr>
      <w:r>
        <w:rPr>
          <w:rFonts w:cs="Arial"/>
        </w:rPr>
        <w:t>La</w:t>
      </w:r>
      <w:r w:rsidRPr="00111DC0">
        <w:rPr>
          <w:rFonts w:cs="Arial"/>
        </w:rPr>
        <w:t xml:space="preserve"> Administración General de La Rioja, comprometida en garantizar la igualdad efectiva en el ámbito laboral, suscrib</w:t>
      </w:r>
      <w:r>
        <w:rPr>
          <w:rFonts w:cs="Arial"/>
        </w:rPr>
        <w:t>ió</w:t>
      </w:r>
      <w:r w:rsidRPr="00111DC0">
        <w:rPr>
          <w:rFonts w:cs="Arial"/>
        </w:rPr>
        <w:t xml:space="preserve"> con fecha 18 de noviembre de 2020 un </w:t>
      </w:r>
      <w:r w:rsidRPr="00111DC0">
        <w:rPr>
          <w:rFonts w:cs="Arial"/>
          <w:i/>
          <w:iCs/>
          <w:color w:val="78BE20"/>
        </w:rPr>
        <w:t>Acuerdo de Legislatura</w:t>
      </w:r>
      <w:r w:rsidRPr="00111DC0">
        <w:rPr>
          <w:rFonts w:cs="Arial"/>
        </w:rPr>
        <w:t xml:space="preserve"> en materia de negociación colectiva con las organizaciones sindicales CSIF, STAR, UGT-FeSP, CCOO y FSES</w:t>
      </w:r>
      <w:r>
        <w:rPr>
          <w:rFonts w:cs="Arial"/>
        </w:rPr>
        <w:t xml:space="preserve"> entre cuyas </w:t>
      </w:r>
      <w:r w:rsidRPr="00111DC0">
        <w:rPr>
          <w:rFonts w:cs="Arial"/>
        </w:rPr>
        <w:t xml:space="preserve">materias </w:t>
      </w:r>
      <w:r>
        <w:rPr>
          <w:rFonts w:cs="Arial"/>
        </w:rPr>
        <w:t>se incluía</w:t>
      </w:r>
      <w:r w:rsidRPr="00111DC0">
        <w:rPr>
          <w:rFonts w:cs="Arial"/>
        </w:rPr>
        <w:t xml:space="preserve"> un Plan de Igualdad</w:t>
      </w:r>
      <w:r>
        <w:rPr>
          <w:rFonts w:cs="Arial"/>
        </w:rPr>
        <w:t>.</w:t>
      </w:r>
      <w:r w:rsidR="00214C00">
        <w:rPr>
          <w:rFonts w:cs="Arial"/>
        </w:rPr>
        <w:t xml:space="preserve"> </w:t>
      </w:r>
    </w:p>
    <w:p w14:paraId="7255A3B0" w14:textId="3D0DE4AF" w:rsidR="005F3A64" w:rsidRPr="00111DC0" w:rsidRDefault="00FE642F" w:rsidP="00AD3259">
      <w:pPr>
        <w:rPr>
          <w:rFonts w:cs="Arial"/>
        </w:rPr>
      </w:pPr>
      <w:r>
        <w:rPr>
          <w:rFonts w:cs="Arial"/>
        </w:rPr>
        <w:t>Así, l</w:t>
      </w:r>
      <w:r w:rsidR="00582034" w:rsidRPr="00111DC0">
        <w:rPr>
          <w:rFonts w:cs="Arial"/>
        </w:rPr>
        <w:t xml:space="preserve">a Administración General, a través de la Dirección General de Función Pública, </w:t>
      </w:r>
      <w:r w:rsidR="00214C00">
        <w:rPr>
          <w:rFonts w:cs="Arial"/>
        </w:rPr>
        <w:t xml:space="preserve">responde a este compromiso de formalizar </w:t>
      </w:r>
      <w:r w:rsidR="00214C00" w:rsidRPr="00111DC0">
        <w:rPr>
          <w:rFonts w:cs="Arial"/>
        </w:rPr>
        <w:t xml:space="preserve">la garantía del principio de igualdad </w:t>
      </w:r>
      <w:r w:rsidR="00214C00">
        <w:rPr>
          <w:rFonts w:cs="Arial"/>
        </w:rPr>
        <w:t xml:space="preserve">en </w:t>
      </w:r>
      <w:r w:rsidR="00582034" w:rsidRPr="00111DC0">
        <w:rPr>
          <w:rFonts w:cs="Arial"/>
        </w:rPr>
        <w:t>su funcionamiento organizativo y</w:t>
      </w:r>
      <w:r w:rsidR="00214C00">
        <w:rPr>
          <w:rFonts w:cs="Arial"/>
        </w:rPr>
        <w:t xml:space="preserve"> en</w:t>
      </w:r>
      <w:r w:rsidR="00582034" w:rsidRPr="00111DC0">
        <w:rPr>
          <w:rFonts w:cs="Arial"/>
        </w:rPr>
        <w:t xml:space="preserve"> </w:t>
      </w:r>
      <w:r w:rsidR="00625D18" w:rsidRPr="00111DC0">
        <w:rPr>
          <w:rFonts w:cs="Arial"/>
        </w:rPr>
        <w:t xml:space="preserve">la gestión </w:t>
      </w:r>
      <w:r w:rsidR="00582034" w:rsidRPr="00111DC0">
        <w:rPr>
          <w:rFonts w:cs="Arial"/>
        </w:rPr>
        <w:t>de</w:t>
      </w:r>
      <w:r w:rsidR="00625D18" w:rsidRPr="00111DC0">
        <w:rPr>
          <w:rFonts w:cs="Arial"/>
        </w:rPr>
        <w:t xml:space="preserve">l </w:t>
      </w:r>
      <w:r w:rsidR="00582034" w:rsidRPr="00111DC0">
        <w:rPr>
          <w:rFonts w:cs="Arial"/>
        </w:rPr>
        <w:t xml:space="preserve">personal </w:t>
      </w:r>
      <w:r w:rsidR="00625D18" w:rsidRPr="00111DC0">
        <w:rPr>
          <w:rFonts w:cs="Arial"/>
        </w:rPr>
        <w:t>público</w:t>
      </w:r>
      <w:r w:rsidR="00582034" w:rsidRPr="00111DC0">
        <w:rPr>
          <w:rFonts w:cs="Arial"/>
        </w:rPr>
        <w:t>.</w:t>
      </w:r>
      <w:r w:rsidR="00214C00">
        <w:rPr>
          <w:rFonts w:cs="Arial"/>
        </w:rPr>
        <w:t xml:space="preserve"> </w:t>
      </w:r>
      <w:r w:rsidR="00582034" w:rsidRPr="00111DC0">
        <w:rPr>
          <w:rFonts w:cs="Arial"/>
          <w:b/>
          <w:bCs/>
        </w:rPr>
        <w:t>Con esta vocación se promueve la elaboración, negociación y aprobación del</w:t>
      </w:r>
      <w:r w:rsidR="00582034" w:rsidRPr="00111DC0">
        <w:rPr>
          <w:rFonts w:cs="Arial"/>
        </w:rPr>
        <w:t xml:space="preserve"> </w:t>
      </w:r>
      <w:r w:rsidR="00582034" w:rsidRPr="00111DC0">
        <w:rPr>
          <w:rFonts w:cs="Arial"/>
          <w:b/>
          <w:bCs/>
        </w:rPr>
        <w:t>I Plan de Igualdad entre mujeres y hombres en la Administración General de la Comunidad Autónoma</w:t>
      </w:r>
      <w:r w:rsidR="00625D18" w:rsidRPr="00111DC0">
        <w:rPr>
          <w:rFonts w:cs="Arial"/>
          <w:b/>
          <w:bCs/>
        </w:rPr>
        <w:t xml:space="preserve"> de La Rioja</w:t>
      </w:r>
      <w:r w:rsidR="00582034" w:rsidRPr="00111DC0">
        <w:rPr>
          <w:rFonts w:cs="Arial"/>
          <w:b/>
          <w:bCs/>
        </w:rPr>
        <w:t xml:space="preserve">. </w:t>
      </w:r>
    </w:p>
    <w:p w14:paraId="6DEF895F" w14:textId="1D835BA9" w:rsidR="00682CDB" w:rsidRDefault="00682CDB" w:rsidP="00350BA5">
      <w:pPr>
        <w:spacing w:after="0"/>
        <w:rPr>
          <w:rFonts w:cs="Arial"/>
        </w:rPr>
      </w:pPr>
    </w:p>
    <w:p w14:paraId="05D03974" w14:textId="219D61DE" w:rsidR="00A45D22" w:rsidRPr="00111DC0" w:rsidRDefault="00A45D22" w:rsidP="00024B4E">
      <w:pPr>
        <w:pStyle w:val="Ttulo2"/>
      </w:pPr>
      <w:bookmarkStart w:id="4" w:name="_Toc122080781"/>
      <w:r w:rsidRPr="00111DC0">
        <w:t>Determinación de las partes</w:t>
      </w:r>
      <w:bookmarkEnd w:id="4"/>
    </w:p>
    <w:p w14:paraId="2515DEEA" w14:textId="77777777" w:rsidR="00100742" w:rsidRDefault="00C0275A" w:rsidP="00DC4CE9">
      <w:pPr>
        <w:rPr>
          <w:rFonts w:cs="Arial"/>
          <w:b/>
          <w:bCs/>
        </w:rPr>
      </w:pPr>
      <w:r w:rsidRPr="00111DC0">
        <w:rPr>
          <w:rFonts w:cs="Arial"/>
        </w:rPr>
        <w:t xml:space="preserve">A fecha </w:t>
      </w:r>
      <w:r w:rsidR="00574CA1" w:rsidRPr="00111DC0">
        <w:rPr>
          <w:rFonts w:cs="Arial"/>
        </w:rPr>
        <w:t xml:space="preserve">1 de julio </w:t>
      </w:r>
      <w:r w:rsidRPr="00111DC0">
        <w:rPr>
          <w:rFonts w:cs="Arial"/>
        </w:rPr>
        <w:t xml:space="preserve">de 2021, reunidas por una parte la Administración General y, por otra parte, la </w:t>
      </w:r>
      <w:r w:rsidR="00574CA1" w:rsidRPr="00111DC0">
        <w:rPr>
          <w:rFonts w:cs="Arial"/>
        </w:rPr>
        <w:t>R</w:t>
      </w:r>
      <w:r w:rsidRPr="00111DC0">
        <w:rPr>
          <w:rFonts w:cs="Arial"/>
        </w:rPr>
        <w:t xml:space="preserve">epresentación </w:t>
      </w:r>
      <w:r w:rsidR="00574CA1" w:rsidRPr="00111DC0">
        <w:rPr>
          <w:rFonts w:cs="Arial"/>
        </w:rPr>
        <w:t xml:space="preserve">Legal </w:t>
      </w:r>
      <w:r w:rsidRPr="00111DC0">
        <w:rPr>
          <w:rFonts w:cs="Arial"/>
        </w:rPr>
        <w:t xml:space="preserve">de las </w:t>
      </w:r>
      <w:r w:rsidR="00574CA1" w:rsidRPr="00111DC0">
        <w:rPr>
          <w:rFonts w:cs="Arial"/>
        </w:rPr>
        <w:t>P</w:t>
      </w:r>
      <w:r w:rsidRPr="00111DC0">
        <w:rPr>
          <w:rFonts w:cs="Arial"/>
        </w:rPr>
        <w:t xml:space="preserve">ersonas </w:t>
      </w:r>
      <w:r w:rsidR="00574CA1" w:rsidRPr="00111DC0">
        <w:rPr>
          <w:rFonts w:cs="Arial"/>
        </w:rPr>
        <w:t>T</w:t>
      </w:r>
      <w:r w:rsidRPr="00111DC0">
        <w:rPr>
          <w:rFonts w:cs="Arial"/>
        </w:rPr>
        <w:t xml:space="preserve">rabajadoras, </w:t>
      </w:r>
      <w:r w:rsidRPr="00111DC0">
        <w:rPr>
          <w:rFonts w:cs="Arial"/>
          <w:b/>
          <w:bCs/>
        </w:rPr>
        <w:t>se constituye formalmente la Comisión Negociadora del</w:t>
      </w:r>
      <w:r w:rsidRPr="00111DC0">
        <w:rPr>
          <w:rFonts w:cs="Arial"/>
        </w:rPr>
        <w:t xml:space="preserve"> </w:t>
      </w:r>
      <w:r w:rsidRPr="00111DC0">
        <w:rPr>
          <w:rFonts w:cs="Arial"/>
          <w:b/>
          <w:bCs/>
        </w:rPr>
        <w:t>I Plan de Igualdad entre mujeres y hombres en la Administración General de la Comunidad Autónoma</w:t>
      </w:r>
      <w:r w:rsidRPr="00111DC0">
        <w:rPr>
          <w:rFonts w:cs="Arial"/>
        </w:rPr>
        <w:t xml:space="preserve"> </w:t>
      </w:r>
      <w:r w:rsidRPr="00111DC0">
        <w:rPr>
          <w:rFonts w:cs="Arial"/>
          <w:b/>
          <w:bCs/>
        </w:rPr>
        <w:t>de La Rioja</w:t>
      </w:r>
      <w:r w:rsidR="00100742">
        <w:rPr>
          <w:rFonts w:cs="Arial"/>
          <w:b/>
          <w:bCs/>
        </w:rPr>
        <w:t xml:space="preserve">. </w:t>
      </w:r>
    </w:p>
    <w:p w14:paraId="6D385F36" w14:textId="6613B7E9" w:rsidR="00FA19C3" w:rsidRPr="00111DC0" w:rsidRDefault="00100742" w:rsidP="00DC4CE9">
      <w:pPr>
        <w:rPr>
          <w:rFonts w:cs="Arial"/>
        </w:rPr>
      </w:pPr>
      <w:r>
        <w:rPr>
          <w:rFonts w:cs="Arial"/>
        </w:rPr>
        <w:t>Acorde a ley, la composición de dicho órgano es paritaria</w:t>
      </w:r>
      <w:r>
        <w:rPr>
          <w:rStyle w:val="Refdenotaalpie"/>
          <w:rFonts w:cs="Arial"/>
          <w:b/>
          <w:bCs/>
        </w:rPr>
        <w:footnoteReference w:id="2"/>
      </w:r>
      <w:r>
        <w:rPr>
          <w:rFonts w:cs="Arial"/>
        </w:rPr>
        <w:t xml:space="preserve"> y cada una de sus partes </w:t>
      </w:r>
      <w:proofErr w:type="gramStart"/>
      <w:r>
        <w:rPr>
          <w:rFonts w:cs="Arial"/>
        </w:rPr>
        <w:t>a</w:t>
      </w:r>
      <w:proofErr w:type="gramEnd"/>
      <w:r>
        <w:rPr>
          <w:rFonts w:cs="Arial"/>
        </w:rPr>
        <w:t xml:space="preserve"> contado con el asesoramiento externo especializado en materia de igualdad en el ámbito laboral. L</w:t>
      </w:r>
      <w:r w:rsidRPr="00100742">
        <w:rPr>
          <w:rFonts w:cs="Arial"/>
        </w:rPr>
        <w:t>a Comisión Negociadora</w:t>
      </w:r>
      <w:r>
        <w:rPr>
          <w:rFonts w:cs="Arial"/>
        </w:rPr>
        <w:t xml:space="preserve"> se ha dotado d</w:t>
      </w:r>
      <w:r w:rsidRPr="00100742">
        <w:rPr>
          <w:rFonts w:cs="Arial"/>
        </w:rPr>
        <w:t>e un régimen de funcionamiento y especificación de funciones</w:t>
      </w:r>
      <w:r w:rsidR="00B94B28">
        <w:rPr>
          <w:rFonts w:cs="Arial"/>
        </w:rPr>
        <w:t xml:space="preserve"> para regular su actuación. </w:t>
      </w:r>
    </w:p>
    <w:p w14:paraId="10C259AE" w14:textId="1300F670" w:rsidR="00B94B28" w:rsidRDefault="00B94B28" w:rsidP="00193511"/>
    <w:p w14:paraId="0BDD020A" w14:textId="786C9A07" w:rsidR="00B86C2A" w:rsidRDefault="00B86C2A" w:rsidP="00024B4E">
      <w:pPr>
        <w:pStyle w:val="Ttulo2"/>
      </w:pPr>
      <w:bookmarkStart w:id="5" w:name="_Toc122080782"/>
      <w:r>
        <w:t>Ámbito</w:t>
      </w:r>
      <w:r w:rsidR="003E5FFC">
        <w:t xml:space="preserve"> y vigencia</w:t>
      </w:r>
      <w:bookmarkEnd w:id="5"/>
    </w:p>
    <w:p w14:paraId="37C33D4D" w14:textId="445A0AE8" w:rsidR="002D6E43" w:rsidRDefault="00B86C2A" w:rsidP="00B86C2A">
      <w:r w:rsidRPr="00B86C2A">
        <w:t xml:space="preserve">El </w:t>
      </w:r>
      <w:r w:rsidRPr="003E5FFC">
        <w:t>I Plan de Igualdad entre mujeres y hombres en la Administraci</w:t>
      </w:r>
      <w:r w:rsidRPr="003E5FFC">
        <w:rPr>
          <w:rFonts w:cs="Calibri"/>
        </w:rPr>
        <w:t>ó</w:t>
      </w:r>
      <w:r w:rsidRPr="003E5FFC">
        <w:t>n General de la Comunidad Aut</w:t>
      </w:r>
      <w:r w:rsidRPr="003E5FFC">
        <w:rPr>
          <w:rFonts w:cs="Calibri"/>
        </w:rPr>
        <w:t>ó</w:t>
      </w:r>
      <w:r w:rsidRPr="003E5FFC">
        <w:t>noma de La Rioja</w:t>
      </w:r>
      <w:r w:rsidRPr="00B86C2A">
        <w:t xml:space="preserve"> </w:t>
      </w:r>
      <w:r w:rsidRPr="003E5FFC">
        <w:rPr>
          <w:b/>
          <w:bCs/>
        </w:rPr>
        <w:t>se aplicará en todas sus Consejerías, y sobre todas las personas que integran la plantilla, sean personal funcionario o laboral</w:t>
      </w:r>
      <w:r w:rsidRPr="00B86C2A">
        <w:t>, e independientemente de su fecha de incorporación, nivel o funciones</w:t>
      </w:r>
      <w:r w:rsidR="00B94B28">
        <w:rPr>
          <w:rStyle w:val="Refdenotaalpie"/>
        </w:rPr>
        <w:footnoteReference w:id="3"/>
      </w:r>
      <w:r w:rsidRPr="00B86C2A">
        <w:t xml:space="preserve">. </w:t>
      </w:r>
      <w:r w:rsidR="003E5FFC" w:rsidRPr="003E5FFC">
        <w:rPr>
          <w:b/>
          <w:bCs/>
        </w:rPr>
        <w:t>El Plan</w:t>
      </w:r>
      <w:r w:rsidRPr="003E5FFC">
        <w:rPr>
          <w:b/>
          <w:bCs/>
        </w:rPr>
        <w:t xml:space="preserve"> tendrá una vigencia de cuatro años a partir de su publicación</w:t>
      </w:r>
      <w:r>
        <w:t xml:space="preserve"> en el Boletín Oficial de La Rioja, y previa </w:t>
      </w:r>
      <w:r w:rsidR="00332514">
        <w:t>negociación</w:t>
      </w:r>
      <w:r>
        <w:t xml:space="preserve"> en la Comisión Negociadora</w:t>
      </w:r>
      <w:r w:rsidR="00381A6D">
        <w:rPr>
          <w:rFonts w:ascii="Calibri" w:hAnsi="Calibri" w:cs="Calibri"/>
          <w:color w:val="1F497D"/>
        </w:rPr>
        <w:t xml:space="preserve">, </w:t>
      </w:r>
      <w:r w:rsidR="00332514" w:rsidRPr="00332514">
        <w:t>aprobación en Mesa de Negociación y ratificación por Consejo de Gobierno</w:t>
      </w:r>
      <w:r>
        <w:t xml:space="preserve">. </w:t>
      </w:r>
      <w:r w:rsidR="002D6E43">
        <w:br w:type="page"/>
      </w:r>
    </w:p>
    <w:p w14:paraId="5075A005" w14:textId="13C4E55A" w:rsidR="003E5FFC" w:rsidRDefault="003E5FFC" w:rsidP="00024B4E">
      <w:pPr>
        <w:pStyle w:val="Ttulo2"/>
      </w:pPr>
      <w:bookmarkStart w:id="6" w:name="_Toc122080783"/>
      <w:r>
        <w:lastRenderedPageBreak/>
        <w:t>Principios</w:t>
      </w:r>
      <w:bookmarkEnd w:id="6"/>
      <w:r>
        <w:t xml:space="preserve"> </w:t>
      </w:r>
    </w:p>
    <w:p w14:paraId="2B57A311" w14:textId="5E736C26" w:rsidR="003E5FFC" w:rsidRDefault="003E5FFC" w:rsidP="003E5FFC">
      <w:pPr>
        <w:jc w:val="left"/>
      </w:pPr>
      <w:r>
        <w:t xml:space="preserve">El </w:t>
      </w:r>
      <w:r w:rsidR="00C12054" w:rsidRPr="00C12054">
        <w:rPr>
          <w:b/>
          <w:bCs/>
        </w:rPr>
        <w:t>I Plan de Igualdad entre mujeres y hombres en la Administración General de la Comunidad Autónoma</w:t>
      </w:r>
      <w:r w:rsidR="00C12054" w:rsidRPr="00C12054">
        <w:t xml:space="preserve"> </w:t>
      </w:r>
      <w:r w:rsidR="00C12054" w:rsidRPr="00C12054">
        <w:rPr>
          <w:b/>
          <w:bCs/>
        </w:rPr>
        <w:t>de La Rioja</w:t>
      </w:r>
      <w:r w:rsidR="00C12054" w:rsidRPr="00C12054">
        <w:t xml:space="preserve"> </w:t>
      </w:r>
      <w:r>
        <w:t xml:space="preserve">se basa en los siguientes principios: </w:t>
      </w:r>
    </w:p>
    <w:p w14:paraId="0D08DE5A" w14:textId="77777777" w:rsidR="00193511" w:rsidRDefault="00193511" w:rsidP="003E5FFC">
      <w:pPr>
        <w:jc w:val="left"/>
      </w:pPr>
    </w:p>
    <w:p w14:paraId="5C1797C5" w14:textId="77777777" w:rsidR="003E5FFC" w:rsidRPr="00943421" w:rsidRDefault="003E5FFC" w:rsidP="003E5FFC">
      <w:pPr>
        <w:pStyle w:val="Ttulo3"/>
        <w:spacing w:line="276" w:lineRule="auto"/>
      </w:pPr>
      <w:r w:rsidRPr="00943421">
        <w:t>Integridad</w:t>
      </w:r>
    </w:p>
    <w:p w14:paraId="10263D2E" w14:textId="2846CF6E" w:rsidR="003E5FFC" w:rsidRDefault="00F56C58" w:rsidP="003E5FFC">
      <w:r w:rsidRPr="00193511">
        <w:rPr>
          <w:b/>
          <w:bCs/>
        </w:rPr>
        <w:t>La perspectiva de género</w:t>
      </w:r>
      <w:r>
        <w:t xml:space="preserve"> guía el análisis de cada una de las materias del Diagnóstico, del mismo modo que e</w:t>
      </w:r>
      <w:r w:rsidR="003E5FFC" w:rsidRPr="00701AC0">
        <w:t xml:space="preserve">l principio de igualdad </w:t>
      </w:r>
      <w:r w:rsidR="00C12054">
        <w:t xml:space="preserve">entre mujeres y hombres se aplica de manera transversal a todas las medidas del </w:t>
      </w:r>
      <w:r>
        <w:t>P</w:t>
      </w:r>
      <w:r w:rsidR="00C12054">
        <w:t xml:space="preserve">lan. </w:t>
      </w:r>
    </w:p>
    <w:p w14:paraId="3F90734C" w14:textId="77777777" w:rsidR="00193511" w:rsidRDefault="00193511" w:rsidP="003E5FFC"/>
    <w:p w14:paraId="2605D4AC" w14:textId="77777777" w:rsidR="003E5FFC" w:rsidRPr="00943421" w:rsidRDefault="003E5FFC" w:rsidP="003E5FFC">
      <w:pPr>
        <w:pStyle w:val="Ttulo3"/>
        <w:spacing w:line="276" w:lineRule="auto"/>
      </w:pPr>
      <w:r w:rsidRPr="00943421">
        <w:t>Coherencia</w:t>
      </w:r>
    </w:p>
    <w:p w14:paraId="48BC7E7C" w14:textId="23A3F743" w:rsidR="003E5FFC" w:rsidRDefault="00C12054" w:rsidP="003E5FFC">
      <w:pPr>
        <w:tabs>
          <w:tab w:val="left" w:pos="0"/>
        </w:tabs>
      </w:pPr>
      <w:r w:rsidRPr="00193511">
        <w:rPr>
          <w:b/>
          <w:bCs/>
        </w:rPr>
        <w:t>Las medidas responden a</w:t>
      </w:r>
      <w:r w:rsidR="003E5FFC" w:rsidRPr="00193511">
        <w:rPr>
          <w:b/>
          <w:bCs/>
        </w:rPr>
        <w:t xml:space="preserve"> las necesidades</w:t>
      </w:r>
      <w:r>
        <w:t xml:space="preserve"> </w:t>
      </w:r>
      <w:r w:rsidR="003E5FFC">
        <w:t xml:space="preserve">objetivamente identificadas en el </w:t>
      </w:r>
      <w:r w:rsidR="00B94B28">
        <w:t>D</w:t>
      </w:r>
      <w:r w:rsidR="003E5FFC">
        <w:t>iagnóstico previo de la situación de igualdad</w:t>
      </w:r>
      <w:r>
        <w:t xml:space="preserve">, asumiendo la lógica de la planificación como garantía de </w:t>
      </w:r>
      <w:r w:rsidR="00B94B28">
        <w:t xml:space="preserve">una </w:t>
      </w:r>
      <w:r>
        <w:t>actuación eficaz.</w:t>
      </w:r>
      <w:r w:rsidR="003E5FFC">
        <w:t xml:space="preserve"> </w:t>
      </w:r>
    </w:p>
    <w:p w14:paraId="64519835" w14:textId="77777777" w:rsidR="00193511" w:rsidRDefault="00193511" w:rsidP="003E5FFC">
      <w:pPr>
        <w:tabs>
          <w:tab w:val="left" w:pos="0"/>
        </w:tabs>
      </w:pPr>
    </w:p>
    <w:p w14:paraId="024D3723" w14:textId="7919B50C" w:rsidR="003E5FFC" w:rsidRPr="00943421" w:rsidRDefault="00C12054" w:rsidP="003E5FFC">
      <w:pPr>
        <w:pStyle w:val="Ttulo3"/>
        <w:spacing w:line="276" w:lineRule="auto"/>
      </w:pPr>
      <w:r>
        <w:t>Posibilidad</w:t>
      </w:r>
    </w:p>
    <w:p w14:paraId="6748F641" w14:textId="29492569" w:rsidR="003E5FFC" w:rsidRDefault="00C12054" w:rsidP="003E5FFC">
      <w:pPr>
        <w:tabs>
          <w:tab w:val="left" w:pos="0"/>
        </w:tabs>
      </w:pPr>
      <w:r w:rsidRPr="00193511">
        <w:rPr>
          <w:b/>
          <w:bCs/>
        </w:rPr>
        <w:t>La implementación de las medidas</w:t>
      </w:r>
      <w:r w:rsidR="003E5FFC" w:rsidRPr="00193511">
        <w:rPr>
          <w:b/>
          <w:bCs/>
        </w:rPr>
        <w:t xml:space="preserve"> </w:t>
      </w:r>
      <w:r w:rsidRPr="00193511">
        <w:rPr>
          <w:b/>
          <w:bCs/>
        </w:rPr>
        <w:t xml:space="preserve">queda </w:t>
      </w:r>
      <w:r w:rsidR="00193511" w:rsidRPr="00193511">
        <w:rPr>
          <w:b/>
          <w:bCs/>
        </w:rPr>
        <w:t>asegurada</w:t>
      </w:r>
      <w:r>
        <w:t xml:space="preserve"> por medio de los </w:t>
      </w:r>
      <w:r w:rsidR="003E5FFC">
        <w:t xml:space="preserve">recursos humanos y materiales </w:t>
      </w:r>
      <w:r>
        <w:t>identificados</w:t>
      </w:r>
      <w:r w:rsidR="003E5FFC">
        <w:t xml:space="preserve">, </w:t>
      </w:r>
      <w:r>
        <w:t xml:space="preserve">de manera que </w:t>
      </w:r>
      <w:r w:rsidR="00193511">
        <w:t xml:space="preserve">se evite una planificación imposible o inadecuada y que todas las medidas </w:t>
      </w:r>
      <w:r w:rsidR="00524C21">
        <w:t>sean</w:t>
      </w:r>
      <w:r w:rsidR="003E5FFC" w:rsidRPr="00701AC0">
        <w:t xml:space="preserve"> plausibles</w:t>
      </w:r>
      <w:r>
        <w:t xml:space="preserve"> </w:t>
      </w:r>
      <w:r w:rsidR="003E5FFC" w:rsidRPr="00701AC0">
        <w:t>y medibles</w:t>
      </w:r>
      <w:r w:rsidR="003E5FFC">
        <w:t xml:space="preserve">. </w:t>
      </w:r>
    </w:p>
    <w:p w14:paraId="762D0628" w14:textId="77777777" w:rsidR="00193511" w:rsidRDefault="00193511" w:rsidP="003E5FFC">
      <w:pPr>
        <w:tabs>
          <w:tab w:val="left" w:pos="0"/>
        </w:tabs>
        <w:rPr>
          <w:rFonts w:eastAsiaTheme="majorEastAsia" w:cstheme="majorBidi"/>
          <w:b/>
          <w:bCs/>
          <w:snapToGrid w:val="0"/>
          <w:color w:val="0070C0"/>
          <w:kern w:val="32"/>
          <w:sz w:val="32"/>
          <w:szCs w:val="32"/>
        </w:rPr>
      </w:pPr>
    </w:p>
    <w:p w14:paraId="751C12D3" w14:textId="77777777" w:rsidR="003E5FFC" w:rsidRPr="00943421" w:rsidRDefault="003E5FFC" w:rsidP="003E5FFC">
      <w:pPr>
        <w:pStyle w:val="Ttulo3"/>
        <w:spacing w:line="276" w:lineRule="auto"/>
      </w:pPr>
      <w:r w:rsidRPr="00943421">
        <w:t>Transparencia</w:t>
      </w:r>
    </w:p>
    <w:p w14:paraId="08489970" w14:textId="0F5716EA" w:rsidR="00193511" w:rsidRDefault="00524C21" w:rsidP="00193511">
      <w:pPr>
        <w:tabs>
          <w:tab w:val="left" w:pos="0"/>
        </w:tabs>
      </w:pPr>
      <w:r w:rsidRPr="00193511">
        <w:rPr>
          <w:b/>
          <w:bCs/>
        </w:rPr>
        <w:t>Cada uno de los hitos del Plan</w:t>
      </w:r>
      <w:r w:rsidR="00193511" w:rsidRPr="00193511">
        <w:rPr>
          <w:b/>
          <w:bCs/>
        </w:rPr>
        <w:t xml:space="preserve"> </w:t>
      </w:r>
      <w:proofErr w:type="gramStart"/>
      <w:r w:rsidR="00193511" w:rsidRPr="00193511">
        <w:rPr>
          <w:b/>
          <w:bCs/>
        </w:rPr>
        <w:t>serán</w:t>
      </w:r>
      <w:proofErr w:type="gramEnd"/>
      <w:r w:rsidR="00193511" w:rsidRPr="00193511">
        <w:rPr>
          <w:b/>
          <w:bCs/>
        </w:rPr>
        <w:t xml:space="preserve"> comunicados</w:t>
      </w:r>
      <w:r>
        <w:t xml:space="preserve"> </w:t>
      </w:r>
      <w:r w:rsidR="003E5FFC">
        <w:t>a través de los canales habituales o de otros creados a tal efecto</w:t>
      </w:r>
      <w:r>
        <w:t xml:space="preserve"> por parte de la Administración General</w:t>
      </w:r>
      <w:r w:rsidR="003E5FFC">
        <w:t xml:space="preserve">, </w:t>
      </w:r>
      <w:r>
        <w:t xml:space="preserve">así como </w:t>
      </w:r>
      <w:r w:rsidR="003E5FFC">
        <w:t xml:space="preserve">a través de la </w:t>
      </w:r>
      <w:r w:rsidR="00193511" w:rsidRPr="00111DC0">
        <w:rPr>
          <w:rFonts w:cs="Arial"/>
        </w:rPr>
        <w:t>Representación Legal de las Personas Trabajadoras</w:t>
      </w:r>
      <w:r w:rsidR="003E5FFC">
        <w:t xml:space="preserve">, que tendrá representación paritaria en la Comisión de Seguimiento del Plan. </w:t>
      </w:r>
      <w:r w:rsidR="00193511">
        <w:br w:type="page"/>
      </w:r>
    </w:p>
    <w:p w14:paraId="2B5CE2CC" w14:textId="32498A8B" w:rsidR="005A1078" w:rsidRPr="00111DC0" w:rsidRDefault="005A1078" w:rsidP="00024B4E">
      <w:pPr>
        <w:pStyle w:val="Ttulo2"/>
      </w:pPr>
      <w:bookmarkStart w:id="7" w:name="_Toc122080784"/>
      <w:r w:rsidRPr="00111DC0">
        <w:lastRenderedPageBreak/>
        <w:t>Plan de trabajo</w:t>
      </w:r>
      <w:bookmarkEnd w:id="7"/>
      <w:r w:rsidRPr="00111DC0">
        <w:t xml:space="preserve"> </w:t>
      </w:r>
    </w:p>
    <w:p w14:paraId="042C30B4" w14:textId="77777777" w:rsidR="0072452D" w:rsidRPr="00111DC0" w:rsidRDefault="0072452D" w:rsidP="0072452D">
      <w:pPr>
        <w:spacing w:after="0"/>
        <w:rPr>
          <w:rFonts w:cs="Arial"/>
        </w:rPr>
      </w:pPr>
      <w:r w:rsidRPr="00111DC0">
        <w:rPr>
          <w:rFonts w:cs="Arial"/>
        </w:rPr>
        <w:t xml:space="preserve">Este documento ha seguido un proceso de trabajo dividido en las siguientes fases: </w:t>
      </w:r>
    </w:p>
    <w:p w14:paraId="208056BB" w14:textId="77777777" w:rsidR="00724EA7" w:rsidRPr="00111DC0" w:rsidRDefault="00724EA7" w:rsidP="00350BA5">
      <w:pPr>
        <w:spacing w:after="0"/>
        <w:rPr>
          <w:rFonts w:cs="Arial"/>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835"/>
        <w:gridCol w:w="4677"/>
      </w:tblGrid>
      <w:tr w:rsidR="00582034" w:rsidRPr="00111DC0" w14:paraId="1B61D819" w14:textId="77777777" w:rsidTr="00950142">
        <w:trPr>
          <w:trHeight w:val="397"/>
        </w:trPr>
        <w:tc>
          <w:tcPr>
            <w:tcW w:w="993" w:type="dxa"/>
            <w:tcBorders>
              <w:bottom w:val="single" w:sz="2" w:space="0" w:color="FFFFFF" w:themeColor="background1"/>
            </w:tcBorders>
            <w:shd w:val="clear" w:color="auto" w:fill="78BE20"/>
            <w:vAlign w:val="center"/>
          </w:tcPr>
          <w:p w14:paraId="4C643A7F" w14:textId="1AC03DCA" w:rsidR="00582034" w:rsidRPr="0072452D" w:rsidRDefault="00582034" w:rsidP="0072452D">
            <w:pPr>
              <w:spacing w:before="0" w:after="0"/>
              <w:jc w:val="right"/>
              <w:rPr>
                <w:rFonts w:cs="Arial"/>
                <w:color w:val="FFFFFF" w:themeColor="background1"/>
                <w:sz w:val="20"/>
                <w:szCs w:val="20"/>
              </w:rPr>
            </w:pPr>
            <w:r w:rsidRPr="0072452D">
              <w:rPr>
                <w:rFonts w:cs="Arial"/>
                <w:b/>
                <w:bCs/>
                <w:color w:val="FFFFFF" w:themeColor="background1"/>
                <w:sz w:val="20"/>
                <w:szCs w:val="20"/>
              </w:rPr>
              <w:t>Fase 1</w:t>
            </w:r>
          </w:p>
        </w:tc>
        <w:tc>
          <w:tcPr>
            <w:tcW w:w="2835" w:type="dxa"/>
            <w:tcBorders>
              <w:top w:val="single" w:sz="4" w:space="0" w:color="78BE20"/>
              <w:bottom w:val="single" w:sz="4" w:space="0" w:color="78BE20"/>
            </w:tcBorders>
            <w:vAlign w:val="center"/>
          </w:tcPr>
          <w:p w14:paraId="3C24E7B0" w14:textId="22B106AC" w:rsidR="00582034" w:rsidRPr="00082976" w:rsidRDefault="00582034" w:rsidP="00082976">
            <w:pPr>
              <w:spacing w:before="0" w:after="0"/>
              <w:jc w:val="left"/>
              <w:rPr>
                <w:rFonts w:cs="Arial"/>
                <w:color w:val="78BE20"/>
                <w:sz w:val="18"/>
                <w:szCs w:val="18"/>
              </w:rPr>
            </w:pPr>
            <w:r w:rsidRPr="00082976">
              <w:rPr>
                <w:rFonts w:cs="Arial"/>
                <w:color w:val="78BE20"/>
                <w:sz w:val="18"/>
                <w:szCs w:val="18"/>
              </w:rPr>
              <w:t>[</w:t>
            </w:r>
            <w:r w:rsidR="00EC0EE4" w:rsidRPr="00082976">
              <w:rPr>
                <w:rFonts w:cs="Arial"/>
                <w:color w:val="78BE20"/>
                <w:sz w:val="18"/>
                <w:szCs w:val="18"/>
              </w:rPr>
              <w:t>Acuerdo de Legislatura</w:t>
            </w:r>
            <w:r w:rsidR="00591837">
              <w:rPr>
                <w:rFonts w:cs="Arial"/>
                <w:color w:val="78BE20"/>
                <w:sz w:val="18"/>
                <w:szCs w:val="18"/>
              </w:rPr>
              <w:t xml:space="preserve"> </w:t>
            </w:r>
            <w:r w:rsidR="00EC0EE4" w:rsidRPr="00082976">
              <w:rPr>
                <w:rFonts w:cs="Arial"/>
                <w:color w:val="78BE20"/>
                <w:sz w:val="18"/>
                <w:szCs w:val="18"/>
              </w:rPr>
              <w:t>2020]</w:t>
            </w:r>
          </w:p>
        </w:tc>
        <w:tc>
          <w:tcPr>
            <w:tcW w:w="4677" w:type="dxa"/>
            <w:tcBorders>
              <w:top w:val="single" w:sz="4" w:space="0" w:color="78BE20"/>
              <w:bottom w:val="single" w:sz="4" w:space="0" w:color="78BE20"/>
            </w:tcBorders>
            <w:vAlign w:val="center"/>
          </w:tcPr>
          <w:p w14:paraId="6ED924B3" w14:textId="278C707A" w:rsidR="00582034" w:rsidRPr="00950142" w:rsidRDefault="00582034" w:rsidP="00082976">
            <w:pPr>
              <w:spacing w:before="0" w:after="0"/>
              <w:jc w:val="left"/>
              <w:rPr>
                <w:rFonts w:cs="Arial"/>
                <w:sz w:val="18"/>
                <w:szCs w:val="18"/>
              </w:rPr>
            </w:pPr>
            <w:r w:rsidRPr="00950142">
              <w:rPr>
                <w:rFonts w:cs="Arial"/>
                <w:sz w:val="18"/>
                <w:szCs w:val="18"/>
              </w:rPr>
              <w:t>Comunicación del inicio de</w:t>
            </w:r>
            <w:r w:rsidR="00D74F75" w:rsidRPr="00950142">
              <w:rPr>
                <w:rFonts w:cs="Arial"/>
                <w:sz w:val="18"/>
                <w:szCs w:val="18"/>
              </w:rPr>
              <w:t xml:space="preserve">l proceso </w:t>
            </w:r>
          </w:p>
        </w:tc>
      </w:tr>
      <w:tr w:rsidR="00582034" w:rsidRPr="00111DC0" w14:paraId="348D3288" w14:textId="77777777" w:rsidTr="00950142">
        <w:trPr>
          <w:trHeight w:val="397"/>
        </w:trPr>
        <w:tc>
          <w:tcPr>
            <w:tcW w:w="993" w:type="dxa"/>
            <w:tcBorders>
              <w:top w:val="single" w:sz="2" w:space="0" w:color="FFFFFF" w:themeColor="background1"/>
              <w:bottom w:val="single" w:sz="2" w:space="0" w:color="FFFFFF" w:themeColor="background1"/>
            </w:tcBorders>
            <w:shd w:val="clear" w:color="auto" w:fill="78BE20"/>
            <w:vAlign w:val="center"/>
          </w:tcPr>
          <w:p w14:paraId="13ABEE4F" w14:textId="4D036613" w:rsidR="00582034" w:rsidRPr="0072452D" w:rsidRDefault="00582034" w:rsidP="0072452D">
            <w:pPr>
              <w:spacing w:before="0" w:after="0"/>
              <w:jc w:val="right"/>
              <w:rPr>
                <w:rFonts w:cs="Arial"/>
                <w:color w:val="FFFFFF" w:themeColor="background1"/>
                <w:sz w:val="20"/>
                <w:szCs w:val="20"/>
              </w:rPr>
            </w:pPr>
            <w:r w:rsidRPr="0072452D">
              <w:rPr>
                <w:rFonts w:cs="Arial"/>
                <w:b/>
                <w:bCs/>
                <w:color w:val="FFFFFF" w:themeColor="background1"/>
                <w:sz w:val="20"/>
                <w:szCs w:val="20"/>
              </w:rPr>
              <w:t>Fase 2</w:t>
            </w:r>
          </w:p>
        </w:tc>
        <w:tc>
          <w:tcPr>
            <w:tcW w:w="2835" w:type="dxa"/>
            <w:tcBorders>
              <w:top w:val="single" w:sz="4" w:space="0" w:color="78BE20"/>
              <w:bottom w:val="single" w:sz="4" w:space="0" w:color="78BE20"/>
            </w:tcBorders>
            <w:vAlign w:val="center"/>
          </w:tcPr>
          <w:p w14:paraId="45E1FB28" w14:textId="1A3E75E7" w:rsidR="00582034" w:rsidRPr="00082976" w:rsidRDefault="00582034" w:rsidP="00082976">
            <w:pPr>
              <w:spacing w:before="0" w:after="0"/>
              <w:jc w:val="left"/>
              <w:rPr>
                <w:rFonts w:cs="Arial"/>
                <w:color w:val="78BE20"/>
                <w:sz w:val="18"/>
                <w:szCs w:val="18"/>
              </w:rPr>
            </w:pPr>
            <w:r w:rsidRPr="00082976">
              <w:rPr>
                <w:rFonts w:cs="Arial"/>
                <w:color w:val="78BE20"/>
                <w:sz w:val="18"/>
                <w:szCs w:val="18"/>
              </w:rPr>
              <w:t>[09/</w:t>
            </w:r>
            <w:r w:rsidR="001F1E0E" w:rsidRPr="00082976">
              <w:rPr>
                <w:rFonts w:cs="Arial"/>
                <w:color w:val="78BE20"/>
                <w:sz w:val="18"/>
                <w:szCs w:val="18"/>
              </w:rPr>
              <w:t>20</w:t>
            </w:r>
            <w:r w:rsidRPr="00082976">
              <w:rPr>
                <w:rFonts w:cs="Arial"/>
                <w:color w:val="78BE20"/>
                <w:sz w:val="18"/>
                <w:szCs w:val="18"/>
              </w:rPr>
              <w:t>21 – 03/</w:t>
            </w:r>
            <w:r w:rsidR="001F1E0E" w:rsidRPr="00082976">
              <w:rPr>
                <w:rFonts w:cs="Arial"/>
                <w:color w:val="78BE20"/>
                <w:sz w:val="18"/>
                <w:szCs w:val="18"/>
              </w:rPr>
              <w:t>20</w:t>
            </w:r>
            <w:r w:rsidRPr="00082976">
              <w:rPr>
                <w:rFonts w:cs="Arial"/>
                <w:color w:val="78BE20"/>
                <w:sz w:val="18"/>
                <w:szCs w:val="18"/>
              </w:rPr>
              <w:t>22]</w:t>
            </w:r>
          </w:p>
        </w:tc>
        <w:tc>
          <w:tcPr>
            <w:tcW w:w="4677" w:type="dxa"/>
            <w:tcBorders>
              <w:top w:val="single" w:sz="4" w:space="0" w:color="78BE20"/>
              <w:bottom w:val="single" w:sz="4" w:space="0" w:color="78BE20"/>
            </w:tcBorders>
            <w:vAlign w:val="center"/>
          </w:tcPr>
          <w:p w14:paraId="096CF8B0" w14:textId="54011889" w:rsidR="00582034" w:rsidRPr="00950142" w:rsidRDefault="00950142" w:rsidP="00082976">
            <w:pPr>
              <w:spacing w:before="0" w:after="0"/>
              <w:jc w:val="left"/>
              <w:rPr>
                <w:rFonts w:cs="Arial"/>
                <w:sz w:val="18"/>
                <w:szCs w:val="18"/>
              </w:rPr>
            </w:pPr>
            <w:r>
              <w:rPr>
                <w:rFonts w:cs="Arial"/>
                <w:sz w:val="18"/>
                <w:szCs w:val="18"/>
              </w:rPr>
              <w:t>B</w:t>
            </w:r>
            <w:r w:rsidR="00582034" w:rsidRPr="00950142">
              <w:rPr>
                <w:rFonts w:cs="Arial"/>
                <w:sz w:val="18"/>
                <w:szCs w:val="18"/>
              </w:rPr>
              <w:t>orrador del Diagnóstico de la situación de igualdad</w:t>
            </w:r>
          </w:p>
        </w:tc>
      </w:tr>
      <w:tr w:rsidR="00582034" w:rsidRPr="00111DC0" w14:paraId="5BFC524A" w14:textId="77777777" w:rsidTr="00950142">
        <w:trPr>
          <w:trHeight w:val="397"/>
        </w:trPr>
        <w:tc>
          <w:tcPr>
            <w:tcW w:w="993" w:type="dxa"/>
            <w:tcBorders>
              <w:top w:val="single" w:sz="2" w:space="0" w:color="FFFFFF" w:themeColor="background1"/>
              <w:bottom w:val="single" w:sz="2" w:space="0" w:color="FFFFFF" w:themeColor="background1"/>
            </w:tcBorders>
            <w:shd w:val="clear" w:color="auto" w:fill="78BE20"/>
            <w:vAlign w:val="center"/>
          </w:tcPr>
          <w:p w14:paraId="27D866E5" w14:textId="60230C9A" w:rsidR="00582034" w:rsidRPr="0072452D" w:rsidRDefault="00582034" w:rsidP="0072452D">
            <w:pPr>
              <w:spacing w:before="0" w:after="0"/>
              <w:jc w:val="right"/>
              <w:rPr>
                <w:rFonts w:cs="Arial"/>
                <w:color w:val="FFFFFF" w:themeColor="background1"/>
                <w:sz w:val="20"/>
                <w:szCs w:val="20"/>
              </w:rPr>
            </w:pPr>
            <w:r w:rsidRPr="0072452D">
              <w:rPr>
                <w:rFonts w:cs="Arial"/>
                <w:b/>
                <w:bCs/>
                <w:color w:val="FFFFFF" w:themeColor="background1"/>
                <w:sz w:val="20"/>
                <w:szCs w:val="20"/>
              </w:rPr>
              <w:t>Fase 3</w:t>
            </w:r>
          </w:p>
        </w:tc>
        <w:tc>
          <w:tcPr>
            <w:tcW w:w="2835" w:type="dxa"/>
            <w:tcBorders>
              <w:top w:val="single" w:sz="4" w:space="0" w:color="78BE20"/>
              <w:bottom w:val="single" w:sz="4" w:space="0" w:color="78BE20"/>
            </w:tcBorders>
            <w:vAlign w:val="center"/>
          </w:tcPr>
          <w:p w14:paraId="33F030B7" w14:textId="192065C6" w:rsidR="00582034" w:rsidRPr="00082976" w:rsidRDefault="00582034" w:rsidP="00082976">
            <w:pPr>
              <w:spacing w:before="0" w:after="0"/>
              <w:jc w:val="left"/>
              <w:rPr>
                <w:rFonts w:cs="Arial"/>
                <w:color w:val="78BE20"/>
                <w:sz w:val="18"/>
                <w:szCs w:val="18"/>
              </w:rPr>
            </w:pPr>
            <w:r w:rsidRPr="00082976">
              <w:rPr>
                <w:rFonts w:cs="Arial"/>
                <w:color w:val="78BE20"/>
                <w:sz w:val="18"/>
                <w:szCs w:val="18"/>
              </w:rPr>
              <w:t>[04/</w:t>
            </w:r>
            <w:r w:rsidR="001F1E0E" w:rsidRPr="00082976">
              <w:rPr>
                <w:rFonts w:cs="Arial"/>
                <w:color w:val="78BE20"/>
                <w:sz w:val="18"/>
                <w:szCs w:val="18"/>
              </w:rPr>
              <w:t>20</w:t>
            </w:r>
            <w:r w:rsidRPr="00082976">
              <w:rPr>
                <w:rFonts w:cs="Arial"/>
                <w:color w:val="78BE20"/>
                <w:sz w:val="18"/>
                <w:szCs w:val="18"/>
              </w:rPr>
              <w:t xml:space="preserve">22 – </w:t>
            </w:r>
            <w:r w:rsidR="00D74F75" w:rsidRPr="00082976">
              <w:rPr>
                <w:rFonts w:cs="Arial"/>
                <w:color w:val="78BE20"/>
                <w:sz w:val="18"/>
                <w:szCs w:val="18"/>
              </w:rPr>
              <w:t>09</w:t>
            </w:r>
            <w:r w:rsidRPr="00082976">
              <w:rPr>
                <w:rFonts w:cs="Arial"/>
                <w:color w:val="78BE20"/>
                <w:sz w:val="18"/>
                <w:szCs w:val="18"/>
              </w:rPr>
              <w:t>/</w:t>
            </w:r>
            <w:r w:rsidR="001F1E0E" w:rsidRPr="00082976">
              <w:rPr>
                <w:rFonts w:cs="Arial"/>
                <w:color w:val="78BE20"/>
                <w:sz w:val="18"/>
                <w:szCs w:val="18"/>
              </w:rPr>
              <w:t>20</w:t>
            </w:r>
            <w:r w:rsidRPr="00082976">
              <w:rPr>
                <w:rFonts w:cs="Arial"/>
                <w:color w:val="78BE20"/>
                <w:sz w:val="18"/>
                <w:szCs w:val="18"/>
              </w:rPr>
              <w:t>22]</w:t>
            </w:r>
          </w:p>
        </w:tc>
        <w:tc>
          <w:tcPr>
            <w:tcW w:w="4677" w:type="dxa"/>
            <w:tcBorders>
              <w:top w:val="single" w:sz="4" w:space="0" w:color="78BE20"/>
              <w:bottom w:val="single" w:sz="4" w:space="0" w:color="78BE20"/>
            </w:tcBorders>
            <w:vAlign w:val="center"/>
          </w:tcPr>
          <w:p w14:paraId="2089A7EF" w14:textId="3B733C20" w:rsidR="00582034" w:rsidRPr="00950142" w:rsidRDefault="00950142" w:rsidP="00082976">
            <w:pPr>
              <w:spacing w:before="0" w:after="0"/>
              <w:jc w:val="left"/>
              <w:rPr>
                <w:rFonts w:cs="Arial"/>
                <w:sz w:val="18"/>
                <w:szCs w:val="18"/>
              </w:rPr>
            </w:pPr>
            <w:r>
              <w:rPr>
                <w:rFonts w:cs="Arial"/>
                <w:sz w:val="18"/>
                <w:szCs w:val="18"/>
              </w:rPr>
              <w:t>D</w:t>
            </w:r>
            <w:r w:rsidR="00582034" w:rsidRPr="00950142">
              <w:rPr>
                <w:rFonts w:cs="Arial"/>
                <w:sz w:val="18"/>
                <w:szCs w:val="18"/>
              </w:rPr>
              <w:t>ocumento final del Diagnóstico</w:t>
            </w:r>
          </w:p>
        </w:tc>
      </w:tr>
      <w:tr w:rsidR="00582034" w:rsidRPr="00111DC0" w14:paraId="0FC7C8E3" w14:textId="77777777" w:rsidTr="00950142">
        <w:trPr>
          <w:trHeight w:val="397"/>
        </w:trPr>
        <w:tc>
          <w:tcPr>
            <w:tcW w:w="993" w:type="dxa"/>
            <w:tcBorders>
              <w:top w:val="single" w:sz="2" w:space="0" w:color="FFFFFF" w:themeColor="background1"/>
              <w:bottom w:val="single" w:sz="2" w:space="0" w:color="FFFFFF" w:themeColor="background1"/>
            </w:tcBorders>
            <w:shd w:val="clear" w:color="auto" w:fill="78BE20"/>
            <w:vAlign w:val="center"/>
          </w:tcPr>
          <w:p w14:paraId="79EDD23F" w14:textId="1FC56F2F" w:rsidR="00582034" w:rsidRPr="0072452D" w:rsidRDefault="00582034" w:rsidP="0072452D">
            <w:pPr>
              <w:spacing w:before="0" w:after="0"/>
              <w:jc w:val="right"/>
              <w:rPr>
                <w:rFonts w:cs="Arial"/>
                <w:color w:val="FFFFFF" w:themeColor="background1"/>
                <w:sz w:val="20"/>
                <w:szCs w:val="20"/>
              </w:rPr>
            </w:pPr>
            <w:r w:rsidRPr="0072452D">
              <w:rPr>
                <w:rFonts w:cs="Arial"/>
                <w:b/>
                <w:bCs/>
                <w:color w:val="FFFFFF" w:themeColor="background1"/>
                <w:sz w:val="20"/>
                <w:szCs w:val="20"/>
              </w:rPr>
              <w:t>Fase 4</w:t>
            </w:r>
          </w:p>
        </w:tc>
        <w:tc>
          <w:tcPr>
            <w:tcW w:w="2835" w:type="dxa"/>
            <w:tcBorders>
              <w:top w:val="single" w:sz="4" w:space="0" w:color="78BE20"/>
              <w:bottom w:val="single" w:sz="4" w:space="0" w:color="78BE20"/>
            </w:tcBorders>
            <w:vAlign w:val="center"/>
          </w:tcPr>
          <w:p w14:paraId="33A7B446" w14:textId="3EFE019A" w:rsidR="00582034" w:rsidRPr="00082976" w:rsidRDefault="00582034" w:rsidP="00082976">
            <w:pPr>
              <w:spacing w:before="0" w:after="0"/>
              <w:jc w:val="left"/>
              <w:rPr>
                <w:rFonts w:cs="Arial"/>
                <w:color w:val="78BE20"/>
                <w:sz w:val="18"/>
                <w:szCs w:val="18"/>
              </w:rPr>
            </w:pPr>
            <w:r w:rsidRPr="00082976">
              <w:rPr>
                <w:rFonts w:cs="Arial"/>
                <w:color w:val="78BE20"/>
                <w:sz w:val="18"/>
                <w:szCs w:val="18"/>
              </w:rPr>
              <w:t>[09/</w:t>
            </w:r>
            <w:r w:rsidR="001F1E0E" w:rsidRPr="00082976">
              <w:rPr>
                <w:rFonts w:cs="Arial"/>
                <w:color w:val="78BE20"/>
                <w:sz w:val="18"/>
                <w:szCs w:val="18"/>
              </w:rPr>
              <w:t>20</w:t>
            </w:r>
            <w:r w:rsidRPr="00082976">
              <w:rPr>
                <w:rFonts w:cs="Arial"/>
                <w:color w:val="78BE20"/>
                <w:sz w:val="18"/>
                <w:szCs w:val="18"/>
              </w:rPr>
              <w:t>22</w:t>
            </w:r>
            <w:r w:rsidR="00D74F75" w:rsidRPr="00082976">
              <w:rPr>
                <w:rFonts w:cs="Arial"/>
                <w:color w:val="78BE20"/>
                <w:sz w:val="18"/>
                <w:szCs w:val="18"/>
              </w:rPr>
              <w:t xml:space="preserve"> – 10/2022</w:t>
            </w:r>
            <w:r w:rsidRPr="00082976">
              <w:rPr>
                <w:rFonts w:cs="Arial"/>
                <w:color w:val="78BE20"/>
                <w:sz w:val="18"/>
                <w:szCs w:val="18"/>
              </w:rPr>
              <w:t>]</w:t>
            </w:r>
          </w:p>
        </w:tc>
        <w:tc>
          <w:tcPr>
            <w:tcW w:w="4677" w:type="dxa"/>
            <w:tcBorders>
              <w:top w:val="single" w:sz="4" w:space="0" w:color="78BE20"/>
              <w:bottom w:val="single" w:sz="4" w:space="0" w:color="78BE20"/>
            </w:tcBorders>
            <w:vAlign w:val="center"/>
          </w:tcPr>
          <w:p w14:paraId="43BB9ECC" w14:textId="4ED6615B" w:rsidR="00724EA7" w:rsidRPr="00950142" w:rsidRDefault="00582034" w:rsidP="00082976">
            <w:pPr>
              <w:spacing w:before="0" w:after="0"/>
              <w:jc w:val="left"/>
              <w:rPr>
                <w:rFonts w:cs="Arial"/>
                <w:sz w:val="18"/>
                <w:szCs w:val="18"/>
              </w:rPr>
            </w:pPr>
            <w:r w:rsidRPr="00950142">
              <w:rPr>
                <w:rFonts w:cs="Arial"/>
                <w:sz w:val="18"/>
                <w:szCs w:val="18"/>
              </w:rPr>
              <w:t xml:space="preserve">Negociación y aprobación del Diagnóstico </w:t>
            </w:r>
          </w:p>
        </w:tc>
      </w:tr>
      <w:tr w:rsidR="00582034" w:rsidRPr="00111DC0" w14:paraId="45C9AF70" w14:textId="77777777" w:rsidTr="00950142">
        <w:trPr>
          <w:trHeight w:val="397"/>
        </w:trPr>
        <w:tc>
          <w:tcPr>
            <w:tcW w:w="993" w:type="dxa"/>
            <w:tcBorders>
              <w:top w:val="single" w:sz="2" w:space="0" w:color="FFFFFF" w:themeColor="background1"/>
              <w:bottom w:val="single" w:sz="2" w:space="0" w:color="FFFFFF" w:themeColor="background1"/>
            </w:tcBorders>
            <w:shd w:val="clear" w:color="auto" w:fill="78BE20"/>
            <w:vAlign w:val="center"/>
          </w:tcPr>
          <w:p w14:paraId="7E725898" w14:textId="744B6D64" w:rsidR="00582034" w:rsidRPr="0072452D" w:rsidRDefault="00582034" w:rsidP="0072452D">
            <w:pPr>
              <w:spacing w:before="0" w:after="0"/>
              <w:jc w:val="right"/>
              <w:rPr>
                <w:rFonts w:cs="Arial"/>
                <w:color w:val="FFFFFF" w:themeColor="background1"/>
                <w:sz w:val="20"/>
                <w:szCs w:val="20"/>
              </w:rPr>
            </w:pPr>
            <w:r w:rsidRPr="0072452D">
              <w:rPr>
                <w:rFonts w:cs="Arial"/>
                <w:b/>
                <w:bCs/>
                <w:color w:val="FFFFFF" w:themeColor="background1"/>
                <w:sz w:val="20"/>
                <w:szCs w:val="20"/>
              </w:rPr>
              <w:t>Fase 5</w:t>
            </w:r>
          </w:p>
        </w:tc>
        <w:tc>
          <w:tcPr>
            <w:tcW w:w="2835" w:type="dxa"/>
            <w:tcBorders>
              <w:top w:val="single" w:sz="4" w:space="0" w:color="78BE20"/>
              <w:bottom w:val="single" w:sz="4" w:space="0" w:color="78BE20"/>
            </w:tcBorders>
            <w:vAlign w:val="center"/>
          </w:tcPr>
          <w:p w14:paraId="03BDBEE7" w14:textId="5003754B" w:rsidR="00582034" w:rsidRPr="00082976" w:rsidRDefault="00582034" w:rsidP="00082976">
            <w:pPr>
              <w:spacing w:before="0" w:after="0"/>
              <w:jc w:val="left"/>
              <w:rPr>
                <w:rFonts w:cs="Arial"/>
                <w:color w:val="78BE20"/>
                <w:sz w:val="18"/>
                <w:szCs w:val="18"/>
              </w:rPr>
            </w:pPr>
            <w:r w:rsidRPr="00082976">
              <w:rPr>
                <w:rFonts w:cs="Arial"/>
                <w:color w:val="78BE20"/>
                <w:sz w:val="18"/>
                <w:szCs w:val="18"/>
              </w:rPr>
              <w:t>[</w:t>
            </w:r>
            <w:r w:rsidR="00D74F75" w:rsidRPr="00082976">
              <w:rPr>
                <w:rFonts w:cs="Arial"/>
                <w:color w:val="78BE20"/>
                <w:sz w:val="18"/>
                <w:szCs w:val="18"/>
              </w:rPr>
              <w:t>1</w:t>
            </w:r>
            <w:r w:rsidR="0072452D">
              <w:rPr>
                <w:rFonts w:cs="Arial"/>
                <w:color w:val="78BE20"/>
                <w:sz w:val="18"/>
                <w:szCs w:val="18"/>
              </w:rPr>
              <w:t>1</w:t>
            </w:r>
            <w:r w:rsidRPr="00082976">
              <w:rPr>
                <w:rFonts w:cs="Arial"/>
                <w:color w:val="78BE20"/>
                <w:sz w:val="18"/>
                <w:szCs w:val="18"/>
              </w:rPr>
              <w:t>/</w:t>
            </w:r>
            <w:r w:rsidR="001F1E0E" w:rsidRPr="00082976">
              <w:rPr>
                <w:rFonts w:cs="Arial"/>
                <w:color w:val="78BE20"/>
                <w:sz w:val="18"/>
                <w:szCs w:val="18"/>
              </w:rPr>
              <w:t>20</w:t>
            </w:r>
            <w:r w:rsidRPr="00082976">
              <w:rPr>
                <w:rFonts w:cs="Arial"/>
                <w:color w:val="78BE20"/>
                <w:sz w:val="18"/>
                <w:szCs w:val="18"/>
              </w:rPr>
              <w:t>22]</w:t>
            </w:r>
          </w:p>
        </w:tc>
        <w:tc>
          <w:tcPr>
            <w:tcW w:w="4677" w:type="dxa"/>
            <w:tcBorders>
              <w:top w:val="single" w:sz="4" w:space="0" w:color="78BE20"/>
              <w:bottom w:val="single" w:sz="4" w:space="0" w:color="78BE20"/>
            </w:tcBorders>
            <w:vAlign w:val="center"/>
          </w:tcPr>
          <w:p w14:paraId="215144D0" w14:textId="070D3AEA" w:rsidR="00582034" w:rsidRPr="00950142" w:rsidRDefault="00A12214" w:rsidP="00082976">
            <w:pPr>
              <w:spacing w:before="0" w:after="0"/>
              <w:jc w:val="left"/>
              <w:rPr>
                <w:rFonts w:cs="Arial"/>
                <w:sz w:val="18"/>
                <w:szCs w:val="18"/>
              </w:rPr>
            </w:pPr>
            <w:r w:rsidRPr="00950142">
              <w:rPr>
                <w:rFonts w:cs="Arial"/>
                <w:sz w:val="18"/>
                <w:szCs w:val="18"/>
              </w:rPr>
              <w:t>Elaboración y negociación del Plan</w:t>
            </w:r>
          </w:p>
        </w:tc>
      </w:tr>
      <w:tr w:rsidR="00582034" w:rsidRPr="00111DC0" w14:paraId="5A6D38B6" w14:textId="77777777" w:rsidTr="00950142">
        <w:trPr>
          <w:trHeight w:val="397"/>
        </w:trPr>
        <w:tc>
          <w:tcPr>
            <w:tcW w:w="993" w:type="dxa"/>
            <w:tcBorders>
              <w:top w:val="single" w:sz="2" w:space="0" w:color="FFFFFF" w:themeColor="background1"/>
            </w:tcBorders>
            <w:shd w:val="clear" w:color="auto" w:fill="78BE20"/>
            <w:vAlign w:val="center"/>
          </w:tcPr>
          <w:p w14:paraId="655C274A" w14:textId="75355501" w:rsidR="00582034" w:rsidRPr="0072452D" w:rsidRDefault="00582034" w:rsidP="0072452D">
            <w:pPr>
              <w:spacing w:before="0" w:after="0"/>
              <w:jc w:val="right"/>
              <w:rPr>
                <w:rFonts w:cs="Arial"/>
                <w:color w:val="FFFFFF" w:themeColor="background1"/>
                <w:sz w:val="20"/>
                <w:szCs w:val="20"/>
              </w:rPr>
            </w:pPr>
            <w:r w:rsidRPr="0072452D">
              <w:rPr>
                <w:rFonts w:cs="Arial"/>
                <w:b/>
                <w:bCs/>
                <w:color w:val="FFFFFF" w:themeColor="background1"/>
                <w:sz w:val="20"/>
                <w:szCs w:val="20"/>
              </w:rPr>
              <w:t>Fase 6</w:t>
            </w:r>
          </w:p>
        </w:tc>
        <w:tc>
          <w:tcPr>
            <w:tcW w:w="2835" w:type="dxa"/>
            <w:tcBorders>
              <w:top w:val="single" w:sz="4" w:space="0" w:color="78BE20"/>
              <w:bottom w:val="single" w:sz="4" w:space="0" w:color="78BE20"/>
            </w:tcBorders>
            <w:vAlign w:val="center"/>
          </w:tcPr>
          <w:p w14:paraId="1B5C264A" w14:textId="440FF639" w:rsidR="00582034" w:rsidRPr="00082976" w:rsidRDefault="00582034" w:rsidP="00082976">
            <w:pPr>
              <w:spacing w:before="0" w:after="0"/>
              <w:jc w:val="left"/>
              <w:rPr>
                <w:rFonts w:cs="Arial"/>
                <w:color w:val="78BE20"/>
                <w:sz w:val="18"/>
                <w:szCs w:val="18"/>
              </w:rPr>
            </w:pPr>
            <w:r w:rsidRPr="00082976">
              <w:rPr>
                <w:rFonts w:cs="Arial"/>
                <w:color w:val="78BE20"/>
                <w:sz w:val="18"/>
                <w:szCs w:val="18"/>
              </w:rPr>
              <w:t>[12/</w:t>
            </w:r>
            <w:r w:rsidR="001F1E0E" w:rsidRPr="00082976">
              <w:rPr>
                <w:rFonts w:cs="Arial"/>
                <w:color w:val="78BE20"/>
                <w:sz w:val="18"/>
                <w:szCs w:val="18"/>
              </w:rPr>
              <w:t>20</w:t>
            </w:r>
            <w:r w:rsidRPr="00082976">
              <w:rPr>
                <w:rFonts w:cs="Arial"/>
                <w:color w:val="78BE20"/>
                <w:sz w:val="18"/>
                <w:szCs w:val="18"/>
              </w:rPr>
              <w:t>22]</w:t>
            </w:r>
          </w:p>
        </w:tc>
        <w:tc>
          <w:tcPr>
            <w:tcW w:w="4677" w:type="dxa"/>
            <w:tcBorders>
              <w:top w:val="single" w:sz="4" w:space="0" w:color="78BE20"/>
              <w:bottom w:val="single" w:sz="4" w:space="0" w:color="78BE20"/>
            </w:tcBorders>
            <w:vAlign w:val="center"/>
          </w:tcPr>
          <w:p w14:paraId="3935A7A5" w14:textId="4A393225" w:rsidR="00582034" w:rsidRPr="00950142" w:rsidRDefault="00582034" w:rsidP="00082976">
            <w:pPr>
              <w:spacing w:before="0" w:after="0"/>
              <w:jc w:val="left"/>
              <w:rPr>
                <w:rFonts w:cs="Arial"/>
                <w:sz w:val="18"/>
                <w:szCs w:val="18"/>
              </w:rPr>
            </w:pPr>
            <w:r w:rsidRPr="00950142">
              <w:rPr>
                <w:rFonts w:cs="Arial"/>
                <w:sz w:val="18"/>
                <w:szCs w:val="18"/>
              </w:rPr>
              <w:t>Aprobación del Plan</w:t>
            </w:r>
          </w:p>
        </w:tc>
      </w:tr>
    </w:tbl>
    <w:p w14:paraId="7B6CC831" w14:textId="0C6AC7D4" w:rsidR="00582034" w:rsidRPr="00111DC0" w:rsidRDefault="00582034" w:rsidP="00350BA5">
      <w:pPr>
        <w:spacing w:after="0"/>
        <w:rPr>
          <w:rFonts w:cs="Arial"/>
        </w:rPr>
      </w:pPr>
    </w:p>
    <w:p w14:paraId="0135EB75" w14:textId="2FB79E88" w:rsidR="00FA19C3" w:rsidRPr="00111DC0" w:rsidRDefault="00FA19C3">
      <w:pPr>
        <w:spacing w:before="0" w:after="160" w:line="259" w:lineRule="auto"/>
        <w:jc w:val="left"/>
        <w:rPr>
          <w:rFonts w:eastAsiaTheme="majorEastAsia" w:cs="Arial"/>
          <w:b/>
          <w:bCs/>
          <w:snapToGrid w:val="0"/>
          <w:color w:val="78BE20"/>
          <w:szCs w:val="26"/>
        </w:rPr>
      </w:pPr>
    </w:p>
    <w:p w14:paraId="5B4300A5" w14:textId="7F79DD90" w:rsidR="00582034" w:rsidRPr="00111DC0" w:rsidRDefault="00582034" w:rsidP="0072452D">
      <w:pPr>
        <w:pStyle w:val="Ttulo2"/>
      </w:pPr>
      <w:bookmarkStart w:id="8" w:name="_Toc122080785"/>
      <w:r w:rsidRPr="00111DC0">
        <w:t>Participantes</w:t>
      </w:r>
      <w:bookmarkEnd w:id="8"/>
    </w:p>
    <w:p w14:paraId="62C01698" w14:textId="3ECA7782" w:rsidR="00582034" w:rsidRDefault="00582034" w:rsidP="00350BA5">
      <w:pPr>
        <w:spacing w:after="0"/>
        <w:rPr>
          <w:rFonts w:cs="Arial"/>
        </w:rPr>
      </w:pPr>
      <w:r w:rsidRPr="00111DC0">
        <w:rPr>
          <w:rFonts w:cs="Arial"/>
        </w:rPr>
        <w:t xml:space="preserve">Además de las personas implicadas en la elaboración de los documentos base y de su negociación, </w:t>
      </w:r>
      <w:r w:rsidR="00A12214" w:rsidRPr="00111DC0">
        <w:rPr>
          <w:rFonts w:cs="Arial"/>
        </w:rPr>
        <w:t xml:space="preserve">las cuales </w:t>
      </w:r>
      <w:r w:rsidRPr="00111DC0">
        <w:rPr>
          <w:rFonts w:cs="Arial"/>
        </w:rPr>
        <w:t xml:space="preserve">han centralizado todo el trabajo en el seno de la Comisión Negociadora, </w:t>
      </w:r>
      <w:r w:rsidR="0080116D" w:rsidRPr="0072452D">
        <w:rPr>
          <w:rFonts w:cs="Arial"/>
          <w:b/>
          <w:bCs/>
        </w:rPr>
        <w:t>otro</w:t>
      </w:r>
      <w:r w:rsidRPr="0072452D">
        <w:rPr>
          <w:rFonts w:cs="Arial"/>
          <w:b/>
          <w:bCs/>
        </w:rPr>
        <w:t xml:space="preserve"> amplio conjunto de agentes ha </w:t>
      </w:r>
      <w:r w:rsidR="0080116D" w:rsidRPr="0072452D">
        <w:rPr>
          <w:rFonts w:cs="Arial"/>
          <w:b/>
          <w:bCs/>
        </w:rPr>
        <w:t>colaborado en el proceso de elaboración del Diagnóstico y del Plan</w:t>
      </w:r>
      <w:r w:rsidR="00EC0EE4" w:rsidRPr="0072452D">
        <w:rPr>
          <w:rFonts w:cs="Arial"/>
          <w:b/>
          <w:bCs/>
        </w:rPr>
        <w:t>.</w:t>
      </w:r>
      <w:r w:rsidR="00EC0EE4" w:rsidRPr="00111DC0">
        <w:rPr>
          <w:rFonts w:cs="Arial"/>
        </w:rPr>
        <w:t xml:space="preserve"> Se enumeran a continuación:  </w:t>
      </w:r>
    </w:p>
    <w:p w14:paraId="78579349" w14:textId="77777777" w:rsidR="00950142" w:rsidRPr="00111DC0" w:rsidRDefault="00950142" w:rsidP="00350BA5">
      <w:pPr>
        <w:spacing w:after="0"/>
        <w:rPr>
          <w:rFonts w:cs="Arial"/>
        </w:rPr>
      </w:pPr>
    </w:p>
    <w:p w14:paraId="3782911B" w14:textId="62C7FBFB" w:rsidR="00A85050" w:rsidRPr="00111DC0" w:rsidRDefault="00A85050" w:rsidP="00950142">
      <w:pPr>
        <w:spacing w:before="0" w:after="0"/>
        <w:rPr>
          <w:rFonts w:cs="Arial"/>
          <w:u w:val="single"/>
        </w:rPr>
      </w:pPr>
      <w:r w:rsidRPr="00111DC0">
        <w:rPr>
          <w:rFonts w:cs="Arial"/>
          <w:u w:val="single"/>
        </w:rPr>
        <w:t>Dirección General de Función Pública:</w:t>
      </w:r>
    </w:p>
    <w:p w14:paraId="6972A991" w14:textId="0AC3BBDE" w:rsidR="00A85050" w:rsidRPr="00111DC0" w:rsidRDefault="00A85050" w:rsidP="00950142">
      <w:pPr>
        <w:pStyle w:val="Prrafodelista"/>
      </w:pPr>
      <w:r w:rsidRPr="00111DC0">
        <w:t xml:space="preserve">Servicio de Planificación, Ordenación de la Función Pública y Asistencia Jurídica, </w:t>
      </w:r>
      <w:r w:rsidR="0080116D" w:rsidRPr="00111DC0">
        <w:t xml:space="preserve">en lo </w:t>
      </w:r>
      <w:r w:rsidRPr="00111DC0">
        <w:t>referente a todos los datos de Registro de Personal.</w:t>
      </w:r>
    </w:p>
    <w:p w14:paraId="2785D533" w14:textId="3321ECB4" w:rsidR="00E97B3A" w:rsidRPr="00111DC0" w:rsidRDefault="00E97B3A" w:rsidP="00950142">
      <w:pPr>
        <w:pStyle w:val="Prrafodelista"/>
      </w:pPr>
      <w:r w:rsidRPr="00111DC0">
        <w:t>Servicio de Prevención</w:t>
      </w:r>
      <w:r w:rsidR="00A85050" w:rsidRPr="00111DC0">
        <w:t xml:space="preserve"> de Riesgos Laborales, </w:t>
      </w:r>
      <w:r w:rsidRPr="00111DC0">
        <w:t xml:space="preserve">en la provisión de información sobre Acoso y Salud laborales. </w:t>
      </w:r>
    </w:p>
    <w:p w14:paraId="158B97E3" w14:textId="1EA0B8DF" w:rsidR="00582034" w:rsidRPr="00111DC0" w:rsidRDefault="00582034" w:rsidP="00950142">
      <w:pPr>
        <w:pStyle w:val="Prrafodelista"/>
      </w:pPr>
      <w:r w:rsidRPr="00111DC0">
        <w:t xml:space="preserve">Servicio </w:t>
      </w:r>
      <w:r w:rsidR="00A85050" w:rsidRPr="00111DC0">
        <w:t>de Administración de Personal y Retribuciones</w:t>
      </w:r>
      <w:r w:rsidR="00106376" w:rsidRPr="00111DC0">
        <w:t>,</w:t>
      </w:r>
      <w:r w:rsidR="00106376" w:rsidRPr="00111DC0">
        <w:rPr>
          <w:color w:val="FF0000"/>
        </w:rPr>
        <w:t xml:space="preserve"> </w:t>
      </w:r>
      <w:r w:rsidRPr="00111DC0">
        <w:t xml:space="preserve">en la </w:t>
      </w:r>
      <w:r w:rsidR="00EB2E15" w:rsidRPr="00111DC0">
        <w:t xml:space="preserve">recogida de datos </w:t>
      </w:r>
      <w:r w:rsidR="00106376" w:rsidRPr="00111DC0">
        <w:t>retributivos para</w:t>
      </w:r>
      <w:r w:rsidR="00EB2E15" w:rsidRPr="00111DC0">
        <w:t xml:space="preserve"> la Auditoría y Registro salariales del Personal Laboral</w:t>
      </w:r>
      <w:r w:rsidR="00A85050" w:rsidRPr="00111DC0">
        <w:t>.</w:t>
      </w:r>
    </w:p>
    <w:p w14:paraId="68BB56F8" w14:textId="35B15BF4" w:rsidR="00A85050" w:rsidRPr="00111DC0" w:rsidRDefault="00A85050" w:rsidP="00950142">
      <w:pPr>
        <w:pStyle w:val="Prrafodelista"/>
      </w:pPr>
      <w:r w:rsidRPr="00111DC0">
        <w:t>Servicio de la Escuela Riojana de Administración Pública, en la provisión de información de formación y procesos selectivos.</w:t>
      </w:r>
    </w:p>
    <w:p w14:paraId="346690F6" w14:textId="3F5ED588" w:rsidR="00A85050" w:rsidRPr="00111DC0" w:rsidRDefault="00A85050" w:rsidP="00950142">
      <w:pPr>
        <w:pStyle w:val="Prrafodelista"/>
      </w:pPr>
      <w:r w:rsidRPr="00111DC0">
        <w:t xml:space="preserve">Servicio de Presupuestos y Relaciones Laborales, en la gestión de </w:t>
      </w:r>
      <w:r w:rsidR="0080116D" w:rsidRPr="00111DC0">
        <w:t xml:space="preserve">la </w:t>
      </w:r>
      <w:r w:rsidRPr="00111DC0">
        <w:t>negociación colectiva.</w:t>
      </w:r>
    </w:p>
    <w:p w14:paraId="4F740098" w14:textId="77777777" w:rsidR="00950142" w:rsidRDefault="00950142" w:rsidP="00950142">
      <w:pPr>
        <w:spacing w:before="0" w:after="0"/>
        <w:rPr>
          <w:rFonts w:cs="Arial"/>
          <w:u w:val="single"/>
        </w:rPr>
      </w:pPr>
    </w:p>
    <w:p w14:paraId="5196117A" w14:textId="52BA4849" w:rsidR="00A85050" w:rsidRPr="00111DC0" w:rsidRDefault="00A85050" w:rsidP="00950142">
      <w:pPr>
        <w:spacing w:before="0" w:after="0"/>
        <w:rPr>
          <w:rFonts w:cs="Arial"/>
          <w:u w:val="single"/>
        </w:rPr>
      </w:pPr>
      <w:r w:rsidRPr="00111DC0">
        <w:rPr>
          <w:rFonts w:cs="Arial"/>
          <w:u w:val="single"/>
        </w:rPr>
        <w:t>Dirección General de Gestión Educativa:</w:t>
      </w:r>
    </w:p>
    <w:p w14:paraId="29DB7C14" w14:textId="1580CD6C" w:rsidR="004B4437" w:rsidRPr="00111DC0" w:rsidRDefault="004B4437" w:rsidP="00950142">
      <w:pPr>
        <w:pStyle w:val="Prrafodelista"/>
      </w:pPr>
      <w:r w:rsidRPr="00111DC0">
        <w:t xml:space="preserve">Servicio de Recursos Humanos, en la recogida de datos del </w:t>
      </w:r>
      <w:r w:rsidR="00832653" w:rsidRPr="00111DC0">
        <w:t>Personal Docente</w:t>
      </w:r>
      <w:r w:rsidRPr="00111DC0">
        <w:t xml:space="preserve">. </w:t>
      </w:r>
    </w:p>
    <w:p w14:paraId="48B25A56" w14:textId="77777777" w:rsidR="00950142" w:rsidRDefault="00950142" w:rsidP="00950142">
      <w:pPr>
        <w:spacing w:before="0" w:after="0"/>
        <w:rPr>
          <w:rFonts w:cs="Arial"/>
          <w:u w:val="single"/>
        </w:rPr>
      </w:pPr>
    </w:p>
    <w:p w14:paraId="760459AF" w14:textId="3047AC86" w:rsidR="00A85050" w:rsidRPr="00111DC0" w:rsidRDefault="00007481" w:rsidP="00950142">
      <w:pPr>
        <w:spacing w:before="0" w:after="0"/>
        <w:rPr>
          <w:rFonts w:cs="Arial"/>
          <w:u w:val="single"/>
        </w:rPr>
      </w:pPr>
      <w:r w:rsidRPr="00111DC0">
        <w:rPr>
          <w:rFonts w:cs="Arial"/>
          <w:u w:val="single"/>
        </w:rPr>
        <w:t>Dirección General de Innovación Educativa:</w:t>
      </w:r>
    </w:p>
    <w:p w14:paraId="6B8DD859" w14:textId="0047F9A3" w:rsidR="00007481" w:rsidRPr="00111DC0" w:rsidRDefault="00007481" w:rsidP="00950142">
      <w:pPr>
        <w:pStyle w:val="Prrafodelista"/>
      </w:pPr>
      <w:r w:rsidRPr="00111DC0">
        <w:t>Centro Riojano de Innovación Educativ</w:t>
      </w:r>
      <w:r w:rsidR="001468E9">
        <w:t>a</w:t>
      </w:r>
      <w:r w:rsidRPr="00111DC0">
        <w:t xml:space="preserve"> (CRIE), en la provisión de información de formación docente.</w:t>
      </w:r>
    </w:p>
    <w:p w14:paraId="176754E2" w14:textId="77777777" w:rsidR="00007481" w:rsidRPr="00111DC0" w:rsidRDefault="00007481" w:rsidP="00950142">
      <w:pPr>
        <w:spacing w:before="0" w:after="0"/>
        <w:ind w:left="720"/>
        <w:rPr>
          <w:rFonts w:cs="Arial"/>
        </w:rPr>
      </w:pPr>
    </w:p>
    <w:p w14:paraId="67162B68" w14:textId="3A114ADB" w:rsidR="00A85050" w:rsidRPr="00111DC0" w:rsidRDefault="00A12214" w:rsidP="00950142">
      <w:pPr>
        <w:spacing w:before="0" w:after="0"/>
        <w:rPr>
          <w:rFonts w:cs="Arial"/>
        </w:rPr>
      </w:pPr>
      <w:r w:rsidRPr="00111DC0">
        <w:rPr>
          <w:rFonts w:cs="Arial"/>
          <w:u w:val="single"/>
        </w:rPr>
        <w:t>Y, finalmente, t</w:t>
      </w:r>
      <w:r w:rsidR="00A85050" w:rsidRPr="00111DC0">
        <w:rPr>
          <w:rFonts w:cs="Arial"/>
          <w:u w:val="single"/>
        </w:rPr>
        <w:t>odas las Secretarías Generales Técnicas</w:t>
      </w:r>
      <w:r w:rsidR="00A85050" w:rsidRPr="00111DC0">
        <w:rPr>
          <w:rFonts w:cs="Arial"/>
        </w:rPr>
        <w:t xml:space="preserve"> en la recogida de datos referentes a permisos y licencias.</w:t>
      </w:r>
    </w:p>
    <w:p w14:paraId="6B8F648D" w14:textId="042B00BF" w:rsidR="00582034" w:rsidRPr="00111DC0" w:rsidRDefault="00582034" w:rsidP="00350BA5">
      <w:pPr>
        <w:spacing w:after="0"/>
        <w:rPr>
          <w:rFonts w:cs="Arial"/>
        </w:rPr>
      </w:pPr>
    </w:p>
    <w:p w14:paraId="00C84DB2" w14:textId="606C0AB2" w:rsidR="00BF5DB0" w:rsidRPr="00111DC0" w:rsidRDefault="00BF5DB0">
      <w:pPr>
        <w:spacing w:before="0" w:after="160" w:line="259" w:lineRule="auto"/>
        <w:jc w:val="left"/>
        <w:rPr>
          <w:rFonts w:cs="Arial"/>
        </w:rPr>
      </w:pPr>
      <w:r w:rsidRPr="00111DC0">
        <w:rPr>
          <w:rFonts w:cs="Arial"/>
        </w:rPr>
        <w:br w:type="page"/>
      </w:r>
    </w:p>
    <w:p w14:paraId="307FED1F" w14:textId="07BCC3DB" w:rsidR="005A1078" w:rsidRDefault="005A1078" w:rsidP="009F1C3F">
      <w:pPr>
        <w:pStyle w:val="Ttulo1"/>
        <w:rPr>
          <w:rFonts w:cs="Arial"/>
        </w:rPr>
      </w:pPr>
      <w:bookmarkStart w:id="9" w:name="_Toc122080786"/>
      <w:r w:rsidRPr="00111DC0">
        <w:rPr>
          <w:rFonts w:cs="Arial"/>
        </w:rPr>
        <w:lastRenderedPageBreak/>
        <w:t>D</w:t>
      </w:r>
      <w:r w:rsidR="00F36B99" w:rsidRPr="00111DC0">
        <w:rPr>
          <w:rFonts w:cs="Arial"/>
        </w:rPr>
        <w:t>IAGNÓSTICO</w:t>
      </w:r>
      <w:bookmarkEnd w:id="9"/>
    </w:p>
    <w:p w14:paraId="3680A069" w14:textId="3701683C" w:rsidR="005802E1" w:rsidRPr="00111DC0" w:rsidRDefault="005802E1" w:rsidP="00350BA5">
      <w:pPr>
        <w:spacing w:after="0"/>
        <w:rPr>
          <w:rFonts w:cs="Arial"/>
        </w:rPr>
      </w:pPr>
      <w:r w:rsidRPr="00C45F52">
        <w:rPr>
          <w:rFonts w:cs="Arial"/>
          <w:b/>
          <w:bCs/>
        </w:rPr>
        <w:t xml:space="preserve">Las páginas siguientes recogen </w:t>
      </w:r>
      <w:r w:rsidR="003E5FFC" w:rsidRPr="00C45F52">
        <w:rPr>
          <w:rFonts w:cs="Arial"/>
          <w:b/>
          <w:bCs/>
        </w:rPr>
        <w:t>un resumen</w:t>
      </w:r>
      <w:r w:rsidR="003E5FFC">
        <w:rPr>
          <w:rFonts w:cs="Arial"/>
        </w:rPr>
        <w:t xml:space="preserve"> del </w:t>
      </w:r>
      <w:r w:rsidR="00C45F52">
        <w:rPr>
          <w:rFonts w:cs="Arial"/>
        </w:rPr>
        <w:t>D</w:t>
      </w:r>
      <w:r w:rsidR="003E5FFC">
        <w:rPr>
          <w:rFonts w:cs="Arial"/>
        </w:rPr>
        <w:t xml:space="preserve">iagnóstico de la situación de igualdad de la Administración General de La Rioja, </w:t>
      </w:r>
      <w:r w:rsidR="00C12054">
        <w:rPr>
          <w:rFonts w:cs="Arial"/>
        </w:rPr>
        <w:t xml:space="preserve">cuyo texto completo fue </w:t>
      </w:r>
      <w:r w:rsidR="003E5FFC">
        <w:rPr>
          <w:rFonts w:cs="Arial"/>
        </w:rPr>
        <w:t xml:space="preserve">aprobado en el seno de la Comisión Negociadora </w:t>
      </w:r>
      <w:r w:rsidR="003E5FFC" w:rsidRPr="006531D9">
        <w:rPr>
          <w:rFonts w:cs="Arial"/>
        </w:rPr>
        <w:t>el día 5 de octubre de 2022</w:t>
      </w:r>
      <w:r w:rsidRPr="006531D9">
        <w:rPr>
          <w:rFonts w:cs="Arial"/>
        </w:rPr>
        <w:t>.</w:t>
      </w:r>
      <w:r w:rsidRPr="00111DC0">
        <w:rPr>
          <w:rFonts w:cs="Arial"/>
        </w:rPr>
        <w:t xml:space="preserve"> </w:t>
      </w:r>
    </w:p>
    <w:p w14:paraId="5E8A3C04" w14:textId="64369268" w:rsidR="00350BA5" w:rsidRPr="00111DC0" w:rsidRDefault="00350BA5" w:rsidP="00FA1CC7">
      <w:pPr>
        <w:rPr>
          <w:snapToGrid w:val="0"/>
        </w:rPr>
      </w:pPr>
    </w:p>
    <w:p w14:paraId="3D720458" w14:textId="37661B7A" w:rsidR="00B86C2A" w:rsidRPr="00111DC0" w:rsidRDefault="003E5FFC" w:rsidP="00024B4E">
      <w:pPr>
        <w:pStyle w:val="Ttulo2"/>
      </w:pPr>
      <w:bookmarkStart w:id="10" w:name="_Toc122080787"/>
      <w:r>
        <w:t>Aspectos formales</w:t>
      </w:r>
      <w:bookmarkEnd w:id="10"/>
    </w:p>
    <w:p w14:paraId="37ACC8AB" w14:textId="457EDB8C" w:rsidR="00B86C2A" w:rsidRPr="00B179F0" w:rsidRDefault="003E5FFC" w:rsidP="00B86C2A">
      <w:pPr>
        <w:rPr>
          <w:rFonts w:cs="Arial"/>
          <w:b/>
          <w:bCs/>
        </w:rPr>
      </w:pPr>
      <w:r w:rsidRPr="00B179F0">
        <w:rPr>
          <w:rFonts w:cs="Arial"/>
          <w:b/>
          <w:bCs/>
        </w:rPr>
        <w:t xml:space="preserve">El Diagnóstico </w:t>
      </w:r>
      <w:r w:rsidR="001F1722" w:rsidRPr="00B179F0">
        <w:rPr>
          <w:rFonts w:cs="Arial"/>
          <w:b/>
          <w:bCs/>
        </w:rPr>
        <w:t>persigue</w:t>
      </w:r>
      <w:r w:rsidRPr="00B179F0">
        <w:rPr>
          <w:rFonts w:cs="Arial"/>
          <w:b/>
          <w:bCs/>
        </w:rPr>
        <w:t xml:space="preserve"> un doble objetivo:</w:t>
      </w:r>
    </w:p>
    <w:p w14:paraId="28621ADB" w14:textId="77777777" w:rsidR="00B86C2A" w:rsidRPr="00111DC0" w:rsidRDefault="00B86C2A" w:rsidP="00564CC6">
      <w:pPr>
        <w:pStyle w:val="Prrafodelista"/>
        <w:numPr>
          <w:ilvl w:val="0"/>
          <w:numId w:val="1"/>
        </w:numPr>
      </w:pPr>
      <w:r w:rsidRPr="00111DC0">
        <w:t xml:space="preserve">Identificar si existen o no discriminación o desigualdades de trato y de oportunidades entre mujeres y hombres. </w:t>
      </w:r>
    </w:p>
    <w:p w14:paraId="56AD189A" w14:textId="77777777" w:rsidR="00B86C2A" w:rsidRPr="00111DC0" w:rsidRDefault="00B86C2A" w:rsidP="00564CC6">
      <w:pPr>
        <w:pStyle w:val="Prrafodelista"/>
        <w:numPr>
          <w:ilvl w:val="0"/>
          <w:numId w:val="1"/>
        </w:numPr>
      </w:pPr>
      <w:r w:rsidRPr="00111DC0">
        <w:t xml:space="preserve">Avanzar en el conocimiento del grado de integración de la estrategia de la transversalidad de género en la actividad cotidiana de la Administración General. </w:t>
      </w:r>
    </w:p>
    <w:p w14:paraId="4995AC01" w14:textId="77777777" w:rsidR="00B86C2A" w:rsidRPr="00111DC0" w:rsidRDefault="00B86C2A" w:rsidP="00B86C2A"/>
    <w:p w14:paraId="040401DB" w14:textId="2E169E82" w:rsidR="00C474FD" w:rsidRDefault="00C474FD" w:rsidP="003E5FFC">
      <w:pPr>
        <w:rPr>
          <w:rFonts w:cs="Arial"/>
        </w:rPr>
      </w:pPr>
      <w:r>
        <w:rPr>
          <w:rFonts w:cs="Arial"/>
        </w:rPr>
        <w:t xml:space="preserve">Para ello, se han seguido </w:t>
      </w:r>
      <w:r w:rsidRPr="003E5FFC">
        <w:rPr>
          <w:rFonts w:cs="Arial"/>
        </w:rPr>
        <w:t>los mandatos de igualdad dirigidos a las Administraciones Públicas</w:t>
      </w:r>
      <w:r>
        <w:rPr>
          <w:rFonts w:cs="Arial"/>
        </w:rPr>
        <w:t xml:space="preserve"> en la </w:t>
      </w:r>
      <w:r w:rsidRPr="003E5FFC">
        <w:rPr>
          <w:rFonts w:cs="Arial"/>
        </w:rPr>
        <w:t>ley</w:t>
      </w:r>
      <w:r w:rsidRPr="003E5FFC">
        <w:rPr>
          <w:rStyle w:val="KursivaCar"/>
        </w:rPr>
        <w:t xml:space="preserve"> orgánica de igualdad 3/2007</w:t>
      </w:r>
      <w:r w:rsidRPr="00C474FD">
        <w:t xml:space="preserve">. </w:t>
      </w:r>
      <w:r>
        <w:rPr>
          <w:rFonts w:cs="Arial"/>
        </w:rPr>
        <w:t>Ante la</w:t>
      </w:r>
      <w:r w:rsidRPr="003E5FFC">
        <w:rPr>
          <w:rFonts w:cs="Arial"/>
        </w:rPr>
        <w:t xml:space="preserve"> escasa regulación sobre la elaboración de los planes de igualdad en las Administraciones Públicas, la Comisión Negociadora </w:t>
      </w:r>
      <w:r>
        <w:rPr>
          <w:rFonts w:cs="Arial"/>
        </w:rPr>
        <w:t>resolvió</w:t>
      </w:r>
      <w:r w:rsidRPr="003E5FFC">
        <w:rPr>
          <w:rFonts w:cs="Arial"/>
        </w:rPr>
        <w:t xml:space="preserve"> conveniente acudir a la normativa de aplicación en el sector </w:t>
      </w:r>
      <w:proofErr w:type="gramStart"/>
      <w:r w:rsidRPr="003E5FFC">
        <w:rPr>
          <w:rFonts w:cs="Arial"/>
        </w:rPr>
        <w:t>privado</w:t>
      </w:r>
      <w:proofErr w:type="gramEnd"/>
      <w:r>
        <w:rPr>
          <w:rFonts w:cs="Arial"/>
        </w:rPr>
        <w:t xml:space="preserve">, en concreto, al artículo 46 de la citada ley. </w:t>
      </w:r>
    </w:p>
    <w:p w14:paraId="477DC667" w14:textId="6E7B1C92" w:rsidR="003E5FFC" w:rsidRDefault="003E5FFC" w:rsidP="003E5FFC">
      <w:pPr>
        <w:rPr>
          <w:rFonts w:cs="Arial"/>
        </w:rPr>
      </w:pPr>
      <w:r w:rsidRPr="003E5FFC">
        <w:rPr>
          <w:rFonts w:cs="Arial"/>
        </w:rPr>
        <w:t xml:space="preserve">Siguiendo los términos </w:t>
      </w:r>
      <w:r>
        <w:rPr>
          <w:rFonts w:cs="Arial"/>
        </w:rPr>
        <w:t>d</w:t>
      </w:r>
      <w:r w:rsidRPr="003E5FFC">
        <w:rPr>
          <w:rFonts w:cs="Arial"/>
        </w:rPr>
        <w:t xml:space="preserve">el </w:t>
      </w:r>
      <w:r w:rsidRPr="003E5FFC">
        <w:rPr>
          <w:rStyle w:val="KursivaCar"/>
        </w:rPr>
        <w:t>Acuerdo de Legislatura</w:t>
      </w:r>
      <w:r w:rsidRPr="003E5FFC">
        <w:rPr>
          <w:rFonts w:cs="Arial"/>
        </w:rPr>
        <w:t xml:space="preserve"> del año 2020, para la elaboración del Diagnóstico se </w:t>
      </w:r>
      <w:r>
        <w:rPr>
          <w:rFonts w:cs="Arial"/>
        </w:rPr>
        <w:t>recabaron</w:t>
      </w:r>
      <w:r w:rsidRPr="003E5FFC">
        <w:rPr>
          <w:rFonts w:cs="Arial"/>
        </w:rPr>
        <w:t xml:space="preserve"> datos del Registro de Personal sobre empleadas y empleados públicos de La Rioja. En concreto, el personal objeto de análisis es el que integra los Servicios Generales y el Personal Docente no universitario. </w:t>
      </w:r>
    </w:p>
    <w:p w14:paraId="2FE4758F" w14:textId="347A75E9" w:rsidR="00B86C2A" w:rsidRPr="00111DC0" w:rsidRDefault="003E5FFC" w:rsidP="003E5FFC">
      <w:pPr>
        <w:rPr>
          <w:rFonts w:cs="Arial"/>
        </w:rPr>
      </w:pPr>
      <w:r w:rsidRPr="00B179F0">
        <w:rPr>
          <w:rFonts w:cs="Arial"/>
          <w:b/>
          <w:bCs/>
        </w:rPr>
        <w:t xml:space="preserve">El análisis se </w:t>
      </w:r>
      <w:r w:rsidR="00C474FD" w:rsidRPr="00B179F0">
        <w:rPr>
          <w:rFonts w:cs="Arial"/>
          <w:b/>
          <w:bCs/>
        </w:rPr>
        <w:t>ha ceñido</w:t>
      </w:r>
      <w:r w:rsidRPr="00B179F0">
        <w:rPr>
          <w:rFonts w:cs="Arial"/>
          <w:b/>
          <w:bCs/>
        </w:rPr>
        <w:t xml:space="preserve"> al </w:t>
      </w:r>
      <w:r w:rsidR="00B86C2A" w:rsidRPr="00B179F0">
        <w:rPr>
          <w:rFonts w:cs="Arial"/>
          <w:b/>
          <w:bCs/>
        </w:rPr>
        <w:t xml:space="preserve">periodo quinquenal 2017 </w:t>
      </w:r>
      <w:r w:rsidRPr="00B179F0">
        <w:rPr>
          <w:rFonts w:cs="Arial"/>
          <w:b/>
          <w:bCs/>
        </w:rPr>
        <w:t>–</w:t>
      </w:r>
      <w:r w:rsidR="00B86C2A" w:rsidRPr="00B179F0">
        <w:rPr>
          <w:rFonts w:cs="Arial"/>
          <w:b/>
          <w:bCs/>
        </w:rPr>
        <w:t xml:space="preserve"> 2021</w:t>
      </w:r>
      <w:r w:rsidRPr="00B179F0">
        <w:rPr>
          <w:rFonts w:cs="Arial"/>
          <w:b/>
          <w:bCs/>
        </w:rPr>
        <w:t>,</w:t>
      </w:r>
      <w:r>
        <w:rPr>
          <w:rFonts w:cs="Arial"/>
        </w:rPr>
        <w:t xml:space="preserve"> parte del cual estuvo afectado por </w:t>
      </w:r>
      <w:r w:rsidR="00B86C2A" w:rsidRPr="00111DC0">
        <w:rPr>
          <w:rFonts w:cs="Arial"/>
        </w:rPr>
        <w:t>la situación pandémica motivada por el virus SARS-CoV-2. Est</w:t>
      </w:r>
      <w:r>
        <w:rPr>
          <w:rFonts w:cs="Arial"/>
        </w:rPr>
        <w:t>a coyuntura</w:t>
      </w:r>
      <w:r w:rsidR="00B86C2A" w:rsidRPr="00111DC0">
        <w:rPr>
          <w:rFonts w:cs="Arial"/>
        </w:rPr>
        <w:t xml:space="preserve"> ocasionó notables alteraciones de la rutina administrativa y del personal público</w:t>
      </w:r>
      <w:r>
        <w:rPr>
          <w:rFonts w:cs="Arial"/>
        </w:rPr>
        <w:t xml:space="preserve">, además de que </w:t>
      </w:r>
      <w:r w:rsidR="00B86C2A" w:rsidRPr="00111DC0">
        <w:rPr>
          <w:rFonts w:cs="Arial"/>
        </w:rPr>
        <w:t>algunos datos no pudier</w:t>
      </w:r>
      <w:r>
        <w:rPr>
          <w:rFonts w:cs="Arial"/>
        </w:rPr>
        <w:t>a</w:t>
      </w:r>
      <w:r w:rsidR="00B86C2A" w:rsidRPr="00111DC0">
        <w:rPr>
          <w:rFonts w:cs="Arial"/>
        </w:rPr>
        <w:t xml:space="preserve">n ser recogidos. </w:t>
      </w:r>
    </w:p>
    <w:p w14:paraId="1AD5F6FC" w14:textId="3E41BA59" w:rsidR="00B86C2A" w:rsidRDefault="00B86C2A" w:rsidP="00B86C2A">
      <w:pPr>
        <w:rPr>
          <w:rFonts w:cs="Arial"/>
        </w:rPr>
      </w:pPr>
      <w:r w:rsidRPr="00111DC0">
        <w:rPr>
          <w:rFonts w:cs="Arial"/>
        </w:rPr>
        <w:t>Para cuando ha sido necesario obtener una fotografía fija</w:t>
      </w:r>
      <w:r w:rsidR="003E5FFC">
        <w:rPr>
          <w:rFonts w:cs="Arial"/>
        </w:rPr>
        <w:t xml:space="preserve"> de los datos</w:t>
      </w:r>
      <w:r w:rsidRPr="00111DC0">
        <w:rPr>
          <w:rFonts w:cs="Arial"/>
        </w:rPr>
        <w:t xml:space="preserve">, la fecha de corte de los datos ha sido el 1 de enero de 2021. En relación con la Auditoría y Registro salariales del Personal Laboral, el periodo de referencia comprende desde el 01/01/2021 hasta el 31/12/2021. </w:t>
      </w:r>
    </w:p>
    <w:p w14:paraId="635161B2" w14:textId="77777777" w:rsidR="00B86C2A" w:rsidRPr="00111DC0" w:rsidRDefault="00B86C2A" w:rsidP="00B86C2A"/>
    <w:p w14:paraId="70F0F719" w14:textId="77777777" w:rsidR="006531D9" w:rsidRDefault="006531D9" w:rsidP="00024B4E">
      <w:pPr>
        <w:pStyle w:val="Ttulo2"/>
      </w:pPr>
      <w:r>
        <w:br w:type="page"/>
      </w:r>
    </w:p>
    <w:p w14:paraId="12B6DF33" w14:textId="67277CF0" w:rsidR="005E5DC8" w:rsidRPr="00111DC0" w:rsidRDefault="007732E8" w:rsidP="00024B4E">
      <w:pPr>
        <w:pStyle w:val="Ttulo2"/>
      </w:pPr>
      <w:bookmarkStart w:id="11" w:name="_Toc122080788"/>
      <w:r w:rsidRPr="00111DC0">
        <w:lastRenderedPageBreak/>
        <w:t>Entidad</w:t>
      </w:r>
      <w:bookmarkEnd w:id="11"/>
    </w:p>
    <w:p w14:paraId="6C6EAB1E" w14:textId="0FD98C90" w:rsidR="00202153" w:rsidRPr="00202153" w:rsidRDefault="006531D9" w:rsidP="00202153">
      <w:pPr>
        <w:rPr>
          <w:rFonts w:cs="Arial"/>
        </w:rPr>
      </w:pPr>
      <w:bookmarkStart w:id="12" w:name="_Hlk101174381"/>
      <w:r>
        <w:rPr>
          <w:rFonts w:cs="Arial"/>
          <w:b/>
          <w:bCs/>
        </w:rPr>
        <w:t>L</w:t>
      </w:r>
      <w:r w:rsidR="00DA68A2" w:rsidRPr="00111DC0">
        <w:rPr>
          <w:rFonts w:cs="Arial"/>
          <w:b/>
          <w:bCs/>
        </w:rPr>
        <w:t xml:space="preserve">as </w:t>
      </w:r>
      <w:r w:rsidR="007D5111" w:rsidRPr="00111DC0">
        <w:rPr>
          <w:rFonts w:cs="Arial"/>
          <w:b/>
          <w:bCs/>
        </w:rPr>
        <w:t>Administraciones</w:t>
      </w:r>
      <w:r w:rsidR="00DA68A2" w:rsidRPr="00111DC0">
        <w:rPr>
          <w:rFonts w:cs="Arial"/>
          <w:b/>
          <w:bCs/>
        </w:rPr>
        <w:t xml:space="preserve"> Públicas están </w:t>
      </w:r>
      <w:r w:rsidR="007D5111" w:rsidRPr="00111DC0">
        <w:rPr>
          <w:rFonts w:cs="Arial"/>
          <w:b/>
          <w:bCs/>
        </w:rPr>
        <w:t>obligadas</w:t>
      </w:r>
      <w:r w:rsidR="00DA68A2" w:rsidRPr="00111DC0">
        <w:rPr>
          <w:rFonts w:cs="Arial"/>
          <w:b/>
          <w:bCs/>
        </w:rPr>
        <w:t xml:space="preserve"> a establecer medidas</w:t>
      </w:r>
      <w:r w:rsidR="007D5111" w:rsidRPr="00111DC0">
        <w:rPr>
          <w:rFonts w:cs="Arial"/>
          <w:b/>
          <w:bCs/>
        </w:rPr>
        <w:t xml:space="preserve"> </w:t>
      </w:r>
      <w:r w:rsidR="00DA68A2" w:rsidRPr="00111DC0">
        <w:rPr>
          <w:rFonts w:cs="Arial"/>
          <w:b/>
          <w:bCs/>
        </w:rPr>
        <w:t>de promoción de la igualdad entre mujeres y hombres</w:t>
      </w:r>
      <w:r>
        <w:rPr>
          <w:rFonts w:cs="Arial"/>
          <w:b/>
          <w:bCs/>
        </w:rPr>
        <w:t xml:space="preserve">, </w:t>
      </w:r>
      <w:r>
        <w:rPr>
          <w:rFonts w:cs="Arial"/>
        </w:rPr>
        <w:t>tal y como</w:t>
      </w:r>
      <w:r w:rsidR="00DA68A2" w:rsidRPr="00111DC0">
        <w:rPr>
          <w:rFonts w:cs="Arial"/>
        </w:rPr>
        <w:t xml:space="preserve"> establece el extenso marco regulador </w:t>
      </w:r>
      <w:r>
        <w:rPr>
          <w:rFonts w:cs="Arial"/>
        </w:rPr>
        <w:t>vinculante</w:t>
      </w:r>
      <w:r w:rsidR="00DA68A2" w:rsidRPr="00111DC0">
        <w:rPr>
          <w:rFonts w:cs="Arial"/>
        </w:rPr>
        <w:t xml:space="preserve">. </w:t>
      </w:r>
      <w:r w:rsidR="00202153">
        <w:rPr>
          <w:rFonts w:cs="Arial"/>
        </w:rPr>
        <w:t>L</w:t>
      </w:r>
      <w:r w:rsidR="00202153" w:rsidRPr="00202153">
        <w:rPr>
          <w:rFonts w:cs="Arial"/>
        </w:rPr>
        <w:t xml:space="preserve">a mayoría de las empleadas </w:t>
      </w:r>
      <w:r w:rsidR="00202153">
        <w:rPr>
          <w:rFonts w:cs="Arial"/>
        </w:rPr>
        <w:t xml:space="preserve">de la Administración General </w:t>
      </w:r>
      <w:r w:rsidR="00202153" w:rsidRPr="00202153">
        <w:rPr>
          <w:rFonts w:cs="Arial"/>
        </w:rPr>
        <w:t>considera que sí es necesaria la implantación de un Plan de Igualdad (62%)</w:t>
      </w:r>
      <w:r w:rsidR="00202153">
        <w:rPr>
          <w:rFonts w:cs="Arial"/>
        </w:rPr>
        <w:t>;</w:t>
      </w:r>
      <w:r w:rsidR="00202153" w:rsidRPr="00202153">
        <w:rPr>
          <w:rFonts w:cs="Arial"/>
        </w:rPr>
        <w:t xml:space="preserve"> entre los empleados la proporción es notablemente menor (37%). </w:t>
      </w:r>
    </w:p>
    <w:p w14:paraId="2B15FA13" w14:textId="41EA8A69" w:rsidR="004349DE" w:rsidRPr="00111DC0" w:rsidRDefault="00A032BC" w:rsidP="00A442AB">
      <w:r w:rsidRPr="00111DC0">
        <w:rPr>
          <w:noProof/>
          <w:lang w:eastAsia="es-ES"/>
        </w:rPr>
        <w:drawing>
          <wp:inline distT="0" distB="0" distL="0" distR="0" wp14:anchorId="0609C3DD" wp14:editId="5AB68360">
            <wp:extent cx="5400040" cy="3150235"/>
            <wp:effectExtent l="0" t="0" r="0" b="0"/>
            <wp:docPr id="42" name="Gráfico 42"/>
            <wp:cNvGraphicFramePr/>
            <a:graphic xmlns:a="http://schemas.openxmlformats.org/drawingml/2006/main">
              <a:graphicData uri="http://schemas.openxmlformats.org/drawingml/2006/chart">
                <c:chart xmlns:c="http://schemas.openxmlformats.org/drawingml/2006/chart" r:id="rId10"/>
              </a:graphicData>
            </a:graphic>
          </wp:inline>
        </w:drawing>
      </w:r>
    </w:p>
    <w:p w14:paraId="0AD3CC96" w14:textId="0973BD24" w:rsidR="00B51E02" w:rsidRPr="00111DC0" w:rsidRDefault="00B51E02" w:rsidP="00B51E02">
      <w:pPr>
        <w:rPr>
          <w:rFonts w:cs="Arial"/>
        </w:rPr>
      </w:pPr>
      <w:r w:rsidRPr="00202153">
        <w:rPr>
          <w:rFonts w:cs="Arial"/>
          <w:b/>
          <w:bCs/>
        </w:rPr>
        <w:t>Ante estos resultados, urge desmitificar la idea de la plena igualdad en el ámbito de la Administración Pública</w:t>
      </w:r>
      <w:r w:rsidR="006531D9">
        <w:rPr>
          <w:rFonts w:cs="Arial"/>
        </w:rPr>
        <w:t xml:space="preserve"> ya que</w:t>
      </w:r>
      <w:r w:rsidR="00B179F0">
        <w:rPr>
          <w:rFonts w:cs="Arial"/>
        </w:rPr>
        <w:t xml:space="preserve"> -tal y como muestra el Diagnóstico-</w:t>
      </w:r>
      <w:r w:rsidR="006531D9">
        <w:rPr>
          <w:rFonts w:cs="Arial"/>
        </w:rPr>
        <w:t xml:space="preserve"> </w:t>
      </w:r>
      <w:r w:rsidRPr="00111DC0">
        <w:rPr>
          <w:rFonts w:cs="Arial"/>
        </w:rPr>
        <w:t xml:space="preserve">siguen existiendo desigualdades en aspectos como los permisos no retribuidos, las reducciones de jornada y la asunción del rol de género, las retribuciones o la segregación ocupacional. </w:t>
      </w:r>
    </w:p>
    <w:p w14:paraId="1C6F8013" w14:textId="726BD644" w:rsidR="008308D1" w:rsidRPr="00111DC0" w:rsidRDefault="006531D9" w:rsidP="003D7031">
      <w:pPr>
        <w:rPr>
          <w:rFonts w:cs="Arial"/>
        </w:rPr>
      </w:pPr>
      <w:r w:rsidRPr="00B179F0">
        <w:rPr>
          <w:rFonts w:cs="Arial"/>
          <w:b/>
          <w:bCs/>
        </w:rPr>
        <w:t>D</w:t>
      </w:r>
      <w:r w:rsidR="008308D1" w:rsidRPr="00B179F0">
        <w:rPr>
          <w:rFonts w:cs="Arial"/>
          <w:b/>
          <w:bCs/>
        </w:rPr>
        <w:t xml:space="preserve">e todas </w:t>
      </w:r>
      <w:r w:rsidR="00DE5B60" w:rsidRPr="00B179F0">
        <w:rPr>
          <w:rFonts w:cs="Arial"/>
          <w:b/>
          <w:bCs/>
        </w:rPr>
        <w:t>l</w:t>
      </w:r>
      <w:r w:rsidR="008308D1" w:rsidRPr="00B179F0">
        <w:rPr>
          <w:rFonts w:cs="Arial"/>
          <w:b/>
          <w:bCs/>
        </w:rPr>
        <w:t>as personas</w:t>
      </w:r>
      <w:r w:rsidR="00DE5B60" w:rsidRPr="00B179F0">
        <w:rPr>
          <w:rFonts w:cs="Arial"/>
          <w:b/>
          <w:bCs/>
        </w:rPr>
        <w:t xml:space="preserve"> encuestadas</w:t>
      </w:r>
      <w:r w:rsidR="008308D1" w:rsidRPr="00B179F0">
        <w:rPr>
          <w:rFonts w:cs="Arial"/>
          <w:b/>
          <w:bCs/>
        </w:rPr>
        <w:t>, muy pocas conocen documentos de Planes de Igualdad de otras entidades públicas o privadas</w:t>
      </w:r>
      <w:r w:rsidR="00DE5B60" w:rsidRPr="00B179F0">
        <w:rPr>
          <w:rFonts w:cs="Arial"/>
          <w:b/>
          <w:bCs/>
        </w:rPr>
        <w:t>.</w:t>
      </w:r>
      <w:r w:rsidR="00DE5B60" w:rsidRPr="00111DC0">
        <w:rPr>
          <w:rFonts w:cs="Arial"/>
        </w:rPr>
        <w:t xml:space="preserve"> En concreto, solo afirman conocerlos el </w:t>
      </w:r>
      <w:r w:rsidR="008308D1" w:rsidRPr="00111DC0">
        <w:rPr>
          <w:rFonts w:cs="Arial"/>
        </w:rPr>
        <w:t xml:space="preserve">24% de mujeres y </w:t>
      </w:r>
      <w:r w:rsidR="00DE5B60" w:rsidRPr="00111DC0">
        <w:rPr>
          <w:rFonts w:cs="Arial"/>
        </w:rPr>
        <w:t xml:space="preserve">el </w:t>
      </w:r>
      <w:r w:rsidR="008308D1" w:rsidRPr="00111DC0">
        <w:rPr>
          <w:rFonts w:cs="Arial"/>
        </w:rPr>
        <w:t xml:space="preserve">29% de hombres. </w:t>
      </w:r>
      <w:r w:rsidR="00DE5B60" w:rsidRPr="006531D9">
        <w:rPr>
          <w:rFonts w:cs="Arial"/>
        </w:rPr>
        <w:t xml:space="preserve">La aparente contradicción entre la inconsistencia de estas dos posturas </w:t>
      </w:r>
      <w:r w:rsidR="00AD4D31" w:rsidRPr="006531D9">
        <w:rPr>
          <w:rFonts w:cs="Arial"/>
        </w:rPr>
        <w:t>demuestra</w:t>
      </w:r>
      <w:r w:rsidR="008308D1" w:rsidRPr="006531D9">
        <w:rPr>
          <w:rFonts w:cs="Arial"/>
        </w:rPr>
        <w:t xml:space="preserve"> que </w:t>
      </w:r>
      <w:r w:rsidR="00AD4D31" w:rsidRPr="006531D9">
        <w:rPr>
          <w:rFonts w:cs="Arial"/>
        </w:rPr>
        <w:t>es necesario</w:t>
      </w:r>
      <w:r w:rsidR="008308D1" w:rsidRPr="006531D9">
        <w:rPr>
          <w:rFonts w:cs="Arial"/>
        </w:rPr>
        <w:t xml:space="preserve"> llevar a cabo una buena campaña de información</w:t>
      </w:r>
      <w:r w:rsidR="00AD4D31" w:rsidRPr="006531D9">
        <w:rPr>
          <w:rFonts w:cs="Arial"/>
        </w:rPr>
        <w:t xml:space="preserve"> y </w:t>
      </w:r>
      <w:r w:rsidR="008308D1" w:rsidRPr="006531D9">
        <w:rPr>
          <w:rFonts w:cs="Arial"/>
        </w:rPr>
        <w:t xml:space="preserve">difusión del Plan de Igualdad </w:t>
      </w:r>
      <w:r w:rsidR="008308D1" w:rsidRPr="00111DC0">
        <w:rPr>
          <w:rFonts w:cs="Arial"/>
        </w:rPr>
        <w:t xml:space="preserve">para ampliar su sensibilización </w:t>
      </w:r>
      <w:r w:rsidR="00B179F0">
        <w:rPr>
          <w:rFonts w:cs="Arial"/>
        </w:rPr>
        <w:t>y conocimientos</w:t>
      </w:r>
      <w:r w:rsidR="00AD4D31" w:rsidRPr="00111DC0">
        <w:rPr>
          <w:rFonts w:cs="Arial"/>
        </w:rPr>
        <w:t xml:space="preserve">. </w:t>
      </w:r>
    </w:p>
    <w:p w14:paraId="5CEBF874" w14:textId="3F97DA3B" w:rsidR="00B45DE1" w:rsidRPr="00B179F0" w:rsidRDefault="006531D9" w:rsidP="006531D9">
      <w:pPr>
        <w:rPr>
          <w:rFonts w:cs="Arial"/>
        </w:rPr>
      </w:pPr>
      <w:r w:rsidRPr="00B179F0">
        <w:rPr>
          <w:rFonts w:cs="Arial"/>
          <w:b/>
          <w:bCs/>
        </w:rPr>
        <w:t>L</w:t>
      </w:r>
      <w:r w:rsidR="005C1176" w:rsidRPr="00B179F0">
        <w:rPr>
          <w:rFonts w:cs="Arial"/>
          <w:b/>
          <w:bCs/>
        </w:rPr>
        <w:t>os datos de la Encuesta</w:t>
      </w:r>
      <w:r w:rsidRPr="00B179F0">
        <w:rPr>
          <w:rFonts w:cs="Arial"/>
          <w:b/>
          <w:bCs/>
        </w:rPr>
        <w:t xml:space="preserve"> alumbran </w:t>
      </w:r>
      <w:r w:rsidR="005C1176" w:rsidRPr="00B179F0">
        <w:rPr>
          <w:rFonts w:cs="Arial"/>
          <w:b/>
          <w:bCs/>
        </w:rPr>
        <w:t xml:space="preserve">la llamativa diferencia de opinión entre empleadas y empleados en </w:t>
      </w:r>
      <w:r w:rsidR="00374A8F" w:rsidRPr="00B179F0">
        <w:rPr>
          <w:rFonts w:cs="Arial"/>
          <w:b/>
          <w:bCs/>
        </w:rPr>
        <w:t>relación</w:t>
      </w:r>
      <w:r w:rsidR="005C1176" w:rsidRPr="00B179F0">
        <w:rPr>
          <w:rFonts w:cs="Arial"/>
          <w:b/>
          <w:bCs/>
        </w:rPr>
        <w:t xml:space="preserve"> con </w:t>
      </w:r>
      <w:r w:rsidR="00374A8F" w:rsidRPr="00B179F0">
        <w:rPr>
          <w:rFonts w:cs="Arial"/>
          <w:b/>
          <w:bCs/>
        </w:rPr>
        <w:t>algunos</w:t>
      </w:r>
      <w:r w:rsidR="005C1176" w:rsidRPr="00B179F0">
        <w:rPr>
          <w:rFonts w:cs="Arial"/>
          <w:b/>
          <w:bCs/>
        </w:rPr>
        <w:t xml:space="preserve"> de los temas por los que se les pregunta.</w:t>
      </w:r>
      <w:r w:rsidR="005C1176" w:rsidRPr="00111DC0">
        <w:rPr>
          <w:rFonts w:cs="Arial"/>
        </w:rPr>
        <w:t xml:space="preserve"> </w:t>
      </w:r>
      <w:r w:rsidRPr="006531D9">
        <w:rPr>
          <w:rFonts w:cs="Arial"/>
        </w:rPr>
        <w:t>M</w:t>
      </w:r>
      <w:r w:rsidR="00374A8F" w:rsidRPr="006531D9">
        <w:rPr>
          <w:rFonts w:cs="Arial"/>
        </w:rPr>
        <w:t xml:space="preserve">ientras las </w:t>
      </w:r>
      <w:r w:rsidR="00B45DE1" w:rsidRPr="006531D9">
        <w:rPr>
          <w:rFonts w:cs="Arial"/>
        </w:rPr>
        <w:t xml:space="preserve">empleadas </w:t>
      </w:r>
      <w:r w:rsidR="00374A8F" w:rsidRPr="006531D9">
        <w:rPr>
          <w:rFonts w:cs="Arial"/>
        </w:rPr>
        <w:t>tienden a reconocer en su mayoría la existencia de ciertos obstáculos o dificultades a su plena igualdad de oportunidades, la postura es radicalmente opuesta entre los empleados</w:t>
      </w:r>
      <w:r w:rsidR="00B179F0">
        <w:rPr>
          <w:rFonts w:cs="Arial"/>
        </w:rPr>
        <w:t xml:space="preserve">, lo que evidencia </w:t>
      </w:r>
      <w:r w:rsidR="005C1176" w:rsidRPr="00B179F0">
        <w:rPr>
          <w:rFonts w:cs="Arial"/>
        </w:rPr>
        <w:t xml:space="preserve">la falta de conciencia masculina sobre un problema que es </w:t>
      </w:r>
      <w:r w:rsidR="0054044C" w:rsidRPr="00B179F0">
        <w:rPr>
          <w:rFonts w:cs="Arial"/>
        </w:rPr>
        <w:t>enfrentado</w:t>
      </w:r>
      <w:r w:rsidR="005C1176" w:rsidRPr="00B179F0">
        <w:rPr>
          <w:rFonts w:cs="Arial"/>
        </w:rPr>
        <w:t xml:space="preserve"> principalmente por mujeres. </w:t>
      </w:r>
      <w:bookmarkEnd w:id="12"/>
    </w:p>
    <w:p w14:paraId="49743A76" w14:textId="4EA9D0D7" w:rsidR="00E97B3A" w:rsidRPr="00111DC0" w:rsidRDefault="00E97B3A" w:rsidP="004B6A1B">
      <w:pPr>
        <w:pStyle w:val="Ttulo3"/>
        <w:rPr>
          <w:rFonts w:cs="Arial"/>
        </w:rPr>
      </w:pPr>
      <w:r w:rsidRPr="00111DC0">
        <w:rPr>
          <w:rFonts w:cs="Arial"/>
        </w:rPr>
        <w:lastRenderedPageBreak/>
        <w:t xml:space="preserve">Mandatos de igualdad </w:t>
      </w:r>
    </w:p>
    <w:p w14:paraId="098CD19A" w14:textId="6A7CCB4E" w:rsidR="007B6919" w:rsidRDefault="00E97B3A" w:rsidP="003D7031">
      <w:pPr>
        <w:rPr>
          <w:rFonts w:cs="Arial"/>
        </w:rPr>
      </w:pPr>
      <w:r w:rsidRPr="00E2651C">
        <w:rPr>
          <w:rFonts w:cs="Arial"/>
        </w:rPr>
        <w:t xml:space="preserve">La </w:t>
      </w:r>
      <w:r w:rsidRPr="00E2651C">
        <w:rPr>
          <w:rFonts w:cs="Arial"/>
          <w:i/>
          <w:iCs/>
          <w:color w:val="78BE20"/>
        </w:rPr>
        <w:t>ley orgánica de igualdad 3/2007</w:t>
      </w:r>
      <w:r w:rsidRPr="00E2651C">
        <w:rPr>
          <w:rFonts w:cs="Arial"/>
        </w:rPr>
        <w:t xml:space="preserve"> </w:t>
      </w:r>
      <w:r w:rsidR="00DD24BD" w:rsidRPr="00E2651C">
        <w:rPr>
          <w:rFonts w:cs="Arial"/>
        </w:rPr>
        <w:t xml:space="preserve">establece </w:t>
      </w:r>
      <w:r w:rsidR="00AD6BD0" w:rsidRPr="00E2651C">
        <w:rPr>
          <w:rFonts w:cs="Arial"/>
        </w:rPr>
        <w:t>en su</w:t>
      </w:r>
      <w:r w:rsidR="001A47F3" w:rsidRPr="00E2651C">
        <w:rPr>
          <w:rFonts w:cs="Arial"/>
        </w:rPr>
        <w:t>s</w:t>
      </w:r>
      <w:r w:rsidR="00AD6BD0" w:rsidRPr="00E2651C">
        <w:rPr>
          <w:rFonts w:cs="Arial"/>
        </w:rPr>
        <w:t xml:space="preserve"> artículo</w:t>
      </w:r>
      <w:r w:rsidR="001A47F3" w:rsidRPr="00E2651C">
        <w:rPr>
          <w:rFonts w:cs="Arial"/>
        </w:rPr>
        <w:t>s 14 y</w:t>
      </w:r>
      <w:r w:rsidR="00AD6BD0" w:rsidRPr="00E2651C">
        <w:rPr>
          <w:rFonts w:cs="Arial"/>
        </w:rPr>
        <w:t xml:space="preserve"> 51 los criterios de actuación de </w:t>
      </w:r>
      <w:r w:rsidR="001A47F3" w:rsidRPr="00E2651C">
        <w:rPr>
          <w:rFonts w:cs="Arial"/>
        </w:rPr>
        <w:t xml:space="preserve">los Poderes Públicos y de </w:t>
      </w:r>
      <w:r w:rsidR="00AD6BD0" w:rsidRPr="00E2651C">
        <w:rPr>
          <w:rFonts w:cs="Arial"/>
        </w:rPr>
        <w:t>las Administraciones Públicas</w:t>
      </w:r>
      <w:r w:rsidR="001A47F3" w:rsidRPr="00E2651C">
        <w:rPr>
          <w:rFonts w:cs="Arial"/>
        </w:rPr>
        <w:t xml:space="preserve"> respectivamente.</w:t>
      </w:r>
      <w:r w:rsidR="00403455">
        <w:rPr>
          <w:rFonts w:cs="Arial"/>
        </w:rPr>
        <w:t xml:space="preserve"> </w:t>
      </w:r>
      <w:r w:rsidR="00202153" w:rsidRPr="00202153">
        <w:rPr>
          <w:rFonts w:cs="Arial"/>
        </w:rPr>
        <w:t xml:space="preserve">Adicionalmente a estos criterios, la norma </w:t>
      </w:r>
      <w:r w:rsidR="007B6919">
        <w:rPr>
          <w:rFonts w:cs="Arial"/>
        </w:rPr>
        <w:t xml:space="preserve">incluye </w:t>
      </w:r>
      <w:r w:rsidR="00202153" w:rsidRPr="00202153">
        <w:rPr>
          <w:rFonts w:cs="Arial"/>
        </w:rPr>
        <w:t>otra serie de mandatos que son garantía del efectivo cumplimiento de la transversalidad del principio de igualdad de trato entre mujeres y hombres (artículo 15).</w:t>
      </w:r>
      <w:r w:rsidR="007B6919">
        <w:rPr>
          <w:rFonts w:cs="Arial"/>
        </w:rPr>
        <w:t xml:space="preserve"> </w:t>
      </w:r>
    </w:p>
    <w:p w14:paraId="4267A854" w14:textId="02942CF1" w:rsidR="00DD024A" w:rsidRDefault="00AD6BD0" w:rsidP="003D7031">
      <w:pPr>
        <w:rPr>
          <w:rFonts w:cs="Arial"/>
        </w:rPr>
      </w:pPr>
      <w:r w:rsidRPr="007B6919">
        <w:rPr>
          <w:rFonts w:cs="Arial"/>
          <w:b/>
          <w:bCs/>
        </w:rPr>
        <w:t xml:space="preserve">En mayor o menor medida, estos </w:t>
      </w:r>
      <w:r w:rsidR="000379C7" w:rsidRPr="007B6919">
        <w:rPr>
          <w:rFonts w:cs="Arial"/>
          <w:b/>
          <w:bCs/>
        </w:rPr>
        <w:t>criterios</w:t>
      </w:r>
      <w:r w:rsidRPr="007B6919">
        <w:rPr>
          <w:rFonts w:cs="Arial"/>
          <w:b/>
          <w:bCs/>
        </w:rPr>
        <w:t xml:space="preserve"> son cumplidos por la Administración General de La Rioja</w:t>
      </w:r>
      <w:r w:rsidR="00202153">
        <w:rPr>
          <w:rFonts w:cs="Arial"/>
        </w:rPr>
        <w:t xml:space="preserve"> siendo e</w:t>
      </w:r>
      <w:r w:rsidR="00E23489" w:rsidRPr="00111DC0">
        <w:rPr>
          <w:rFonts w:cs="Arial"/>
        </w:rPr>
        <w:t xml:space="preserve">l propósito de este apartado avanzar en </w:t>
      </w:r>
      <w:r w:rsidR="00694504" w:rsidRPr="00111DC0">
        <w:rPr>
          <w:rFonts w:cs="Arial"/>
        </w:rPr>
        <w:t xml:space="preserve">la </w:t>
      </w:r>
      <w:r w:rsidR="00E23489" w:rsidRPr="00111DC0">
        <w:rPr>
          <w:rFonts w:cs="Arial"/>
        </w:rPr>
        <w:t xml:space="preserve">valoración del alcance </w:t>
      </w:r>
      <w:r w:rsidR="009C4327" w:rsidRPr="00111DC0">
        <w:rPr>
          <w:rFonts w:cs="Arial"/>
        </w:rPr>
        <w:t>de</w:t>
      </w:r>
      <w:r w:rsidR="00E2651C">
        <w:rPr>
          <w:rFonts w:cs="Arial"/>
        </w:rPr>
        <w:t xml:space="preserve"> su</w:t>
      </w:r>
      <w:r w:rsidR="009C4327" w:rsidRPr="00111DC0">
        <w:rPr>
          <w:rFonts w:cs="Arial"/>
        </w:rPr>
        <w:t xml:space="preserve"> cumplimiento. </w:t>
      </w:r>
    </w:p>
    <w:p w14:paraId="4DC68D51" w14:textId="77777777" w:rsidR="007B6919" w:rsidRDefault="007B6919" w:rsidP="00580E87"/>
    <w:p w14:paraId="4B33975B" w14:textId="5090602D" w:rsidR="00BE7EC9" w:rsidRPr="00111DC0" w:rsidRDefault="003B2D19" w:rsidP="00DE69A1">
      <w:pPr>
        <w:pStyle w:val="Ttulo4"/>
        <w:rPr>
          <w:rFonts w:cs="Arial"/>
        </w:rPr>
      </w:pPr>
      <w:r w:rsidRPr="00111DC0">
        <w:rPr>
          <w:rFonts w:cs="Arial"/>
        </w:rPr>
        <w:t>Lenguaje no sexista</w:t>
      </w:r>
    </w:p>
    <w:p w14:paraId="55AB5D3F" w14:textId="30BF0554" w:rsidR="003B2D19" w:rsidRPr="00111DC0" w:rsidRDefault="00EE7F06" w:rsidP="003D7031">
      <w:pPr>
        <w:rPr>
          <w:rFonts w:cs="Arial"/>
        </w:rPr>
      </w:pPr>
      <w:r>
        <w:rPr>
          <w:rFonts w:cs="Arial"/>
        </w:rPr>
        <w:t>El</w:t>
      </w:r>
      <w:r w:rsidR="00D517C6" w:rsidRPr="00202153">
        <w:rPr>
          <w:rFonts w:cs="Arial"/>
        </w:rPr>
        <w:t xml:space="preserve"> artículo 14.11 de la </w:t>
      </w:r>
      <w:r w:rsidR="00D517C6" w:rsidRPr="00202153">
        <w:rPr>
          <w:rFonts w:cs="Arial"/>
          <w:i/>
          <w:iCs/>
          <w:color w:val="78BE20"/>
        </w:rPr>
        <w:t>ley orgánica de igualdad</w:t>
      </w:r>
      <w:r w:rsidR="00202153">
        <w:rPr>
          <w:rFonts w:cs="Arial"/>
          <w:i/>
          <w:iCs/>
          <w:color w:val="78BE20"/>
        </w:rPr>
        <w:t xml:space="preserve"> 3/2007</w:t>
      </w:r>
      <w:r>
        <w:rPr>
          <w:rFonts w:cs="Arial"/>
        </w:rPr>
        <w:t xml:space="preserve"> dispone que</w:t>
      </w:r>
      <w:r w:rsidR="00D517C6" w:rsidRPr="00202153">
        <w:rPr>
          <w:rFonts w:cs="Arial"/>
        </w:rPr>
        <w:t xml:space="preserve"> l</w:t>
      </w:r>
      <w:r w:rsidR="003B2D19" w:rsidRPr="00202153">
        <w:rPr>
          <w:rFonts w:cs="Arial"/>
        </w:rPr>
        <w:t xml:space="preserve">os Poderes Públicos están llamados a </w:t>
      </w:r>
      <w:r w:rsidR="00DE6124" w:rsidRPr="00202153">
        <w:rPr>
          <w:rFonts w:cs="Arial"/>
        </w:rPr>
        <w:t>utilizar</w:t>
      </w:r>
      <w:r w:rsidR="003B2D19" w:rsidRPr="00202153">
        <w:rPr>
          <w:rFonts w:cs="Arial"/>
        </w:rPr>
        <w:t xml:space="preserve"> un </w:t>
      </w:r>
      <w:r w:rsidR="003B2D19" w:rsidRPr="00202153">
        <w:rPr>
          <w:rFonts w:cs="Arial"/>
          <w:i/>
          <w:iCs/>
        </w:rPr>
        <w:t>lenguaje no sexista</w:t>
      </w:r>
      <w:r w:rsidR="003B2D19" w:rsidRPr="00111DC0">
        <w:rPr>
          <w:rFonts w:cs="Arial"/>
          <w:b/>
          <w:bCs/>
          <w:i/>
          <w:iCs/>
        </w:rPr>
        <w:t xml:space="preserve"> </w:t>
      </w:r>
      <w:r w:rsidR="003B2D19" w:rsidRPr="00111DC0">
        <w:rPr>
          <w:rFonts w:cs="Arial"/>
          <w:i/>
          <w:iCs/>
        </w:rPr>
        <w:t xml:space="preserve">en el ámbito administrativo y </w:t>
      </w:r>
      <w:r w:rsidR="00294EEF" w:rsidRPr="00111DC0">
        <w:rPr>
          <w:rFonts w:cs="Arial"/>
          <w:i/>
          <w:iCs/>
        </w:rPr>
        <w:t>a fomentarlo</w:t>
      </w:r>
      <w:r w:rsidR="003B2D19" w:rsidRPr="00111DC0">
        <w:rPr>
          <w:rFonts w:cs="Arial"/>
          <w:i/>
          <w:iCs/>
        </w:rPr>
        <w:t xml:space="preserve"> en la totalidad de las relaciones sociales, culturales y artísticas</w:t>
      </w:r>
      <w:r w:rsidR="00294EEF" w:rsidRPr="00111DC0">
        <w:rPr>
          <w:rFonts w:cs="Arial"/>
        </w:rPr>
        <w:t xml:space="preserve">. </w:t>
      </w:r>
    </w:p>
    <w:p w14:paraId="625FCA01" w14:textId="6429133E" w:rsidR="00202153" w:rsidRDefault="00294EEF" w:rsidP="00575F0F">
      <w:pPr>
        <w:rPr>
          <w:rFonts w:cs="Arial"/>
        </w:rPr>
      </w:pPr>
      <w:r w:rsidRPr="00EE7F06">
        <w:rPr>
          <w:rFonts w:cs="Arial"/>
          <w:b/>
          <w:bCs/>
        </w:rPr>
        <w:t>Ha sido en los dos últimos años cuando se han producido los avances más significativos</w:t>
      </w:r>
      <w:r w:rsidRPr="00111DC0">
        <w:rPr>
          <w:rFonts w:cs="Arial"/>
        </w:rPr>
        <w:t xml:space="preserve"> </w:t>
      </w:r>
      <w:r w:rsidR="007B6919" w:rsidRPr="00111DC0">
        <w:rPr>
          <w:rFonts w:cs="Arial"/>
        </w:rPr>
        <w:t>en la práctica administrativa</w:t>
      </w:r>
      <w:r w:rsidR="007B6919">
        <w:rPr>
          <w:rFonts w:cs="Arial"/>
        </w:rPr>
        <w:t xml:space="preserve"> riojana, </w:t>
      </w:r>
      <w:r w:rsidRPr="00111DC0">
        <w:rPr>
          <w:rFonts w:cs="Arial"/>
        </w:rPr>
        <w:t xml:space="preserve">y cuando parece que el cumplimiento de este mandato se está incrementando. </w:t>
      </w:r>
      <w:r w:rsidR="00202153">
        <w:rPr>
          <w:rFonts w:cs="Arial"/>
        </w:rPr>
        <w:t xml:space="preserve">Las siguientes iniciativas </w:t>
      </w:r>
      <w:r w:rsidR="00536CF9">
        <w:rPr>
          <w:rFonts w:cs="Arial"/>
        </w:rPr>
        <w:t>s</w:t>
      </w:r>
      <w:r w:rsidR="00202153">
        <w:rPr>
          <w:rFonts w:cs="Arial"/>
        </w:rPr>
        <w:t xml:space="preserve">on prueba de </w:t>
      </w:r>
      <w:r w:rsidR="00536CF9">
        <w:rPr>
          <w:rFonts w:cs="Arial"/>
        </w:rPr>
        <w:t>ello</w:t>
      </w:r>
      <w:r w:rsidR="00202153">
        <w:rPr>
          <w:rFonts w:cs="Arial"/>
        </w:rPr>
        <w:t xml:space="preserve">: </w:t>
      </w:r>
    </w:p>
    <w:p w14:paraId="215F56CD" w14:textId="176D06E8" w:rsidR="00202153" w:rsidRDefault="00202153">
      <w:pPr>
        <w:pStyle w:val="Prrafodelista"/>
      </w:pPr>
      <w:r>
        <w:t>Publicación de la guía</w:t>
      </w:r>
      <w:r w:rsidR="00294EEF" w:rsidRPr="00202153">
        <w:t xml:space="preserve"> </w:t>
      </w:r>
      <w:r w:rsidR="00294EEF" w:rsidRPr="00202153">
        <w:rPr>
          <w:i/>
        </w:rPr>
        <w:t>“</w:t>
      </w:r>
      <w:r w:rsidR="009C23B9" w:rsidRPr="00202153">
        <w:rPr>
          <w:i/>
        </w:rPr>
        <w:t>GUÍATE</w:t>
      </w:r>
      <w:r w:rsidR="00294EEF" w:rsidRPr="00202153">
        <w:rPr>
          <w:i/>
        </w:rPr>
        <w:t>. Comunicar de manera inclusiva, guía de lenguaje no sexista"</w:t>
      </w:r>
      <w:r w:rsidR="00DE6124" w:rsidRPr="00202153">
        <w:rPr>
          <w:i/>
        </w:rPr>
        <w:t>,</w:t>
      </w:r>
      <w:r w:rsidR="00DE6124" w:rsidRPr="00202153">
        <w:rPr>
          <w:iCs/>
        </w:rPr>
        <w:t xml:space="preserve"> de </w:t>
      </w:r>
      <w:r w:rsidR="006B0E63" w:rsidRPr="00202153">
        <w:rPr>
          <w:iCs/>
        </w:rPr>
        <w:t xml:space="preserve">la </w:t>
      </w:r>
      <w:r w:rsidR="00810013" w:rsidRPr="00202153">
        <w:t xml:space="preserve">Dirección General de Igualdad </w:t>
      </w:r>
      <w:r>
        <w:t>(</w:t>
      </w:r>
      <w:r w:rsidRPr="00202153">
        <w:t>septiembre de 2020</w:t>
      </w:r>
      <w:r>
        <w:t>)</w:t>
      </w:r>
    </w:p>
    <w:p w14:paraId="6494F804" w14:textId="78031D54" w:rsidR="00202153" w:rsidRDefault="00202153">
      <w:pPr>
        <w:pStyle w:val="Prrafodelista"/>
      </w:pPr>
      <w:r>
        <w:t>C</w:t>
      </w:r>
      <w:r w:rsidRPr="00202153">
        <w:t xml:space="preserve">elebración de </w:t>
      </w:r>
      <w:r w:rsidR="000870E3" w:rsidRPr="00202153">
        <w:t xml:space="preserve">una jornada formativa sobre </w:t>
      </w:r>
      <w:r w:rsidR="00B96272" w:rsidRPr="00202153">
        <w:t>l</w:t>
      </w:r>
      <w:r w:rsidR="000870E3" w:rsidRPr="00202153">
        <w:t>enguaje inclusivo</w:t>
      </w:r>
      <w:r>
        <w:t xml:space="preserve"> (</w:t>
      </w:r>
      <w:r w:rsidRPr="00202153">
        <w:t>septiembre de 2020</w:t>
      </w:r>
      <w:r>
        <w:t>)</w:t>
      </w:r>
    </w:p>
    <w:p w14:paraId="2966E991" w14:textId="77777777" w:rsidR="009F7EC1" w:rsidRDefault="000870E3">
      <w:pPr>
        <w:pStyle w:val="Prrafodelista"/>
      </w:pPr>
      <w:r w:rsidRPr="00202153">
        <w:t xml:space="preserve"> </w:t>
      </w:r>
      <w:r w:rsidR="00202153">
        <w:t>R</w:t>
      </w:r>
      <w:r w:rsidR="00F626ED" w:rsidRPr="00202153">
        <w:t>ealización</w:t>
      </w:r>
      <w:r w:rsidRPr="00202153">
        <w:t xml:space="preserve"> de dos acciones formativas </w:t>
      </w:r>
      <w:r w:rsidR="00202153" w:rsidRPr="00202153">
        <w:t>para la capacitación en el uso del lenguaje no sexista</w:t>
      </w:r>
      <w:r w:rsidR="00202153">
        <w:t xml:space="preserve">, </w:t>
      </w:r>
      <w:r w:rsidRPr="00202153">
        <w:t>dirigidas a Altos cargos, personal de los equipos de Comunicación y personal técnico de la Comunidad Autónoma</w:t>
      </w:r>
      <w:r w:rsidR="00D64714" w:rsidRPr="00202153">
        <w:t xml:space="preserve"> </w:t>
      </w:r>
      <w:r w:rsidR="009F7EC1">
        <w:t>(2021)</w:t>
      </w:r>
    </w:p>
    <w:p w14:paraId="18182079" w14:textId="3FA24410" w:rsidR="00403455" w:rsidRDefault="009F7EC1">
      <w:pPr>
        <w:pStyle w:val="Prrafodelista"/>
        <w:rPr>
          <w:rFonts w:eastAsia="Helvetica Neue"/>
        </w:rPr>
      </w:pPr>
      <w:r w:rsidRPr="009F7EC1">
        <w:t>I</w:t>
      </w:r>
      <w:r w:rsidR="000870E3" w:rsidRPr="009F7EC1">
        <w:t xml:space="preserve">mplantación </w:t>
      </w:r>
      <w:r w:rsidRPr="009F7EC1">
        <w:t xml:space="preserve">progresiva </w:t>
      </w:r>
      <w:r w:rsidR="000870E3" w:rsidRPr="009F7EC1">
        <w:t>del lenguaje no sexista</w:t>
      </w:r>
      <w:r w:rsidR="009B76D5" w:rsidRPr="009F7EC1">
        <w:t xml:space="preserve"> en la redacción de normativa</w:t>
      </w:r>
      <w:r w:rsidR="00504A4D">
        <w:t xml:space="preserve"> o en </w:t>
      </w:r>
      <w:r w:rsidR="00E464E7" w:rsidRPr="00504A4D">
        <w:rPr>
          <w:rFonts w:eastAsia="Helvetica Neue"/>
        </w:rPr>
        <w:t xml:space="preserve">los textos de las convocatorias. </w:t>
      </w:r>
    </w:p>
    <w:p w14:paraId="30045218" w14:textId="77777777" w:rsidR="007B6919" w:rsidRDefault="007B6919" w:rsidP="00575F0F">
      <w:pPr>
        <w:rPr>
          <w:rFonts w:cs="Arial"/>
          <w:b/>
          <w:bCs/>
        </w:rPr>
      </w:pPr>
    </w:p>
    <w:p w14:paraId="5814F7AA" w14:textId="7845DDE2" w:rsidR="00897FCB" w:rsidRDefault="004A4F8A" w:rsidP="00575F0F">
      <w:pPr>
        <w:rPr>
          <w:rFonts w:cs="Arial"/>
        </w:rPr>
      </w:pPr>
      <w:r w:rsidRPr="00504A4D">
        <w:rPr>
          <w:rFonts w:cs="Arial"/>
          <w:b/>
          <w:bCs/>
        </w:rPr>
        <w:t xml:space="preserve">No obstante, y a pesar de todos estos avances, aún queda camino por recorrer hasta el pleno cumplimiento de este mandato. </w:t>
      </w:r>
      <w:r w:rsidR="00536CF9" w:rsidRPr="00536CF9">
        <w:rPr>
          <w:rFonts w:cs="Arial"/>
        </w:rPr>
        <w:t>P</w:t>
      </w:r>
      <w:r w:rsidR="00897FCB" w:rsidRPr="00111DC0">
        <w:rPr>
          <w:rFonts w:cs="Arial"/>
        </w:rPr>
        <w:t xml:space="preserve">or tanto, </w:t>
      </w:r>
      <w:r w:rsidR="00536CF9">
        <w:rPr>
          <w:rFonts w:cs="Arial"/>
        </w:rPr>
        <w:t xml:space="preserve">es </w:t>
      </w:r>
      <w:r w:rsidR="00897FCB" w:rsidRPr="00111DC0">
        <w:rPr>
          <w:rFonts w:cs="Arial"/>
        </w:rPr>
        <w:t xml:space="preserve">necesario seguir apostando por la utilización generalizada de fórmulas gramaticales y expresiones inclusivas que nombren de </w:t>
      </w:r>
      <w:r w:rsidR="009C23B9" w:rsidRPr="00111DC0">
        <w:rPr>
          <w:rFonts w:cs="Arial"/>
        </w:rPr>
        <w:t>manera</w:t>
      </w:r>
      <w:r w:rsidR="00897FCB" w:rsidRPr="00111DC0">
        <w:rPr>
          <w:rFonts w:cs="Arial"/>
        </w:rPr>
        <w:t xml:space="preserve"> equitativa a las mujeres y a los hombres</w:t>
      </w:r>
      <w:r w:rsidR="00536CF9">
        <w:rPr>
          <w:rFonts w:cs="Arial"/>
        </w:rPr>
        <w:t xml:space="preserve"> y no reproduzcan una visión androcéntrica y sesgada de la realidad a través del lenguaje</w:t>
      </w:r>
      <w:r w:rsidR="0030447D" w:rsidRPr="00111DC0">
        <w:rPr>
          <w:rFonts w:cs="Arial"/>
        </w:rPr>
        <w:t xml:space="preserve">. </w:t>
      </w:r>
    </w:p>
    <w:p w14:paraId="70750875" w14:textId="27E74554" w:rsidR="007B6919" w:rsidRDefault="007B6919" w:rsidP="00575F0F">
      <w:pPr>
        <w:rPr>
          <w:rFonts w:cs="Arial"/>
        </w:rPr>
      </w:pPr>
      <w:r>
        <w:rPr>
          <w:rFonts w:cs="Arial"/>
        </w:rPr>
        <w:br w:type="page"/>
      </w:r>
    </w:p>
    <w:p w14:paraId="5BEDEA71" w14:textId="3B88DFBC" w:rsidR="00294EEF" w:rsidRPr="00111DC0" w:rsidRDefault="00294EEF" w:rsidP="00DE69A1">
      <w:pPr>
        <w:pStyle w:val="Ttulo4"/>
        <w:rPr>
          <w:rFonts w:cs="Arial"/>
        </w:rPr>
      </w:pPr>
      <w:r w:rsidRPr="00111DC0">
        <w:rPr>
          <w:rFonts w:cs="Arial"/>
        </w:rPr>
        <w:t>Informes de impacto de género</w:t>
      </w:r>
    </w:p>
    <w:p w14:paraId="41F195AF" w14:textId="77777777" w:rsidR="00580E87" w:rsidRDefault="00EE7F06" w:rsidP="001F5FD2">
      <w:pPr>
        <w:rPr>
          <w:rFonts w:cs="Arial"/>
        </w:rPr>
      </w:pPr>
      <w:r w:rsidRPr="00580E87">
        <w:rPr>
          <w:rFonts w:cs="Arial"/>
        </w:rPr>
        <w:t xml:space="preserve">El artículo 19 de la </w:t>
      </w:r>
      <w:r w:rsidRPr="00580E87">
        <w:rPr>
          <w:rFonts w:cs="Arial"/>
          <w:i/>
          <w:iCs/>
          <w:color w:val="78BE20"/>
        </w:rPr>
        <w:t xml:space="preserve">ley orgánica de igualdad 3/2007 </w:t>
      </w:r>
      <w:r w:rsidRPr="00580E87">
        <w:rPr>
          <w:rFonts w:cs="Arial"/>
        </w:rPr>
        <w:t>establece</w:t>
      </w:r>
      <w:r w:rsidR="00B370CA" w:rsidRPr="00580E87">
        <w:rPr>
          <w:rFonts w:cs="Arial"/>
        </w:rPr>
        <w:t xml:space="preserve"> la elaboración de los </w:t>
      </w:r>
      <w:r w:rsidR="00724219" w:rsidRPr="00580E87">
        <w:rPr>
          <w:rFonts w:cs="Arial"/>
        </w:rPr>
        <w:t>I</w:t>
      </w:r>
      <w:r w:rsidR="00B370CA" w:rsidRPr="00580E87">
        <w:rPr>
          <w:rFonts w:cs="Arial"/>
        </w:rPr>
        <w:t xml:space="preserve">nformes de </w:t>
      </w:r>
      <w:r w:rsidR="00724219" w:rsidRPr="00580E87">
        <w:rPr>
          <w:rFonts w:cs="Arial"/>
        </w:rPr>
        <w:t>I</w:t>
      </w:r>
      <w:r w:rsidR="00B370CA" w:rsidRPr="00580E87">
        <w:rPr>
          <w:rFonts w:cs="Arial"/>
        </w:rPr>
        <w:t xml:space="preserve">mpacto de </w:t>
      </w:r>
      <w:r w:rsidR="00724219" w:rsidRPr="00580E87">
        <w:rPr>
          <w:rFonts w:cs="Arial"/>
        </w:rPr>
        <w:t>G</w:t>
      </w:r>
      <w:r w:rsidR="00B370CA" w:rsidRPr="00580E87">
        <w:rPr>
          <w:rFonts w:cs="Arial"/>
        </w:rPr>
        <w:t>énero</w:t>
      </w:r>
      <w:r w:rsidR="00445C0B" w:rsidRPr="00580E87">
        <w:rPr>
          <w:rFonts w:cs="Arial"/>
        </w:rPr>
        <w:t xml:space="preserve"> como evaluación </w:t>
      </w:r>
      <w:r w:rsidR="00445C0B" w:rsidRPr="00580E87">
        <w:rPr>
          <w:rFonts w:cs="Arial"/>
          <w:i/>
          <w:iCs/>
        </w:rPr>
        <w:t>ex - ante</w:t>
      </w:r>
      <w:r w:rsidR="00445C0B" w:rsidRPr="00EE7F06">
        <w:rPr>
          <w:rFonts w:cs="Arial"/>
          <w:b/>
          <w:bCs/>
        </w:rPr>
        <w:t xml:space="preserve"> </w:t>
      </w:r>
      <w:r w:rsidR="00445C0B" w:rsidRPr="00EE7F06">
        <w:rPr>
          <w:rFonts w:cs="Arial"/>
        </w:rPr>
        <w:t xml:space="preserve">de </w:t>
      </w:r>
      <w:r w:rsidRPr="00EE7F06">
        <w:rPr>
          <w:rFonts w:cs="Arial"/>
        </w:rPr>
        <w:t>los</w:t>
      </w:r>
      <w:r w:rsidR="00445C0B" w:rsidRPr="00111DC0">
        <w:rPr>
          <w:rFonts w:cs="Arial"/>
        </w:rPr>
        <w:t xml:space="preserve"> proyectos de disposiciones de carácter general y </w:t>
      </w:r>
      <w:r>
        <w:rPr>
          <w:rFonts w:cs="Arial"/>
        </w:rPr>
        <w:t>de</w:t>
      </w:r>
      <w:r w:rsidR="00724219" w:rsidRPr="00111DC0">
        <w:rPr>
          <w:rFonts w:cs="Arial"/>
        </w:rPr>
        <w:t xml:space="preserve"> </w:t>
      </w:r>
      <w:r w:rsidR="00445C0B" w:rsidRPr="00111DC0">
        <w:rPr>
          <w:rFonts w:cs="Arial"/>
        </w:rPr>
        <w:t xml:space="preserve">los planes de especial relevancia económica, social, cultural y artística. </w:t>
      </w:r>
    </w:p>
    <w:p w14:paraId="0E76C51B" w14:textId="77777777" w:rsidR="00580E87" w:rsidRPr="00111DC0" w:rsidRDefault="00580E87" w:rsidP="00580E87">
      <w:r>
        <w:t>La</w:t>
      </w:r>
      <w:r w:rsidRPr="00111DC0">
        <w:t xml:space="preserve"> </w:t>
      </w:r>
      <w:r w:rsidRPr="00111DC0">
        <w:rPr>
          <w:rStyle w:val="KursivaCar"/>
          <w:rFonts w:cs="Arial"/>
        </w:rPr>
        <w:t>Resolución aprobada en el pleno del Parlamento autonómico el 10 de marzo de 2005</w:t>
      </w:r>
      <w:r w:rsidRPr="00111DC0">
        <w:t>, insta al Gobierno de La Rioja a incorporar la valoración del impacto de género en todas las disposiciones normativas que elabor</w:t>
      </w:r>
      <w:r>
        <w:t>e, precedente de una práctica administrativa que se</w:t>
      </w:r>
      <w:r w:rsidRPr="00111DC0">
        <w:t xml:space="preserve"> está implantando paulatinamente en las diferentes Consejerías de la Administración General. </w:t>
      </w:r>
    </w:p>
    <w:p w14:paraId="71FC8744" w14:textId="77777777" w:rsidR="00580E87" w:rsidRDefault="00454ACD" w:rsidP="003D7031">
      <w:pPr>
        <w:rPr>
          <w:rFonts w:cs="Arial"/>
          <w:b/>
          <w:bCs/>
        </w:rPr>
      </w:pPr>
      <w:r w:rsidRPr="00111DC0">
        <w:rPr>
          <w:rFonts w:cs="Arial"/>
          <w:b/>
          <w:bCs/>
        </w:rPr>
        <w:t>En la Administración General de La Rioja, todos los centros directivos emiten una evaluación del impacto de género de sus presupuestos anuales</w:t>
      </w:r>
      <w:r w:rsidR="00837234" w:rsidRPr="00111DC0">
        <w:rPr>
          <w:rFonts w:cs="Arial"/>
        </w:rPr>
        <w:t xml:space="preserve">, </w:t>
      </w:r>
      <w:r w:rsidR="00724219" w:rsidRPr="00111DC0">
        <w:rPr>
          <w:rFonts w:cs="Arial"/>
        </w:rPr>
        <w:t>cuestión</w:t>
      </w:r>
      <w:r w:rsidR="00837234" w:rsidRPr="00111DC0">
        <w:rPr>
          <w:rFonts w:cs="Arial"/>
        </w:rPr>
        <w:t xml:space="preserve"> que en cierta medida supone un avance en el cumplimiento de dicho </w:t>
      </w:r>
      <w:r w:rsidR="00EE7F06" w:rsidRPr="00111DC0">
        <w:rPr>
          <w:rFonts w:cs="Arial"/>
        </w:rPr>
        <w:t>mandato,</w:t>
      </w:r>
      <w:r w:rsidR="00EE7F06">
        <w:rPr>
          <w:rFonts w:cs="Arial"/>
        </w:rPr>
        <w:t xml:space="preserve"> aunque </w:t>
      </w:r>
      <w:r w:rsidRPr="00111DC0">
        <w:rPr>
          <w:rFonts w:cs="Arial"/>
        </w:rPr>
        <w:t>no siguen</w:t>
      </w:r>
      <w:r w:rsidR="00837234" w:rsidRPr="00111DC0">
        <w:rPr>
          <w:rFonts w:cs="Arial"/>
        </w:rPr>
        <w:t xml:space="preserve"> unas </w:t>
      </w:r>
      <w:r w:rsidRPr="00111DC0">
        <w:rPr>
          <w:rFonts w:cs="Arial"/>
        </w:rPr>
        <w:t>pautas metodológicas</w:t>
      </w:r>
      <w:r w:rsidR="00837234" w:rsidRPr="00111DC0">
        <w:rPr>
          <w:rFonts w:cs="Arial"/>
        </w:rPr>
        <w:t xml:space="preserve"> comunes</w:t>
      </w:r>
      <w:r w:rsidRPr="00111DC0">
        <w:rPr>
          <w:rFonts w:cs="Arial"/>
        </w:rPr>
        <w:t xml:space="preserve">. </w:t>
      </w:r>
      <w:r w:rsidR="00580E87">
        <w:rPr>
          <w:rFonts w:cs="Arial"/>
        </w:rPr>
        <w:t xml:space="preserve">Así, </w:t>
      </w:r>
      <w:r w:rsidR="00580E87" w:rsidRPr="00580E87">
        <w:rPr>
          <w:rFonts w:cs="Arial"/>
        </w:rPr>
        <w:t>l</w:t>
      </w:r>
      <w:r w:rsidR="00DF1386" w:rsidRPr="00580E87">
        <w:rPr>
          <w:rFonts w:cs="Arial"/>
        </w:rPr>
        <w:t>a falta de unas guías comunes y de unidades administrativas consolidadas</w:t>
      </w:r>
      <w:r w:rsidR="009A0C25" w:rsidRPr="00580E87">
        <w:rPr>
          <w:rFonts w:cs="Arial"/>
        </w:rPr>
        <w:t xml:space="preserve"> con personal específicamente formado en igualdad</w:t>
      </w:r>
      <w:r w:rsidR="00351EA2" w:rsidRPr="00580E87">
        <w:rPr>
          <w:rFonts w:cs="Arial"/>
        </w:rPr>
        <w:t xml:space="preserve"> </w:t>
      </w:r>
      <w:r w:rsidR="00724219" w:rsidRPr="00580E87">
        <w:rPr>
          <w:rFonts w:cs="Arial"/>
        </w:rPr>
        <w:t>y en impacto de género</w:t>
      </w:r>
      <w:r w:rsidR="00580E87">
        <w:rPr>
          <w:rFonts w:cs="Arial"/>
        </w:rPr>
        <w:t>,</w:t>
      </w:r>
      <w:r w:rsidR="00724219" w:rsidRPr="00580E87">
        <w:rPr>
          <w:rFonts w:cs="Arial"/>
        </w:rPr>
        <w:t xml:space="preserve"> </w:t>
      </w:r>
      <w:r w:rsidR="00351EA2" w:rsidRPr="00580E87">
        <w:rPr>
          <w:rFonts w:cs="Arial"/>
        </w:rPr>
        <w:t>dificulta el proceso y la tarea administrativa de</w:t>
      </w:r>
      <w:r w:rsidR="009A0C25" w:rsidRPr="00580E87">
        <w:rPr>
          <w:rFonts w:cs="Arial"/>
        </w:rPr>
        <w:t xml:space="preserve"> </w:t>
      </w:r>
      <w:r w:rsidR="00724219" w:rsidRPr="00580E87">
        <w:rPr>
          <w:rFonts w:cs="Arial"/>
        </w:rPr>
        <w:t>elaborar estos informes</w:t>
      </w:r>
      <w:r w:rsidR="00351EA2" w:rsidRPr="00580E87">
        <w:rPr>
          <w:rFonts w:cs="Arial"/>
        </w:rPr>
        <w:t>.</w:t>
      </w:r>
      <w:r w:rsidR="00351EA2" w:rsidRPr="00111DC0">
        <w:rPr>
          <w:rFonts w:cs="Arial"/>
          <w:b/>
          <w:bCs/>
        </w:rPr>
        <w:t xml:space="preserve"> </w:t>
      </w:r>
    </w:p>
    <w:p w14:paraId="21F93985" w14:textId="31343CCF" w:rsidR="00351EA2" w:rsidRPr="00111DC0" w:rsidRDefault="00351EA2" w:rsidP="003D7031">
      <w:pPr>
        <w:rPr>
          <w:rFonts w:cs="Arial"/>
        </w:rPr>
      </w:pPr>
      <w:r w:rsidRPr="00580E87">
        <w:rPr>
          <w:rFonts w:cs="Arial"/>
          <w:b/>
          <w:bCs/>
        </w:rPr>
        <w:t>Por ello, se vuelve</w:t>
      </w:r>
      <w:r w:rsidR="00580E87" w:rsidRPr="00580E87">
        <w:rPr>
          <w:rFonts w:cs="Arial"/>
          <w:b/>
          <w:bCs/>
        </w:rPr>
        <w:t>n</w:t>
      </w:r>
      <w:r w:rsidRPr="00580E87">
        <w:rPr>
          <w:rFonts w:cs="Arial"/>
          <w:b/>
          <w:bCs/>
        </w:rPr>
        <w:t xml:space="preserve"> necesari</w:t>
      </w:r>
      <w:r w:rsidR="00580E87" w:rsidRPr="00580E87">
        <w:rPr>
          <w:rFonts w:cs="Arial"/>
          <w:b/>
          <w:bCs/>
        </w:rPr>
        <w:t>as</w:t>
      </w:r>
      <w:r w:rsidRPr="00580E87">
        <w:rPr>
          <w:rFonts w:cs="Arial"/>
          <w:b/>
          <w:bCs/>
        </w:rPr>
        <w:t xml:space="preserve">, </w:t>
      </w:r>
      <w:proofErr w:type="gramStart"/>
      <w:r w:rsidRPr="00580E87">
        <w:rPr>
          <w:rFonts w:cs="Arial"/>
          <w:b/>
          <w:bCs/>
        </w:rPr>
        <w:t>al</w:t>
      </w:r>
      <w:proofErr w:type="gramEnd"/>
      <w:r w:rsidRPr="00580E87">
        <w:rPr>
          <w:rFonts w:cs="Arial"/>
          <w:b/>
          <w:bCs/>
        </w:rPr>
        <w:t xml:space="preserve"> menos, dos actuaciones</w:t>
      </w:r>
      <w:r w:rsidR="00454ACD" w:rsidRPr="00580E87">
        <w:rPr>
          <w:rFonts w:cs="Arial"/>
          <w:b/>
          <w:bCs/>
        </w:rPr>
        <w:t>.</w:t>
      </w:r>
      <w:r w:rsidR="00454ACD" w:rsidRPr="00111DC0">
        <w:rPr>
          <w:rFonts w:cs="Arial"/>
        </w:rPr>
        <w:t xml:space="preserve"> P</w:t>
      </w:r>
      <w:r w:rsidRPr="00111DC0">
        <w:rPr>
          <w:rFonts w:cs="Arial"/>
        </w:rPr>
        <w:t xml:space="preserve">or un lado, establecer un mandato propio, vinculante para todos los centros directivos, relativo a la </w:t>
      </w:r>
      <w:r w:rsidR="000C31FF" w:rsidRPr="00111DC0">
        <w:rPr>
          <w:rFonts w:cs="Arial"/>
        </w:rPr>
        <w:t>elaboración</w:t>
      </w:r>
      <w:r w:rsidRPr="00111DC0">
        <w:rPr>
          <w:rFonts w:cs="Arial"/>
        </w:rPr>
        <w:t xml:space="preserve"> de los </w:t>
      </w:r>
      <w:r w:rsidR="00724219" w:rsidRPr="00111DC0">
        <w:rPr>
          <w:rFonts w:cs="Arial"/>
        </w:rPr>
        <w:t>I</w:t>
      </w:r>
      <w:r w:rsidRPr="00111DC0">
        <w:rPr>
          <w:rFonts w:cs="Arial"/>
        </w:rPr>
        <w:t xml:space="preserve">nformes de </w:t>
      </w:r>
      <w:r w:rsidR="00724219" w:rsidRPr="00111DC0">
        <w:rPr>
          <w:rFonts w:cs="Arial"/>
        </w:rPr>
        <w:t>I</w:t>
      </w:r>
      <w:r w:rsidRPr="00111DC0">
        <w:rPr>
          <w:rFonts w:cs="Arial"/>
        </w:rPr>
        <w:t xml:space="preserve">mpacto de </w:t>
      </w:r>
      <w:r w:rsidR="00724219" w:rsidRPr="00111DC0">
        <w:rPr>
          <w:rFonts w:cs="Arial"/>
        </w:rPr>
        <w:t>G</w:t>
      </w:r>
      <w:r w:rsidRPr="00111DC0">
        <w:rPr>
          <w:rFonts w:cs="Arial"/>
        </w:rPr>
        <w:t xml:space="preserve">énero. Por el </w:t>
      </w:r>
      <w:r w:rsidR="000C31FF" w:rsidRPr="00111DC0">
        <w:rPr>
          <w:rFonts w:cs="Arial"/>
        </w:rPr>
        <w:t>otro</w:t>
      </w:r>
      <w:r w:rsidRPr="00111DC0">
        <w:rPr>
          <w:rFonts w:cs="Arial"/>
        </w:rPr>
        <w:t xml:space="preserve">, </w:t>
      </w:r>
      <w:r w:rsidR="009A0C25" w:rsidRPr="00111DC0">
        <w:rPr>
          <w:rFonts w:cs="Arial"/>
        </w:rPr>
        <w:t xml:space="preserve">crear </w:t>
      </w:r>
      <w:r w:rsidR="000C31FF" w:rsidRPr="00111DC0">
        <w:rPr>
          <w:rFonts w:cs="Arial"/>
        </w:rPr>
        <w:t xml:space="preserve">organismos o agentes específicos encargados de dicha labor </w:t>
      </w:r>
      <w:r w:rsidR="009A0C25" w:rsidRPr="00111DC0">
        <w:rPr>
          <w:rFonts w:cs="Arial"/>
        </w:rPr>
        <w:t xml:space="preserve">y </w:t>
      </w:r>
      <w:r w:rsidR="000C31FF" w:rsidRPr="00111DC0">
        <w:rPr>
          <w:rFonts w:cs="Arial"/>
        </w:rPr>
        <w:t xml:space="preserve">que puedan asumir con garantías el cumplimiento de este mandato de igualdad. </w:t>
      </w:r>
    </w:p>
    <w:p w14:paraId="64B6C1EF" w14:textId="74817084" w:rsidR="00832653" w:rsidRPr="00580E87" w:rsidRDefault="00580E87" w:rsidP="003D7031">
      <w:pPr>
        <w:rPr>
          <w:rFonts w:cs="Arial"/>
          <w:b/>
          <w:bCs/>
        </w:rPr>
      </w:pPr>
      <w:r w:rsidRPr="00580E87">
        <w:rPr>
          <w:rFonts w:cs="Arial"/>
        </w:rPr>
        <w:t>Finalmente, e</w:t>
      </w:r>
      <w:r w:rsidR="00EE7F06" w:rsidRPr="00580E87">
        <w:rPr>
          <w:rFonts w:cs="Arial"/>
        </w:rPr>
        <w:t xml:space="preserve">l </w:t>
      </w:r>
      <w:r w:rsidR="00445C0B" w:rsidRPr="00580E87">
        <w:rPr>
          <w:rFonts w:cs="Arial"/>
        </w:rPr>
        <w:t>art</w:t>
      </w:r>
      <w:r w:rsidR="000C31FF" w:rsidRPr="00580E87">
        <w:rPr>
          <w:rFonts w:cs="Arial"/>
        </w:rPr>
        <w:t>í</w:t>
      </w:r>
      <w:r w:rsidR="00445C0B" w:rsidRPr="00580E87">
        <w:rPr>
          <w:rFonts w:cs="Arial"/>
        </w:rPr>
        <w:t>culo 55 de</w:t>
      </w:r>
      <w:r w:rsidR="00EE7F06" w:rsidRPr="00580E87">
        <w:rPr>
          <w:rFonts w:cs="Arial"/>
        </w:rPr>
        <w:t xml:space="preserve"> </w:t>
      </w:r>
      <w:r w:rsidR="00FD6F24" w:rsidRPr="00580E87">
        <w:rPr>
          <w:rFonts w:cs="Arial"/>
        </w:rPr>
        <w:t>la</w:t>
      </w:r>
      <w:r w:rsidR="00445C0B" w:rsidRPr="00580E87">
        <w:rPr>
          <w:rFonts w:cs="Arial"/>
        </w:rPr>
        <w:t xml:space="preserve"> </w:t>
      </w:r>
      <w:r w:rsidR="00445C0B" w:rsidRPr="00580E87">
        <w:rPr>
          <w:rStyle w:val="KursivaCar"/>
          <w:rFonts w:cs="Arial"/>
        </w:rPr>
        <w:t>ley</w:t>
      </w:r>
      <w:r w:rsidR="00FD6F24" w:rsidRPr="00580E87">
        <w:rPr>
          <w:rStyle w:val="KursivaCar"/>
          <w:rFonts w:cs="Arial"/>
        </w:rPr>
        <w:t xml:space="preserve"> orgánica de igualdad 3/2007</w:t>
      </w:r>
      <w:r w:rsidR="00445C0B" w:rsidRPr="00580E87">
        <w:rPr>
          <w:rFonts w:cs="Arial"/>
        </w:rPr>
        <w:t xml:space="preserve"> dicta que</w:t>
      </w:r>
      <w:r w:rsidR="000C31FF" w:rsidRPr="00580E87">
        <w:rPr>
          <w:rFonts w:cs="Arial"/>
        </w:rPr>
        <w:t xml:space="preserve"> las</w:t>
      </w:r>
      <w:r w:rsidR="00445C0B" w:rsidRPr="00580E87">
        <w:rPr>
          <w:rFonts w:cs="Arial"/>
        </w:rPr>
        <w:t xml:space="preserve"> </w:t>
      </w:r>
      <w:r w:rsidR="000C31FF" w:rsidRPr="00580E87">
        <w:rPr>
          <w:rFonts w:cs="Arial"/>
        </w:rPr>
        <w:t>convocatorias de pruebas selectivas para el acceso al empleo público se deberán acompañar de la aprobación de un informe de impacto de género</w:t>
      </w:r>
      <w:r>
        <w:rPr>
          <w:rFonts w:cs="Arial"/>
        </w:rPr>
        <w:t xml:space="preserve">, </w:t>
      </w:r>
      <w:r w:rsidRPr="00580E87">
        <w:rPr>
          <w:rFonts w:cs="Arial"/>
          <w:b/>
          <w:bCs/>
        </w:rPr>
        <w:t>pero n</w:t>
      </w:r>
      <w:r w:rsidR="000C31FF" w:rsidRPr="00580E87">
        <w:rPr>
          <w:rFonts w:cs="Arial"/>
          <w:b/>
          <w:bCs/>
        </w:rPr>
        <w:t>o se conoce que la Administración General esté elaborando dichos informes</w:t>
      </w:r>
      <w:r w:rsidRPr="00580E87">
        <w:rPr>
          <w:rFonts w:cs="Arial"/>
          <w:b/>
          <w:bCs/>
        </w:rPr>
        <w:t xml:space="preserve"> por lo que es preciso actuar en esta dirección. </w:t>
      </w:r>
    </w:p>
    <w:p w14:paraId="180F8D39" w14:textId="60608973" w:rsidR="00403455" w:rsidRDefault="00403455" w:rsidP="00B370CA">
      <w:pPr>
        <w:rPr>
          <w:rFonts w:cs="Arial"/>
        </w:rPr>
      </w:pPr>
      <w:r>
        <w:rPr>
          <w:rFonts w:cs="Arial"/>
        </w:rPr>
        <w:br w:type="page"/>
      </w:r>
    </w:p>
    <w:p w14:paraId="3537F8F4" w14:textId="402ED9A6" w:rsidR="007A337C" w:rsidRPr="00111DC0" w:rsidRDefault="007A337C" w:rsidP="00DE69A1">
      <w:pPr>
        <w:pStyle w:val="Ttulo4"/>
        <w:rPr>
          <w:rFonts w:cs="Arial"/>
        </w:rPr>
      </w:pPr>
      <w:r w:rsidRPr="00111DC0">
        <w:rPr>
          <w:rFonts w:cs="Arial"/>
        </w:rPr>
        <w:t>Unidades de Igualdad</w:t>
      </w:r>
    </w:p>
    <w:p w14:paraId="4125399E" w14:textId="7F7EE174" w:rsidR="00803E6D" w:rsidRPr="00111DC0" w:rsidRDefault="00BA1EB3" w:rsidP="007A337C">
      <w:pPr>
        <w:rPr>
          <w:rFonts w:cs="Arial"/>
        </w:rPr>
      </w:pPr>
      <w:r w:rsidRPr="00111DC0">
        <w:rPr>
          <w:rFonts w:cs="Arial"/>
        </w:rPr>
        <w:t xml:space="preserve">La </w:t>
      </w:r>
      <w:r w:rsidR="00C041B4" w:rsidRPr="00111DC0">
        <w:rPr>
          <w:rFonts w:cs="Arial"/>
          <w:i/>
          <w:iCs/>
          <w:color w:val="78BE20"/>
        </w:rPr>
        <w:t>ley orgánica de igualdad 3/2007</w:t>
      </w:r>
      <w:r w:rsidR="00C041B4" w:rsidRPr="00111DC0">
        <w:rPr>
          <w:rFonts w:cs="Arial"/>
        </w:rPr>
        <w:t>,</w:t>
      </w:r>
      <w:r w:rsidRPr="00111DC0">
        <w:rPr>
          <w:rFonts w:cs="Arial"/>
        </w:rPr>
        <w:t xml:space="preserve"> establece </w:t>
      </w:r>
      <w:r w:rsidR="00C041B4" w:rsidRPr="00111DC0">
        <w:rPr>
          <w:rFonts w:cs="Arial"/>
        </w:rPr>
        <w:t>en el artículo 77</w:t>
      </w:r>
      <w:r w:rsidR="00C041B4">
        <w:rPr>
          <w:rFonts w:cs="Arial"/>
        </w:rPr>
        <w:t xml:space="preserve"> </w:t>
      </w:r>
      <w:r w:rsidRPr="00111DC0">
        <w:rPr>
          <w:rFonts w:cs="Arial"/>
        </w:rPr>
        <w:t>que</w:t>
      </w:r>
      <w:r w:rsidR="00892D59" w:rsidRPr="00111DC0">
        <w:rPr>
          <w:rFonts w:cs="Arial"/>
        </w:rPr>
        <w:t xml:space="preserve"> las Unidades de </w:t>
      </w:r>
      <w:r w:rsidR="00C041B4">
        <w:rPr>
          <w:rFonts w:cs="Arial"/>
        </w:rPr>
        <w:t>I</w:t>
      </w:r>
      <w:r w:rsidR="00892D59" w:rsidRPr="00111DC0">
        <w:rPr>
          <w:rFonts w:cs="Arial"/>
        </w:rPr>
        <w:t>gualdad se adscrib</w:t>
      </w:r>
      <w:r w:rsidRPr="00111DC0">
        <w:rPr>
          <w:rFonts w:cs="Arial"/>
        </w:rPr>
        <w:t>a</w:t>
      </w:r>
      <w:r w:rsidR="00892D59" w:rsidRPr="00111DC0">
        <w:rPr>
          <w:rFonts w:cs="Arial"/>
        </w:rPr>
        <w:t>n a los órganos direct</w:t>
      </w:r>
      <w:r w:rsidRPr="00111DC0">
        <w:rPr>
          <w:rFonts w:cs="Arial"/>
        </w:rPr>
        <w:t>iv</w:t>
      </w:r>
      <w:r w:rsidR="00892D59" w:rsidRPr="00111DC0">
        <w:rPr>
          <w:rFonts w:cs="Arial"/>
        </w:rPr>
        <w:t>os de cada Ministerio/Consejería</w:t>
      </w:r>
      <w:r w:rsidR="00C041B4">
        <w:rPr>
          <w:rFonts w:cs="Arial"/>
        </w:rPr>
        <w:t xml:space="preserve"> con el </w:t>
      </w:r>
      <w:r w:rsidR="007A337C" w:rsidRPr="00111DC0">
        <w:rPr>
          <w:rFonts w:cs="Arial"/>
        </w:rPr>
        <w:t xml:space="preserve">fin último </w:t>
      </w:r>
      <w:r w:rsidR="00C041B4">
        <w:rPr>
          <w:rFonts w:cs="Arial"/>
        </w:rPr>
        <w:t>de</w:t>
      </w:r>
      <w:r w:rsidR="007A337C" w:rsidRPr="00111DC0">
        <w:rPr>
          <w:rFonts w:cs="Arial"/>
        </w:rPr>
        <w:t xml:space="preserve"> </w:t>
      </w:r>
      <w:r w:rsidR="00F01F09" w:rsidRPr="00111DC0">
        <w:rPr>
          <w:rFonts w:cs="Arial"/>
        </w:rPr>
        <w:t xml:space="preserve">velar por </w:t>
      </w:r>
      <w:r w:rsidR="00056A3E" w:rsidRPr="00111DC0">
        <w:rPr>
          <w:rFonts w:cs="Arial"/>
        </w:rPr>
        <w:t xml:space="preserve">el cumplimiento </w:t>
      </w:r>
      <w:r w:rsidR="00C041B4">
        <w:rPr>
          <w:rFonts w:cs="Arial"/>
        </w:rPr>
        <w:t>d</w:t>
      </w:r>
      <w:r w:rsidR="007A337C" w:rsidRPr="00111DC0">
        <w:rPr>
          <w:rFonts w:cs="Arial"/>
        </w:rPr>
        <w:t>el principio de igualdad en las materias de su competencia</w:t>
      </w:r>
      <w:r w:rsidR="00306D34" w:rsidRPr="00111DC0">
        <w:rPr>
          <w:rFonts w:cs="Arial"/>
        </w:rPr>
        <w:t xml:space="preserve"> y </w:t>
      </w:r>
      <w:r w:rsidR="00F01F09" w:rsidRPr="00111DC0">
        <w:rPr>
          <w:rFonts w:cs="Arial"/>
        </w:rPr>
        <w:t>garantizar</w:t>
      </w:r>
      <w:r w:rsidR="00306D34" w:rsidRPr="00111DC0">
        <w:rPr>
          <w:rFonts w:cs="Arial"/>
        </w:rPr>
        <w:t xml:space="preserve"> </w:t>
      </w:r>
      <w:r w:rsidR="00056A3E" w:rsidRPr="00111DC0">
        <w:rPr>
          <w:rFonts w:cs="Arial"/>
        </w:rPr>
        <w:t xml:space="preserve">la aplicación de </w:t>
      </w:r>
      <w:r w:rsidR="00306D34" w:rsidRPr="00111DC0">
        <w:rPr>
          <w:rFonts w:cs="Arial"/>
        </w:rPr>
        <w:t>la estrategia de la transversalidad de género</w:t>
      </w:r>
      <w:r w:rsidR="00C041B4">
        <w:rPr>
          <w:rFonts w:cs="Arial"/>
        </w:rPr>
        <w:t>.</w:t>
      </w:r>
    </w:p>
    <w:p w14:paraId="2014B96F" w14:textId="7869723F" w:rsidR="004B77E2" w:rsidRPr="00111DC0" w:rsidRDefault="004B77E2" w:rsidP="003D7031">
      <w:pPr>
        <w:rPr>
          <w:rFonts w:cs="Arial"/>
          <w:b/>
          <w:bCs/>
        </w:rPr>
      </w:pPr>
      <w:r w:rsidRPr="00403455">
        <w:rPr>
          <w:rFonts w:cs="Arial"/>
        </w:rPr>
        <w:t>En ausencia de estas unidades</w:t>
      </w:r>
      <w:r w:rsidR="00256B83" w:rsidRPr="00403455">
        <w:rPr>
          <w:rFonts w:cs="Arial"/>
        </w:rPr>
        <w:t xml:space="preserve"> en la </w:t>
      </w:r>
      <w:r w:rsidR="00AF542E" w:rsidRPr="00403455">
        <w:rPr>
          <w:rFonts w:cs="Arial"/>
        </w:rPr>
        <w:t>A</w:t>
      </w:r>
      <w:r w:rsidR="00256B83" w:rsidRPr="00403455">
        <w:rPr>
          <w:rFonts w:cs="Arial"/>
        </w:rPr>
        <w:t>dministración riojana</w:t>
      </w:r>
      <w:r w:rsidRPr="00403455">
        <w:rPr>
          <w:rFonts w:cs="Arial"/>
        </w:rPr>
        <w:t xml:space="preserve">, diferentes personas dentro del ámbito de cada Consejería están asumiendo </w:t>
      </w:r>
      <w:r w:rsidR="00C041B4" w:rsidRPr="00403455">
        <w:rPr>
          <w:rFonts w:cs="Arial"/>
        </w:rPr>
        <w:t>dichas</w:t>
      </w:r>
      <w:r w:rsidR="00256B83" w:rsidRPr="00403455">
        <w:rPr>
          <w:rFonts w:cs="Arial"/>
        </w:rPr>
        <w:t xml:space="preserve"> </w:t>
      </w:r>
      <w:r w:rsidR="00C041B4" w:rsidRPr="00403455">
        <w:rPr>
          <w:rFonts w:cs="Arial"/>
        </w:rPr>
        <w:t>funciones</w:t>
      </w:r>
      <w:r w:rsidRPr="00403455">
        <w:rPr>
          <w:rFonts w:cs="Arial"/>
        </w:rPr>
        <w:t>.</w:t>
      </w:r>
      <w:r w:rsidRPr="00111DC0">
        <w:rPr>
          <w:rFonts w:cs="Arial"/>
        </w:rPr>
        <w:t xml:space="preserve"> </w:t>
      </w:r>
      <w:r w:rsidR="00C041B4">
        <w:rPr>
          <w:rFonts w:cs="Arial"/>
        </w:rPr>
        <w:t>A</w:t>
      </w:r>
      <w:r w:rsidRPr="00111DC0">
        <w:rPr>
          <w:rFonts w:cs="Arial"/>
        </w:rPr>
        <w:t>demás</w:t>
      </w:r>
      <w:r w:rsidR="004A3B92" w:rsidRPr="00111DC0">
        <w:rPr>
          <w:rFonts w:cs="Arial"/>
        </w:rPr>
        <w:t>,</w:t>
      </w:r>
      <w:r w:rsidRPr="00111DC0">
        <w:rPr>
          <w:rFonts w:cs="Arial"/>
        </w:rPr>
        <w:t xml:space="preserve"> la Comisión Interdepartamental para la igualdad efectiva de mujeres y hombres</w:t>
      </w:r>
      <w:r w:rsidR="00C72B4F" w:rsidRPr="00111DC0">
        <w:rPr>
          <w:rFonts w:cs="Arial"/>
        </w:rPr>
        <w:t xml:space="preserve">, regulada por el </w:t>
      </w:r>
      <w:r w:rsidR="00C72B4F" w:rsidRPr="00111DC0">
        <w:rPr>
          <w:rFonts w:cs="Arial"/>
          <w:i/>
          <w:iCs/>
          <w:color w:val="78BE20"/>
        </w:rPr>
        <w:t>Decreto 26/2020, de 24 de junio</w:t>
      </w:r>
      <w:r w:rsidR="00C041B4">
        <w:rPr>
          <w:rFonts w:cs="Arial"/>
          <w:i/>
          <w:iCs/>
          <w:color w:val="78BE20"/>
        </w:rPr>
        <w:t>,</w:t>
      </w:r>
      <w:r w:rsidR="004A3B92" w:rsidRPr="00111DC0">
        <w:rPr>
          <w:rFonts w:cs="Arial"/>
          <w:i/>
          <w:iCs/>
          <w:color w:val="78BE20"/>
        </w:rPr>
        <w:t xml:space="preserve"> </w:t>
      </w:r>
      <w:r w:rsidR="00C72B4F" w:rsidRPr="00111DC0">
        <w:rPr>
          <w:rFonts w:cs="Arial"/>
        </w:rPr>
        <w:t xml:space="preserve">pretende cubrir las necesidades provocadas por la inexistencia de las Unidades de Igualdad. </w:t>
      </w:r>
      <w:r w:rsidR="00EC4B3A" w:rsidRPr="00111DC0">
        <w:rPr>
          <w:rFonts w:cs="Arial"/>
          <w:b/>
          <w:bCs/>
        </w:rPr>
        <w:t>Sin duda alguna, un firme compromiso administrativo en materia de igualdad pasa por regular estas unidades</w:t>
      </w:r>
      <w:r w:rsidR="00EC19F2" w:rsidRPr="00111DC0">
        <w:rPr>
          <w:rFonts w:cs="Arial"/>
          <w:b/>
          <w:bCs/>
        </w:rPr>
        <w:t xml:space="preserve"> y dotarles de identidad orgánica y recursos propios</w:t>
      </w:r>
      <w:r w:rsidR="00EC4B3A" w:rsidRPr="00111DC0">
        <w:rPr>
          <w:rFonts w:cs="Arial"/>
          <w:b/>
          <w:bCs/>
        </w:rPr>
        <w:t xml:space="preserve">. </w:t>
      </w:r>
    </w:p>
    <w:p w14:paraId="6FC2B41E" w14:textId="77777777" w:rsidR="001306EE" w:rsidRPr="00111DC0" w:rsidRDefault="001306EE" w:rsidP="0034022F"/>
    <w:p w14:paraId="51AFAE79" w14:textId="77777777" w:rsidR="00D334EB" w:rsidRPr="00111DC0" w:rsidRDefault="00D334EB" w:rsidP="00DE69A1">
      <w:pPr>
        <w:pStyle w:val="Ttulo4"/>
        <w:rPr>
          <w:rFonts w:cs="Arial"/>
        </w:rPr>
      </w:pPr>
      <w:r w:rsidRPr="00111DC0">
        <w:rPr>
          <w:rFonts w:cs="Arial"/>
        </w:rPr>
        <w:t>Acción positiva</w:t>
      </w:r>
    </w:p>
    <w:p w14:paraId="02CF4CA1" w14:textId="0050C284" w:rsidR="003706C3" w:rsidRPr="00111DC0" w:rsidRDefault="00991F26" w:rsidP="003D7031">
      <w:pPr>
        <w:rPr>
          <w:rFonts w:cs="Arial"/>
          <w:b/>
          <w:bCs/>
        </w:rPr>
      </w:pPr>
      <w:r w:rsidRPr="00C041B4">
        <w:rPr>
          <w:rFonts w:cs="Arial"/>
        </w:rPr>
        <w:t>La acción positiva</w:t>
      </w:r>
      <w:r w:rsidRPr="00111DC0">
        <w:rPr>
          <w:rFonts w:cs="Arial"/>
          <w:b/>
          <w:bCs/>
        </w:rPr>
        <w:t xml:space="preserve"> </w:t>
      </w:r>
      <w:r w:rsidR="00C041B4" w:rsidRPr="00111DC0">
        <w:rPr>
          <w:rFonts w:cs="Arial"/>
        </w:rPr>
        <w:t xml:space="preserve">debe cumplir siempre ciertas condiciones, anunciadas en el artículo 11 de la </w:t>
      </w:r>
      <w:r w:rsidR="00C041B4" w:rsidRPr="00111DC0">
        <w:rPr>
          <w:rFonts w:cs="Arial"/>
          <w:i/>
          <w:iCs/>
          <w:color w:val="78BE20"/>
        </w:rPr>
        <w:t>ley orgánica de igualdad 3/2007</w:t>
      </w:r>
      <w:r w:rsidR="00C041B4">
        <w:rPr>
          <w:rFonts w:cs="Arial"/>
        </w:rPr>
        <w:t xml:space="preserve">, como que exista </w:t>
      </w:r>
      <w:r w:rsidR="003E16F6" w:rsidRPr="00111DC0">
        <w:rPr>
          <w:rFonts w:cs="Arial"/>
        </w:rPr>
        <w:t xml:space="preserve">una </w:t>
      </w:r>
      <w:r w:rsidR="003E16F6" w:rsidRPr="00111DC0">
        <w:rPr>
          <w:rFonts w:cs="Arial"/>
          <w:i/>
          <w:iCs/>
        </w:rPr>
        <w:t>situación de patente desigualdad</w:t>
      </w:r>
      <w:r w:rsidR="00C041B4">
        <w:rPr>
          <w:rFonts w:cs="Arial"/>
        </w:rPr>
        <w:t xml:space="preserve">, que sean </w:t>
      </w:r>
      <w:r w:rsidR="003E16F6" w:rsidRPr="00111DC0">
        <w:rPr>
          <w:rFonts w:cs="Arial"/>
        </w:rPr>
        <w:t>aplicable</w:t>
      </w:r>
      <w:r w:rsidR="00177B5A" w:rsidRPr="00111DC0">
        <w:rPr>
          <w:rFonts w:cs="Arial"/>
        </w:rPr>
        <w:t>s</w:t>
      </w:r>
      <w:r w:rsidR="003E16F6" w:rsidRPr="00111DC0">
        <w:rPr>
          <w:rFonts w:cs="Arial"/>
        </w:rPr>
        <w:t xml:space="preserve"> </w:t>
      </w:r>
      <w:r w:rsidR="00C041B4" w:rsidRPr="00111DC0">
        <w:rPr>
          <w:rFonts w:cs="Arial"/>
        </w:rPr>
        <w:t xml:space="preserve">solo </w:t>
      </w:r>
      <w:r w:rsidR="003E16F6" w:rsidRPr="00111DC0">
        <w:rPr>
          <w:rFonts w:cs="Arial"/>
        </w:rPr>
        <w:t xml:space="preserve">a las mujeres como sujeto históricamente discriminado, y </w:t>
      </w:r>
      <w:r w:rsidR="00C041B4">
        <w:rPr>
          <w:rFonts w:cs="Arial"/>
        </w:rPr>
        <w:t xml:space="preserve">que </w:t>
      </w:r>
      <w:r w:rsidR="00072096" w:rsidRPr="00111DC0">
        <w:rPr>
          <w:rFonts w:cs="Arial"/>
        </w:rPr>
        <w:t>sea</w:t>
      </w:r>
      <w:r w:rsidR="003706C3" w:rsidRPr="00111DC0">
        <w:rPr>
          <w:rFonts w:cs="Arial"/>
        </w:rPr>
        <w:t xml:space="preserve"> temporal, es decir, estar vigente solamente en tanto que subsista </w:t>
      </w:r>
      <w:r w:rsidR="00C041B4">
        <w:rPr>
          <w:rFonts w:cs="Arial"/>
        </w:rPr>
        <w:t>el desequilibrio que se persigue corregir</w:t>
      </w:r>
      <w:r w:rsidR="003706C3" w:rsidRPr="00111DC0">
        <w:rPr>
          <w:rFonts w:cs="Arial"/>
        </w:rPr>
        <w:t xml:space="preserve">. </w:t>
      </w:r>
      <w:r w:rsidR="00C041B4">
        <w:rPr>
          <w:rFonts w:cs="Arial"/>
          <w:b/>
          <w:bCs/>
        </w:rPr>
        <w:t>L</w:t>
      </w:r>
      <w:r w:rsidR="003706C3" w:rsidRPr="00111DC0">
        <w:rPr>
          <w:rFonts w:cs="Arial"/>
          <w:b/>
          <w:bCs/>
        </w:rPr>
        <w:t xml:space="preserve">a justificación de que estas medidas se apliquen o no al personal público debe estar siempre </w:t>
      </w:r>
      <w:r w:rsidR="001F15C5" w:rsidRPr="00111DC0">
        <w:rPr>
          <w:rFonts w:cs="Arial"/>
          <w:b/>
          <w:bCs/>
        </w:rPr>
        <w:t>fundamentada</w:t>
      </w:r>
      <w:r w:rsidR="003706C3" w:rsidRPr="00111DC0">
        <w:rPr>
          <w:rFonts w:cs="Arial"/>
          <w:b/>
          <w:bCs/>
        </w:rPr>
        <w:t xml:space="preserve"> en los datos de personal, y allí </w:t>
      </w:r>
      <w:r w:rsidR="008253FF" w:rsidRPr="00111DC0">
        <w:rPr>
          <w:rFonts w:cs="Arial"/>
          <w:b/>
          <w:bCs/>
        </w:rPr>
        <w:t>donde</w:t>
      </w:r>
      <w:r w:rsidR="003706C3" w:rsidRPr="00111DC0">
        <w:rPr>
          <w:rFonts w:cs="Arial"/>
          <w:b/>
          <w:bCs/>
        </w:rPr>
        <w:t xml:space="preserve"> </w:t>
      </w:r>
      <w:r w:rsidR="00072096" w:rsidRPr="00111DC0">
        <w:rPr>
          <w:rFonts w:cs="Arial"/>
          <w:b/>
          <w:bCs/>
        </w:rPr>
        <w:t xml:space="preserve">se </w:t>
      </w:r>
      <w:r w:rsidR="001F15C5" w:rsidRPr="00111DC0">
        <w:rPr>
          <w:rFonts w:cs="Arial"/>
          <w:b/>
          <w:bCs/>
        </w:rPr>
        <w:t>atestigüen</w:t>
      </w:r>
      <w:r w:rsidR="003706C3" w:rsidRPr="00111DC0">
        <w:rPr>
          <w:rFonts w:cs="Arial"/>
          <w:b/>
          <w:bCs/>
        </w:rPr>
        <w:t xml:space="preserve"> </w:t>
      </w:r>
      <w:r w:rsidR="001F15C5" w:rsidRPr="00111DC0">
        <w:rPr>
          <w:rFonts w:cs="Arial"/>
          <w:b/>
          <w:bCs/>
        </w:rPr>
        <w:t>desigualdad</w:t>
      </w:r>
      <w:r w:rsidR="008253FF" w:rsidRPr="00111DC0">
        <w:rPr>
          <w:rFonts w:cs="Arial"/>
          <w:b/>
          <w:bCs/>
        </w:rPr>
        <w:t>es</w:t>
      </w:r>
      <w:r w:rsidR="003706C3" w:rsidRPr="00111DC0">
        <w:rPr>
          <w:rFonts w:cs="Arial"/>
          <w:b/>
          <w:bCs/>
        </w:rPr>
        <w:t xml:space="preserve"> que pueda</w:t>
      </w:r>
      <w:r w:rsidR="008253FF" w:rsidRPr="00111DC0">
        <w:rPr>
          <w:rFonts w:cs="Arial"/>
          <w:b/>
          <w:bCs/>
        </w:rPr>
        <w:t>n</w:t>
      </w:r>
      <w:r w:rsidR="003706C3" w:rsidRPr="00111DC0">
        <w:rPr>
          <w:rFonts w:cs="Arial"/>
          <w:b/>
          <w:bCs/>
        </w:rPr>
        <w:t xml:space="preserve"> ser </w:t>
      </w:r>
      <w:r w:rsidR="001F15C5" w:rsidRPr="00111DC0">
        <w:rPr>
          <w:rFonts w:cs="Arial"/>
          <w:b/>
          <w:bCs/>
        </w:rPr>
        <w:t>revertida</w:t>
      </w:r>
      <w:r w:rsidR="008253FF" w:rsidRPr="00111DC0">
        <w:rPr>
          <w:rFonts w:cs="Arial"/>
          <w:b/>
          <w:bCs/>
        </w:rPr>
        <w:t>s</w:t>
      </w:r>
      <w:r w:rsidR="001F15C5" w:rsidRPr="00111DC0">
        <w:rPr>
          <w:rFonts w:cs="Arial"/>
          <w:b/>
          <w:bCs/>
        </w:rPr>
        <w:t xml:space="preserve"> por medio del refuerzo a la presencia y participación de </w:t>
      </w:r>
      <w:r w:rsidR="008253FF" w:rsidRPr="00111DC0">
        <w:rPr>
          <w:rFonts w:cs="Arial"/>
          <w:b/>
          <w:bCs/>
        </w:rPr>
        <w:t xml:space="preserve">las </w:t>
      </w:r>
      <w:r w:rsidR="001F15C5" w:rsidRPr="00111DC0">
        <w:rPr>
          <w:rFonts w:cs="Arial"/>
          <w:b/>
          <w:bCs/>
        </w:rPr>
        <w:t xml:space="preserve">mujeres. </w:t>
      </w:r>
    </w:p>
    <w:p w14:paraId="733012CF" w14:textId="4C6E9D61" w:rsidR="003E16F6" w:rsidRPr="00111DC0" w:rsidRDefault="003E16F6" w:rsidP="0034022F"/>
    <w:p w14:paraId="5BC53F95" w14:textId="39252FFD" w:rsidR="00D334EB" w:rsidRPr="00111DC0" w:rsidRDefault="00D334EB" w:rsidP="00DE69A1">
      <w:pPr>
        <w:pStyle w:val="Ttulo4"/>
        <w:rPr>
          <w:rFonts w:cs="Arial"/>
        </w:rPr>
      </w:pPr>
      <w:r w:rsidRPr="00111DC0">
        <w:rPr>
          <w:rFonts w:cs="Arial"/>
        </w:rPr>
        <w:t>Indicadores y datos desagregados</w:t>
      </w:r>
    </w:p>
    <w:p w14:paraId="499AF1A2" w14:textId="3542FD86" w:rsidR="00AE63C3" w:rsidRPr="00111DC0" w:rsidRDefault="00104B70" w:rsidP="003D7031">
      <w:pPr>
        <w:rPr>
          <w:rFonts w:cs="Arial"/>
        </w:rPr>
      </w:pPr>
      <w:r w:rsidRPr="00111DC0">
        <w:rPr>
          <w:rFonts w:cs="Arial"/>
        </w:rPr>
        <w:t xml:space="preserve">En el artículo 20 la </w:t>
      </w:r>
      <w:r w:rsidRPr="00111DC0">
        <w:rPr>
          <w:rFonts w:cs="Arial"/>
          <w:i/>
          <w:iCs/>
          <w:color w:val="78BE20"/>
        </w:rPr>
        <w:t>ley orgánica 3/2007</w:t>
      </w:r>
      <w:r w:rsidRPr="00111DC0">
        <w:rPr>
          <w:rFonts w:cs="Arial"/>
        </w:rPr>
        <w:t xml:space="preserve"> recoge la adecuación de las estadísticas y estudios para hacer efectiva la integración de la perspectiva de género </w:t>
      </w:r>
      <w:r w:rsidR="00AE63C3" w:rsidRPr="00111DC0">
        <w:rPr>
          <w:rFonts w:cs="Arial"/>
        </w:rPr>
        <w:t>en la actividad ordinaria de l</w:t>
      </w:r>
      <w:r w:rsidR="009E3458" w:rsidRPr="00111DC0">
        <w:rPr>
          <w:rFonts w:cs="Arial"/>
        </w:rPr>
        <w:t>os poderes</w:t>
      </w:r>
      <w:r w:rsidR="00AE63C3" w:rsidRPr="00111DC0">
        <w:rPr>
          <w:rFonts w:cs="Arial"/>
        </w:rPr>
        <w:t xml:space="preserve"> públic</w:t>
      </w:r>
      <w:r w:rsidR="009E3458" w:rsidRPr="00111DC0">
        <w:rPr>
          <w:rFonts w:cs="Arial"/>
        </w:rPr>
        <w:t>o</w:t>
      </w:r>
      <w:r w:rsidR="00AE63C3" w:rsidRPr="00111DC0">
        <w:rPr>
          <w:rFonts w:cs="Arial"/>
        </w:rPr>
        <w:t>s</w:t>
      </w:r>
      <w:r w:rsidRPr="00111DC0">
        <w:rPr>
          <w:rFonts w:cs="Arial"/>
        </w:rPr>
        <w:t>. El mandato notifica que</w:t>
      </w:r>
      <w:r w:rsidR="00AE63C3" w:rsidRPr="00111DC0">
        <w:rPr>
          <w:rFonts w:cs="Arial"/>
        </w:rPr>
        <w:t xml:space="preserve"> se deberá incluir sistemáticamente la </w:t>
      </w:r>
      <w:r w:rsidR="00714846" w:rsidRPr="00111DC0">
        <w:rPr>
          <w:rFonts w:cs="Arial"/>
        </w:rPr>
        <w:t>variable</w:t>
      </w:r>
      <w:r w:rsidR="00AE63C3" w:rsidRPr="00111DC0">
        <w:rPr>
          <w:rFonts w:cs="Arial"/>
        </w:rPr>
        <w:t xml:space="preserve"> sexo en las estadísticas, encuestas y diferentes fuentes de </w:t>
      </w:r>
      <w:r w:rsidR="00714846" w:rsidRPr="00111DC0">
        <w:rPr>
          <w:rFonts w:cs="Arial"/>
        </w:rPr>
        <w:t>recogida</w:t>
      </w:r>
      <w:r w:rsidR="00AE63C3" w:rsidRPr="00111DC0">
        <w:rPr>
          <w:rFonts w:cs="Arial"/>
        </w:rPr>
        <w:t xml:space="preserve"> de datos. </w:t>
      </w:r>
      <w:r w:rsidR="00FA13FC" w:rsidRPr="00111DC0">
        <w:rPr>
          <w:rFonts w:cs="Arial"/>
        </w:rPr>
        <w:t>Además</w:t>
      </w:r>
      <w:r w:rsidR="00AE63C3" w:rsidRPr="00111DC0">
        <w:rPr>
          <w:rFonts w:cs="Arial"/>
        </w:rPr>
        <w:t xml:space="preserve">, se deberán introducir y diseñar nuevos indicadores </w:t>
      </w:r>
      <w:r w:rsidR="00714846" w:rsidRPr="00111DC0">
        <w:rPr>
          <w:rFonts w:cs="Arial"/>
        </w:rPr>
        <w:t>necesarios</w:t>
      </w:r>
      <w:r w:rsidR="00AE63C3" w:rsidRPr="00111DC0">
        <w:rPr>
          <w:rFonts w:cs="Arial"/>
        </w:rPr>
        <w:t xml:space="preserve"> para conocer la realidad desde la perspectiva de </w:t>
      </w:r>
      <w:r w:rsidR="00832653" w:rsidRPr="00111DC0">
        <w:rPr>
          <w:rFonts w:cs="Arial"/>
        </w:rPr>
        <w:t>género,</w:t>
      </w:r>
      <w:r w:rsidR="00AE63C3" w:rsidRPr="00111DC0">
        <w:rPr>
          <w:rFonts w:cs="Arial"/>
        </w:rPr>
        <w:t xml:space="preserve"> </w:t>
      </w:r>
      <w:r w:rsidR="00714846" w:rsidRPr="00111DC0">
        <w:rPr>
          <w:rFonts w:cs="Arial"/>
        </w:rPr>
        <w:t xml:space="preserve">así como adecuar las definiciones estadísticas cuando sea necesario. </w:t>
      </w:r>
    </w:p>
    <w:p w14:paraId="0AC8D41C" w14:textId="4228365D" w:rsidR="00403455" w:rsidRDefault="00714846" w:rsidP="00F1556A">
      <w:pPr>
        <w:rPr>
          <w:rFonts w:cs="Arial"/>
        </w:rPr>
      </w:pPr>
      <w:r w:rsidRPr="00580E87">
        <w:rPr>
          <w:rFonts w:cs="Arial"/>
        </w:rPr>
        <w:t xml:space="preserve">La Administración de La Rioja </w:t>
      </w:r>
      <w:r w:rsidR="00A26B7F" w:rsidRPr="00580E87">
        <w:rPr>
          <w:rFonts w:cs="Arial"/>
        </w:rPr>
        <w:t>cumple con este mandato</w:t>
      </w:r>
      <w:r w:rsidR="00C041B4" w:rsidRPr="00580E87">
        <w:rPr>
          <w:rFonts w:cs="Arial"/>
        </w:rPr>
        <w:t xml:space="preserve"> por medio de diferentes acciones,</w:t>
      </w:r>
      <w:r w:rsidR="00C041B4">
        <w:rPr>
          <w:rFonts w:cs="Arial"/>
          <w:b/>
          <w:bCs/>
        </w:rPr>
        <w:t xml:space="preserve"> </w:t>
      </w:r>
      <w:r w:rsidR="00C041B4">
        <w:rPr>
          <w:rFonts w:cs="Arial"/>
        </w:rPr>
        <w:t xml:space="preserve">como el </w:t>
      </w:r>
      <w:r w:rsidRPr="00111DC0">
        <w:rPr>
          <w:rFonts w:cs="Arial"/>
        </w:rPr>
        <w:t>índice de igualdad de género</w:t>
      </w:r>
      <w:r w:rsidR="00C041B4">
        <w:rPr>
          <w:rFonts w:cs="Arial"/>
        </w:rPr>
        <w:t xml:space="preserve"> o la </w:t>
      </w:r>
      <w:r w:rsidRPr="00111DC0">
        <w:rPr>
          <w:rFonts w:cs="Arial"/>
        </w:rPr>
        <w:t xml:space="preserve">extensa batería </w:t>
      </w:r>
      <w:r w:rsidR="00A26B7F" w:rsidRPr="00111DC0">
        <w:rPr>
          <w:rFonts w:cs="Arial"/>
        </w:rPr>
        <w:t>d</w:t>
      </w:r>
      <w:r w:rsidRPr="00111DC0">
        <w:rPr>
          <w:rFonts w:cs="Arial"/>
        </w:rPr>
        <w:t xml:space="preserve">e indicadores de igualdad </w:t>
      </w:r>
      <w:r w:rsidR="00C041B4">
        <w:rPr>
          <w:rFonts w:cs="Arial"/>
        </w:rPr>
        <w:t>sobre</w:t>
      </w:r>
      <w:r w:rsidRPr="00111DC0">
        <w:rPr>
          <w:rFonts w:cs="Arial"/>
        </w:rPr>
        <w:t xml:space="preserve"> la realidad riojana</w:t>
      </w:r>
      <w:r w:rsidR="005A3B48" w:rsidRPr="00111DC0">
        <w:rPr>
          <w:rFonts w:cs="Arial"/>
        </w:rPr>
        <w:t xml:space="preserve">. </w:t>
      </w:r>
      <w:r w:rsidRPr="00111DC0">
        <w:rPr>
          <w:rFonts w:cs="Arial"/>
        </w:rPr>
        <w:t xml:space="preserve">Por tanto, y </w:t>
      </w:r>
      <w:r w:rsidRPr="00111DC0">
        <w:rPr>
          <w:rFonts w:cs="Arial"/>
          <w:b/>
          <w:bCs/>
        </w:rPr>
        <w:t>aun</w:t>
      </w:r>
      <w:r w:rsidR="00105732" w:rsidRPr="00111DC0">
        <w:rPr>
          <w:rFonts w:cs="Arial"/>
          <w:b/>
          <w:bCs/>
        </w:rPr>
        <w:t>que</w:t>
      </w:r>
      <w:r w:rsidRPr="00111DC0">
        <w:rPr>
          <w:rFonts w:cs="Arial"/>
          <w:b/>
          <w:bCs/>
        </w:rPr>
        <w:t xml:space="preserve"> todavía </w:t>
      </w:r>
      <w:r w:rsidR="00105732" w:rsidRPr="00111DC0">
        <w:rPr>
          <w:rFonts w:cs="Arial"/>
          <w:b/>
          <w:bCs/>
        </w:rPr>
        <w:t xml:space="preserve">haya </w:t>
      </w:r>
      <w:r w:rsidRPr="00111DC0">
        <w:rPr>
          <w:rFonts w:cs="Arial"/>
          <w:b/>
          <w:bCs/>
        </w:rPr>
        <w:t>fuentes o formularios que deb</w:t>
      </w:r>
      <w:r w:rsidR="00105732" w:rsidRPr="00111DC0">
        <w:rPr>
          <w:rFonts w:cs="Arial"/>
          <w:b/>
          <w:bCs/>
        </w:rPr>
        <w:t>a</w:t>
      </w:r>
      <w:r w:rsidRPr="00111DC0">
        <w:rPr>
          <w:rFonts w:cs="Arial"/>
          <w:b/>
          <w:bCs/>
        </w:rPr>
        <w:t xml:space="preserve">n ser adaptados, </w:t>
      </w:r>
      <w:r w:rsidR="003F1736" w:rsidRPr="00111DC0">
        <w:rPr>
          <w:rFonts w:cs="Arial"/>
          <w:b/>
          <w:bCs/>
        </w:rPr>
        <w:t>s</w:t>
      </w:r>
      <w:r w:rsidRPr="00111DC0">
        <w:rPr>
          <w:rFonts w:cs="Arial"/>
          <w:b/>
          <w:bCs/>
        </w:rPr>
        <w:t xml:space="preserve">e considera que la Administración </w:t>
      </w:r>
      <w:r w:rsidR="00580F94" w:rsidRPr="00111DC0">
        <w:rPr>
          <w:rFonts w:cs="Arial"/>
          <w:b/>
          <w:bCs/>
        </w:rPr>
        <w:t>G</w:t>
      </w:r>
      <w:r w:rsidRPr="00111DC0">
        <w:rPr>
          <w:rFonts w:cs="Arial"/>
          <w:b/>
          <w:bCs/>
        </w:rPr>
        <w:t>eneral ha avanzado considerablemente en el cumplimiento de este mandato de igualdad.</w:t>
      </w:r>
      <w:r w:rsidRPr="00111DC0">
        <w:rPr>
          <w:rFonts w:cs="Arial"/>
        </w:rPr>
        <w:t xml:space="preserve">   </w:t>
      </w:r>
      <w:r w:rsidR="00403455">
        <w:rPr>
          <w:rFonts w:cs="Arial"/>
        </w:rPr>
        <w:br w:type="page"/>
      </w:r>
    </w:p>
    <w:p w14:paraId="73246824" w14:textId="0ED49A68" w:rsidR="005A1078" w:rsidRPr="00111DC0" w:rsidRDefault="005B4BC3" w:rsidP="004B6A1B">
      <w:pPr>
        <w:pStyle w:val="Ttulo3"/>
        <w:rPr>
          <w:rFonts w:cs="Arial"/>
        </w:rPr>
      </w:pPr>
      <w:r w:rsidRPr="00111DC0">
        <w:rPr>
          <w:rFonts w:cs="Arial"/>
        </w:rPr>
        <w:t>Conclusiones</w:t>
      </w:r>
    </w:p>
    <w:p w14:paraId="43125EDB" w14:textId="227863CF" w:rsidR="005B4BC3" w:rsidRPr="00111DC0" w:rsidRDefault="002C6925" w:rsidP="00DE69A1">
      <w:pPr>
        <w:pStyle w:val="Ttulo4"/>
        <w:rPr>
          <w:rFonts w:cs="Arial"/>
        </w:rPr>
      </w:pPr>
      <w:r w:rsidRPr="00111DC0">
        <w:rPr>
          <w:rFonts w:cs="Arial"/>
        </w:rPr>
        <w:t>Fortalezas</w:t>
      </w:r>
    </w:p>
    <w:p w14:paraId="0FC3EFA7" w14:textId="2F575698" w:rsidR="00B16B4B" w:rsidRPr="00111DC0" w:rsidRDefault="00B16B4B" w:rsidP="00B16B4B">
      <w:pPr>
        <w:rPr>
          <w:rFonts w:cs="Arial"/>
        </w:rPr>
      </w:pPr>
      <w:r w:rsidRPr="00111DC0">
        <w:rPr>
          <w:rFonts w:cs="Arial"/>
          <w:noProof/>
          <w:sz w:val="20"/>
          <w:szCs w:val="18"/>
          <w:lang w:eastAsia="es-ES"/>
        </w:rPr>
        <w:drawing>
          <wp:inline distT="0" distB="0" distL="0" distR="0" wp14:anchorId="05202730" wp14:editId="7211AA30">
            <wp:extent cx="299923" cy="299923"/>
            <wp:effectExtent l="0" t="0" r="0" b="0"/>
            <wp:docPr id="64" name="Gráfico 64"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00F10288" w:rsidRPr="00111DC0">
        <w:rPr>
          <w:rFonts w:cs="Arial"/>
        </w:rPr>
        <w:t xml:space="preserve"> </w:t>
      </w:r>
      <w:r w:rsidRPr="00580E87">
        <w:rPr>
          <w:rFonts w:cs="Arial"/>
          <w:b/>
          <w:bCs/>
        </w:rPr>
        <w:t>En los dos últimos años se ha avanzado considerablemente en el cumplimiento del mandato de uso de lenguaje no sexista</w:t>
      </w:r>
      <w:r w:rsidRPr="00111DC0">
        <w:rPr>
          <w:rFonts w:cs="Arial"/>
        </w:rPr>
        <w:t xml:space="preserve"> en la práctica administrativa, por medio de la publicación de una guía específica y la impartición de formación en la materia. </w:t>
      </w:r>
    </w:p>
    <w:p w14:paraId="7EE5BF2F" w14:textId="3A470D54" w:rsidR="00B16B4B" w:rsidRPr="00111DC0" w:rsidRDefault="00B16B4B" w:rsidP="00B16B4B">
      <w:pPr>
        <w:rPr>
          <w:rFonts w:cs="Arial"/>
        </w:rPr>
      </w:pPr>
      <w:r w:rsidRPr="00111DC0">
        <w:rPr>
          <w:rFonts w:cs="Arial"/>
          <w:noProof/>
          <w:sz w:val="20"/>
          <w:szCs w:val="18"/>
          <w:lang w:eastAsia="es-ES"/>
        </w:rPr>
        <w:drawing>
          <wp:inline distT="0" distB="0" distL="0" distR="0" wp14:anchorId="7164E2D5" wp14:editId="465EEA15">
            <wp:extent cx="299923" cy="299923"/>
            <wp:effectExtent l="0" t="0" r="0" b="0"/>
            <wp:docPr id="69" name="Gráfico 69"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00F10288" w:rsidRPr="00111DC0">
        <w:rPr>
          <w:rFonts w:cs="Arial"/>
        </w:rPr>
        <w:t xml:space="preserve"> </w:t>
      </w:r>
      <w:r w:rsidRPr="00580E87">
        <w:rPr>
          <w:rFonts w:cs="Arial"/>
          <w:b/>
          <w:bCs/>
        </w:rPr>
        <w:t>En la mayor parte de los centros directivos existe personal comprometido con la igualdad</w:t>
      </w:r>
      <w:r w:rsidRPr="00111DC0">
        <w:rPr>
          <w:rFonts w:cs="Arial"/>
        </w:rPr>
        <w:t xml:space="preserve"> que, respondiendo a directrices de mandos superiores, y aún a falta de una identidad orgánica estable o autónoma, asume la función de cumplir con el principio de igualdad empleando sus conocimientos y los instrumentos de la transversalidad de género, como los Informes de Evaluación del Impacto de Género, aunque ni siquiera exista una regulación propia en La Rioja.</w:t>
      </w:r>
    </w:p>
    <w:p w14:paraId="44E3B2D7" w14:textId="3CCE1C57" w:rsidR="00B16B4B" w:rsidRPr="00111DC0" w:rsidRDefault="00B16B4B" w:rsidP="00B16B4B">
      <w:pPr>
        <w:rPr>
          <w:rFonts w:cs="Arial"/>
        </w:rPr>
      </w:pPr>
      <w:r w:rsidRPr="00111DC0">
        <w:rPr>
          <w:rFonts w:cs="Arial"/>
          <w:noProof/>
          <w:sz w:val="20"/>
          <w:szCs w:val="18"/>
          <w:lang w:eastAsia="es-ES"/>
        </w:rPr>
        <w:drawing>
          <wp:inline distT="0" distB="0" distL="0" distR="0" wp14:anchorId="40FDCDF4" wp14:editId="63D2D910">
            <wp:extent cx="299923" cy="299923"/>
            <wp:effectExtent l="0" t="0" r="0" b="0"/>
            <wp:docPr id="71" name="Gráfico 71"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00F10288" w:rsidRPr="00111DC0">
        <w:rPr>
          <w:rFonts w:cs="Arial"/>
        </w:rPr>
        <w:t xml:space="preserve"> </w:t>
      </w:r>
      <w:r w:rsidRPr="00580E87">
        <w:rPr>
          <w:rFonts w:cs="Arial"/>
          <w:b/>
          <w:bCs/>
        </w:rPr>
        <w:t>La Administración General aplica medidas de acción positiva</w:t>
      </w:r>
      <w:r w:rsidRPr="00111DC0">
        <w:rPr>
          <w:rFonts w:cs="Arial"/>
        </w:rPr>
        <w:t xml:space="preserve"> hacia mujeres por medio de sus políticas sectoriales.</w:t>
      </w:r>
    </w:p>
    <w:p w14:paraId="69DA97FE" w14:textId="2DF21460" w:rsidR="00F10288" w:rsidRPr="00111DC0" w:rsidRDefault="00B16B4B" w:rsidP="00F10288">
      <w:pPr>
        <w:rPr>
          <w:rFonts w:cs="Arial"/>
        </w:rPr>
      </w:pPr>
      <w:r w:rsidRPr="00111DC0">
        <w:rPr>
          <w:rFonts w:cs="Arial"/>
          <w:noProof/>
          <w:sz w:val="20"/>
          <w:szCs w:val="18"/>
          <w:lang w:eastAsia="es-ES"/>
        </w:rPr>
        <w:drawing>
          <wp:inline distT="0" distB="0" distL="0" distR="0" wp14:anchorId="315A1F9E" wp14:editId="697BB867">
            <wp:extent cx="299923" cy="299923"/>
            <wp:effectExtent l="0" t="0" r="0" b="0"/>
            <wp:docPr id="77" name="Gráfico 77"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00F10288" w:rsidRPr="00111DC0">
        <w:rPr>
          <w:rFonts w:cs="Arial"/>
        </w:rPr>
        <w:t xml:space="preserve"> </w:t>
      </w:r>
      <w:r w:rsidRPr="00580E87">
        <w:rPr>
          <w:rFonts w:cs="Arial"/>
          <w:b/>
          <w:bCs/>
        </w:rPr>
        <w:t>La Administración General ha realizado significativos avances en integración de la perspectiva de género en los datos y estadísticas</w:t>
      </w:r>
      <w:r w:rsidRPr="00111DC0">
        <w:rPr>
          <w:rFonts w:cs="Arial"/>
        </w:rPr>
        <w:t>, contando con el índice de igualdad de género de La Rioja, una extensa batería de indicadores de igualdad y la publicación “Mujeres y Hombres en La Rioja”.</w:t>
      </w:r>
    </w:p>
    <w:p w14:paraId="3133DF6F" w14:textId="77777777" w:rsidR="00F10288" w:rsidRPr="00111DC0" w:rsidRDefault="00F10288">
      <w:pPr>
        <w:spacing w:before="0" w:after="160" w:line="259" w:lineRule="auto"/>
        <w:jc w:val="left"/>
        <w:rPr>
          <w:rFonts w:cs="Arial"/>
        </w:rPr>
      </w:pPr>
      <w:r w:rsidRPr="00111DC0">
        <w:rPr>
          <w:rFonts w:cs="Arial"/>
        </w:rPr>
        <w:br w:type="page"/>
      </w:r>
    </w:p>
    <w:p w14:paraId="1F42E15A" w14:textId="2C18D608" w:rsidR="00B16B4B" w:rsidRPr="00111DC0" w:rsidRDefault="00B16B4B" w:rsidP="00DE69A1">
      <w:pPr>
        <w:pStyle w:val="Ttulo4"/>
        <w:rPr>
          <w:rFonts w:cs="Arial"/>
        </w:rPr>
      </w:pPr>
      <w:r w:rsidRPr="00111DC0">
        <w:rPr>
          <w:rFonts w:cs="Arial"/>
        </w:rPr>
        <w:t>Áreas de mejora</w:t>
      </w:r>
    </w:p>
    <w:p w14:paraId="2D10F27B" w14:textId="00610AB5" w:rsidR="00F10288" w:rsidRPr="00111DC0" w:rsidRDefault="00B16B4B" w:rsidP="00AD4A55">
      <w:pPr>
        <w:rPr>
          <w:rFonts w:cs="Arial"/>
        </w:rPr>
      </w:pPr>
      <w:r w:rsidRPr="00111DC0">
        <w:rPr>
          <w:rFonts w:cs="Arial"/>
          <w:noProof/>
          <w:sz w:val="20"/>
          <w:szCs w:val="18"/>
          <w:lang w:eastAsia="es-ES"/>
        </w:rPr>
        <w:drawing>
          <wp:inline distT="0" distB="0" distL="0" distR="0" wp14:anchorId="2DB7EDD7" wp14:editId="4E1400D5">
            <wp:extent cx="277978" cy="277978"/>
            <wp:effectExtent l="0" t="0" r="0" b="0"/>
            <wp:docPr id="79" name="Gráfico 79"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00F10288" w:rsidRPr="00111DC0">
        <w:rPr>
          <w:rFonts w:cs="Arial"/>
        </w:rPr>
        <w:t xml:space="preserve"> 1 </w:t>
      </w:r>
      <w:r w:rsidR="00F10288" w:rsidRPr="00580E87">
        <w:rPr>
          <w:rFonts w:cs="Arial"/>
          <w:b/>
          <w:bCs/>
        </w:rPr>
        <w:t>- Se identifica la necesidad de profundizar en la sensibilización del personal</w:t>
      </w:r>
      <w:r w:rsidR="00F10288" w:rsidRPr="00111DC0">
        <w:rPr>
          <w:rFonts w:cs="Arial"/>
        </w:rPr>
        <w:t xml:space="preserve"> público en materia de igualdad entre mujeres y hombres y de informar profusamente sobre los resultados del Diagnóstico y los objetivos y medidas del Plan de Igualdad. </w:t>
      </w:r>
    </w:p>
    <w:p w14:paraId="1865FD76" w14:textId="38B48694" w:rsidR="00F10288" w:rsidRPr="00111DC0" w:rsidRDefault="00F10288" w:rsidP="00F10288">
      <w:pPr>
        <w:rPr>
          <w:rFonts w:cs="Arial"/>
        </w:rPr>
      </w:pPr>
      <w:r w:rsidRPr="00111DC0">
        <w:rPr>
          <w:rFonts w:cs="Arial"/>
          <w:noProof/>
          <w:sz w:val="20"/>
          <w:szCs w:val="18"/>
          <w:lang w:eastAsia="es-ES"/>
        </w:rPr>
        <w:drawing>
          <wp:inline distT="0" distB="0" distL="0" distR="0" wp14:anchorId="19A5A5D3" wp14:editId="02D75AA9">
            <wp:extent cx="277978" cy="277978"/>
            <wp:effectExtent l="0" t="0" r="0" b="0"/>
            <wp:docPr id="82" name="Gráfico 82"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2 </w:t>
      </w:r>
      <w:r w:rsidRPr="00580E87">
        <w:rPr>
          <w:rFonts w:cs="Arial"/>
          <w:b/>
          <w:bCs/>
        </w:rPr>
        <w:t>- Es necesario seguir trabajando en la sistematización y plena integración del lenguaje no sexista</w:t>
      </w:r>
      <w:r w:rsidRPr="00111DC0">
        <w:rPr>
          <w:rFonts w:cs="Arial"/>
        </w:rPr>
        <w:t xml:space="preserve"> en la actividad rutinaria administrativa, pues el hecho de contar con una guía orientativa no conlleva automáticamente la utilización de lenguaje no sexista en la práctica administrativa.</w:t>
      </w:r>
    </w:p>
    <w:p w14:paraId="009B9DDB" w14:textId="403308E3" w:rsidR="00F10288" w:rsidRPr="00111DC0" w:rsidRDefault="00F10288" w:rsidP="00F10288">
      <w:pPr>
        <w:rPr>
          <w:rFonts w:cs="Arial"/>
        </w:rPr>
      </w:pPr>
      <w:r w:rsidRPr="00111DC0">
        <w:rPr>
          <w:rFonts w:cs="Arial"/>
          <w:noProof/>
          <w:sz w:val="20"/>
          <w:szCs w:val="18"/>
          <w:lang w:eastAsia="es-ES"/>
        </w:rPr>
        <w:drawing>
          <wp:inline distT="0" distB="0" distL="0" distR="0" wp14:anchorId="55D942C2" wp14:editId="0AE2E4BF">
            <wp:extent cx="277978" cy="277978"/>
            <wp:effectExtent l="0" t="0" r="0" b="0"/>
            <wp:docPr id="83" name="Gráfico 83"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3 </w:t>
      </w:r>
      <w:r w:rsidRPr="00580E87">
        <w:rPr>
          <w:rFonts w:cs="Arial"/>
          <w:b/>
          <w:bCs/>
        </w:rPr>
        <w:t>-</w:t>
      </w:r>
      <w:r w:rsidRPr="00111DC0">
        <w:rPr>
          <w:rFonts w:cs="Arial"/>
        </w:rPr>
        <w:t xml:space="preserve"> </w:t>
      </w:r>
      <w:r w:rsidRPr="00580E87">
        <w:rPr>
          <w:rFonts w:cs="Arial"/>
          <w:b/>
          <w:bCs/>
        </w:rPr>
        <w:t xml:space="preserve">El cumplimiento del mandato sobre elaboración de informes de impacto de género </w:t>
      </w:r>
      <w:r w:rsidRPr="00580E87">
        <w:rPr>
          <w:rFonts w:cs="Arial"/>
          <w:b/>
          <w:bCs/>
          <w:i/>
          <w:iCs/>
        </w:rPr>
        <w:t>ex – ante</w:t>
      </w:r>
      <w:r w:rsidRPr="00580E87">
        <w:rPr>
          <w:rFonts w:cs="Arial"/>
          <w:b/>
          <w:bCs/>
        </w:rPr>
        <w:t xml:space="preserve"> de la normativa se establece de manera irregular</w:t>
      </w:r>
      <w:r w:rsidRPr="00111DC0">
        <w:rPr>
          <w:rFonts w:cs="Arial"/>
        </w:rPr>
        <w:t xml:space="preserve"> entre las diferentes Consejerías, por lo que es necesario regular su procedimiento con un método propio de la Administración General de La Rioja.</w:t>
      </w:r>
    </w:p>
    <w:p w14:paraId="00E8CFC0" w14:textId="2882BF72" w:rsidR="00F10288" w:rsidRPr="00111DC0" w:rsidRDefault="00F10288" w:rsidP="00F10288">
      <w:pPr>
        <w:rPr>
          <w:rFonts w:cs="Arial"/>
        </w:rPr>
      </w:pPr>
      <w:r w:rsidRPr="00111DC0">
        <w:rPr>
          <w:rFonts w:cs="Arial"/>
          <w:noProof/>
          <w:sz w:val="20"/>
          <w:szCs w:val="18"/>
          <w:lang w:eastAsia="es-ES"/>
        </w:rPr>
        <w:drawing>
          <wp:inline distT="0" distB="0" distL="0" distR="0" wp14:anchorId="0CB8DF03" wp14:editId="2B5035A1">
            <wp:extent cx="277978" cy="277978"/>
            <wp:effectExtent l="0" t="0" r="0" b="0"/>
            <wp:docPr id="86" name="Gráfico 86"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4 </w:t>
      </w:r>
      <w:r w:rsidRPr="00580E87">
        <w:rPr>
          <w:rFonts w:cs="Arial"/>
          <w:b/>
          <w:bCs/>
        </w:rPr>
        <w:t>-</w:t>
      </w:r>
      <w:r w:rsidR="00580E87">
        <w:rPr>
          <w:rFonts w:cs="Arial"/>
        </w:rPr>
        <w:t xml:space="preserve"> </w:t>
      </w:r>
      <w:r w:rsidR="00580E87" w:rsidRPr="00580E87">
        <w:rPr>
          <w:rFonts w:cs="Arial"/>
          <w:b/>
          <w:bCs/>
        </w:rPr>
        <w:t>S</w:t>
      </w:r>
      <w:r w:rsidRPr="00580E87">
        <w:rPr>
          <w:rFonts w:cs="Arial"/>
          <w:b/>
          <w:bCs/>
        </w:rPr>
        <w:t>e vuelve imperativo cumplir con el artículo 55</w:t>
      </w:r>
      <w:r w:rsidRPr="00111DC0">
        <w:rPr>
          <w:rFonts w:cs="Arial"/>
        </w:rPr>
        <w:t xml:space="preserve"> de la ley orgánica de igualdad y acompañar con un informe de impacto de género la aprobación de convocatorias de pruebas selectivas para el acceso al empleo público.</w:t>
      </w:r>
    </w:p>
    <w:p w14:paraId="18DDAD80" w14:textId="5D7616C1" w:rsidR="00F10288" w:rsidRPr="00111DC0" w:rsidRDefault="00F10288" w:rsidP="00F10288">
      <w:pPr>
        <w:rPr>
          <w:rFonts w:cs="Arial"/>
        </w:rPr>
      </w:pPr>
      <w:r w:rsidRPr="00111DC0">
        <w:rPr>
          <w:rFonts w:cs="Arial"/>
          <w:noProof/>
          <w:sz w:val="20"/>
          <w:szCs w:val="18"/>
          <w:lang w:eastAsia="es-ES"/>
        </w:rPr>
        <w:drawing>
          <wp:inline distT="0" distB="0" distL="0" distR="0" wp14:anchorId="6D2956E8" wp14:editId="65F7F1EC">
            <wp:extent cx="277978" cy="277978"/>
            <wp:effectExtent l="0" t="0" r="0" b="0"/>
            <wp:docPr id="87" name="Gráfico 87"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5 </w:t>
      </w:r>
      <w:r w:rsidRPr="00580E87">
        <w:rPr>
          <w:rFonts w:cs="Arial"/>
          <w:b/>
          <w:bCs/>
        </w:rPr>
        <w:t>- No existen Unidades de Igualdad en las Consejerías</w:t>
      </w:r>
      <w:r w:rsidRPr="00111DC0">
        <w:rPr>
          <w:rFonts w:cs="Arial"/>
        </w:rPr>
        <w:t xml:space="preserve"> que puedan centralizar el cumplimiento de los mandatos de igualdad y garantizar adecuadamente la aplicación de la estrategia de la transversalidad de género por medio de sus instrumentos.</w:t>
      </w:r>
    </w:p>
    <w:p w14:paraId="1653BF89" w14:textId="7CDD7E4D" w:rsidR="00F10288" w:rsidRPr="00111DC0" w:rsidRDefault="00F10288" w:rsidP="00F10288">
      <w:pPr>
        <w:rPr>
          <w:rFonts w:cs="Arial"/>
        </w:rPr>
      </w:pPr>
      <w:r w:rsidRPr="00111DC0">
        <w:rPr>
          <w:rFonts w:cs="Arial"/>
          <w:noProof/>
          <w:sz w:val="20"/>
          <w:szCs w:val="18"/>
          <w:lang w:eastAsia="es-ES"/>
        </w:rPr>
        <w:drawing>
          <wp:inline distT="0" distB="0" distL="0" distR="0" wp14:anchorId="60DE4234" wp14:editId="499EABB1">
            <wp:extent cx="277978" cy="277978"/>
            <wp:effectExtent l="0" t="0" r="0" b="0"/>
            <wp:docPr id="88" name="Gráfico 88"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6 </w:t>
      </w:r>
      <w:r w:rsidRPr="00580E87">
        <w:rPr>
          <w:rFonts w:cs="Arial"/>
          <w:b/>
          <w:bCs/>
        </w:rPr>
        <w:t>- Utilizar medidas de acción positiva hacia empleadas públicas</w:t>
      </w:r>
      <w:r w:rsidRPr="00111DC0">
        <w:rPr>
          <w:rFonts w:cs="Arial"/>
        </w:rPr>
        <w:t xml:space="preserve"> siempre que se cumplan las condiciones de partida para su aplicación.</w:t>
      </w:r>
    </w:p>
    <w:p w14:paraId="4FD7B910" w14:textId="7E3328C7" w:rsidR="00B16B4B" w:rsidRPr="00111DC0" w:rsidRDefault="00B16B4B" w:rsidP="00B16B4B">
      <w:pPr>
        <w:rPr>
          <w:rFonts w:cs="Arial"/>
        </w:rPr>
      </w:pPr>
    </w:p>
    <w:p w14:paraId="0F46C5AD" w14:textId="77777777" w:rsidR="005A1078" w:rsidRPr="00111DC0" w:rsidRDefault="005A1078" w:rsidP="00350BA5">
      <w:pPr>
        <w:spacing w:after="0"/>
        <w:rPr>
          <w:rFonts w:cs="Arial"/>
        </w:rPr>
      </w:pPr>
    </w:p>
    <w:p w14:paraId="392E5098" w14:textId="77777777" w:rsidR="00F1556A" w:rsidRPr="00111DC0" w:rsidRDefault="00F1556A">
      <w:pPr>
        <w:spacing w:before="0" w:after="160" w:line="259" w:lineRule="auto"/>
        <w:jc w:val="left"/>
        <w:rPr>
          <w:rFonts w:eastAsiaTheme="majorEastAsia" w:cs="Arial"/>
          <w:iCs/>
          <w:snapToGrid w:val="0"/>
          <w:color w:val="78BE20"/>
          <w:sz w:val="30"/>
          <w:szCs w:val="28"/>
          <w:highlight w:val="lightGray"/>
        </w:rPr>
      </w:pPr>
      <w:r w:rsidRPr="00111DC0">
        <w:rPr>
          <w:rFonts w:cs="Arial"/>
          <w:highlight w:val="lightGray"/>
        </w:rPr>
        <w:br w:type="page"/>
      </w:r>
    </w:p>
    <w:p w14:paraId="1536E8CC" w14:textId="25491154" w:rsidR="00A67692" w:rsidRPr="00111DC0" w:rsidRDefault="00A67692" w:rsidP="00024B4E">
      <w:pPr>
        <w:pStyle w:val="Ttulo2"/>
      </w:pPr>
      <w:bookmarkStart w:id="13" w:name="_Toc122080789"/>
      <w:r w:rsidRPr="00111DC0">
        <w:t>Características de la plantilla</w:t>
      </w:r>
      <w:bookmarkEnd w:id="13"/>
    </w:p>
    <w:p w14:paraId="27846BC7" w14:textId="63EB9885" w:rsidR="00D45561" w:rsidRDefault="006E469D" w:rsidP="00DE77CB">
      <w:pPr>
        <w:rPr>
          <w:rFonts w:cs="Arial"/>
        </w:rPr>
      </w:pPr>
      <w:r w:rsidRPr="006E469D">
        <w:rPr>
          <w:rFonts w:cs="Arial"/>
          <w:b/>
          <w:bCs/>
        </w:rPr>
        <w:t>El perfil laboral mayoritario</w:t>
      </w:r>
      <w:r w:rsidRPr="00111DC0">
        <w:rPr>
          <w:rFonts w:cs="Arial"/>
        </w:rPr>
        <w:t xml:space="preserve"> </w:t>
      </w:r>
      <w:r>
        <w:rPr>
          <w:rFonts w:cs="Arial"/>
        </w:rPr>
        <w:t>e</w:t>
      </w:r>
      <w:r w:rsidR="00923D24" w:rsidRPr="00111DC0">
        <w:rPr>
          <w:rFonts w:cs="Arial"/>
        </w:rPr>
        <w:t xml:space="preserve">n </w:t>
      </w:r>
      <w:r w:rsidR="00D45561" w:rsidRPr="00111DC0">
        <w:rPr>
          <w:rFonts w:cs="Arial"/>
        </w:rPr>
        <w:t>los Servicios Generales es el de una mujer, entre los 46 a los 55 años, funcionaria de carrera</w:t>
      </w:r>
      <w:r w:rsidR="001B0747" w:rsidRPr="00111DC0">
        <w:rPr>
          <w:rFonts w:cs="Arial"/>
        </w:rPr>
        <w:t>,</w:t>
      </w:r>
      <w:r w:rsidR="00D45561" w:rsidRPr="00111DC0">
        <w:rPr>
          <w:rFonts w:cs="Arial"/>
        </w:rPr>
        <w:t xml:space="preserve"> con una antigüedad entre los 11 </w:t>
      </w:r>
      <w:r w:rsidR="001B0747" w:rsidRPr="00111DC0">
        <w:rPr>
          <w:rFonts w:cs="Arial"/>
        </w:rPr>
        <w:t xml:space="preserve">y </w:t>
      </w:r>
      <w:r w:rsidR="00D45561" w:rsidRPr="00111DC0">
        <w:rPr>
          <w:rFonts w:cs="Arial"/>
        </w:rPr>
        <w:t xml:space="preserve">los 20 años. Entre el </w:t>
      </w:r>
      <w:r w:rsidR="00832653" w:rsidRPr="00111DC0">
        <w:rPr>
          <w:rFonts w:cs="Arial"/>
        </w:rPr>
        <w:t>Personal Docente</w:t>
      </w:r>
      <w:r w:rsidR="00D45561" w:rsidRPr="00111DC0">
        <w:rPr>
          <w:rFonts w:cs="Arial"/>
        </w:rPr>
        <w:t xml:space="preserve">, también es el de una mujer, </w:t>
      </w:r>
      <w:r w:rsidR="00A12A06" w:rsidRPr="00111DC0">
        <w:rPr>
          <w:rFonts w:cs="Arial"/>
        </w:rPr>
        <w:t xml:space="preserve">igualmente </w:t>
      </w:r>
      <w:r w:rsidR="00D45561" w:rsidRPr="00111DC0">
        <w:rPr>
          <w:rFonts w:cs="Arial"/>
        </w:rPr>
        <w:t xml:space="preserve">funcionaria de carrera, pero en este caso con una edad comprendida entre los 36 y los 45 años y una antigüedad inferior a los 10 años. </w:t>
      </w:r>
    </w:p>
    <w:p w14:paraId="6D327124" w14:textId="59E684B1" w:rsidR="00607DB2" w:rsidRPr="00111DC0" w:rsidRDefault="00607DB2" w:rsidP="00DE77CB">
      <w:pPr>
        <w:rPr>
          <w:rFonts w:cs="Arial"/>
        </w:rPr>
      </w:pPr>
      <w:r>
        <w:rPr>
          <w:rFonts w:cs="Arial"/>
        </w:rPr>
        <w:t xml:space="preserve">Los siguientes apartados desgranan con más detalle las características de la plantilla.  </w:t>
      </w:r>
    </w:p>
    <w:p w14:paraId="2DE4B20B" w14:textId="7C2EC8CB" w:rsidR="00D45561" w:rsidRPr="00111DC0" w:rsidRDefault="00D45561" w:rsidP="002A47E6"/>
    <w:p w14:paraId="7FB1C796" w14:textId="4571A55F" w:rsidR="00F230D5" w:rsidRPr="00111DC0" w:rsidRDefault="00AD6FE3" w:rsidP="004B6A1B">
      <w:pPr>
        <w:pStyle w:val="Ttulo3"/>
        <w:rPr>
          <w:rFonts w:cs="Arial"/>
        </w:rPr>
      </w:pPr>
      <w:r w:rsidRPr="00111DC0">
        <w:rPr>
          <w:rFonts w:cs="Arial"/>
        </w:rPr>
        <w:t>Presencia por sexo</w:t>
      </w:r>
      <w:r w:rsidR="00E4102D" w:rsidRPr="00111DC0">
        <w:rPr>
          <w:rFonts w:cs="Arial"/>
        </w:rPr>
        <w:t>, y evolución</w:t>
      </w:r>
    </w:p>
    <w:p w14:paraId="6A9DED16" w14:textId="340DD71B" w:rsidR="00F50E74" w:rsidRPr="00111DC0" w:rsidRDefault="006E469D" w:rsidP="00575F0F">
      <w:pPr>
        <w:rPr>
          <w:rFonts w:cs="Arial"/>
          <w:b/>
          <w:bCs/>
        </w:rPr>
      </w:pPr>
      <w:r>
        <w:rPr>
          <w:rFonts w:cs="Arial"/>
        </w:rPr>
        <w:t>E</w:t>
      </w:r>
      <w:r w:rsidR="00896838" w:rsidRPr="00111DC0">
        <w:rPr>
          <w:rFonts w:cs="Arial"/>
        </w:rPr>
        <w:t xml:space="preserve">l conjunto del personal de la Administración General de la Comunidad Autónoma de La Rioja </w:t>
      </w:r>
      <w:r w:rsidR="00A74E1F" w:rsidRPr="00111DC0">
        <w:rPr>
          <w:rFonts w:cs="Arial"/>
        </w:rPr>
        <w:t xml:space="preserve">(Servicios Generales y </w:t>
      </w:r>
      <w:r w:rsidR="00832653" w:rsidRPr="00111DC0">
        <w:rPr>
          <w:rFonts w:cs="Arial"/>
        </w:rPr>
        <w:t>Personal Docente</w:t>
      </w:r>
      <w:r w:rsidR="00A74E1F" w:rsidRPr="00111DC0">
        <w:rPr>
          <w:rFonts w:cs="Arial"/>
        </w:rPr>
        <w:t xml:space="preserve">, excluido Justicia) </w:t>
      </w:r>
      <w:r w:rsidR="00896838" w:rsidRPr="00111DC0">
        <w:rPr>
          <w:rFonts w:cs="Arial"/>
          <w:b/>
          <w:bCs/>
        </w:rPr>
        <w:t>asciende a 7.912 personas. De ellas,</w:t>
      </w:r>
      <w:r w:rsidR="001D3F3F" w:rsidRPr="00111DC0">
        <w:rPr>
          <w:rFonts w:cs="Arial"/>
          <w:b/>
          <w:bCs/>
        </w:rPr>
        <w:t xml:space="preserve"> </w:t>
      </w:r>
      <w:r w:rsidR="0034058F" w:rsidRPr="00111DC0">
        <w:rPr>
          <w:rFonts w:cs="Arial"/>
          <w:b/>
          <w:bCs/>
        </w:rPr>
        <w:t>5.410</w:t>
      </w:r>
      <w:r w:rsidR="001D3F3F" w:rsidRPr="00111DC0">
        <w:rPr>
          <w:rFonts w:cs="Arial"/>
          <w:b/>
          <w:bCs/>
        </w:rPr>
        <w:t xml:space="preserve"> </w:t>
      </w:r>
      <w:r w:rsidR="0084352C" w:rsidRPr="00111DC0">
        <w:rPr>
          <w:rFonts w:cs="Arial"/>
          <w:b/>
          <w:bCs/>
        </w:rPr>
        <w:t xml:space="preserve">son </w:t>
      </w:r>
      <w:r w:rsidR="001D3F3F" w:rsidRPr="00111DC0">
        <w:rPr>
          <w:rFonts w:cs="Arial"/>
          <w:b/>
          <w:bCs/>
        </w:rPr>
        <w:t>m</w:t>
      </w:r>
      <w:r w:rsidR="00896838" w:rsidRPr="00111DC0">
        <w:rPr>
          <w:rFonts w:cs="Arial"/>
          <w:b/>
          <w:bCs/>
        </w:rPr>
        <w:t>ujeres</w:t>
      </w:r>
      <w:r w:rsidR="0084352C" w:rsidRPr="00111DC0">
        <w:rPr>
          <w:rFonts w:cs="Arial"/>
          <w:b/>
          <w:bCs/>
        </w:rPr>
        <w:t xml:space="preserve"> (68%</w:t>
      </w:r>
      <w:r w:rsidR="001D3F3F" w:rsidRPr="00111DC0">
        <w:rPr>
          <w:rFonts w:cs="Arial"/>
          <w:b/>
          <w:bCs/>
        </w:rPr>
        <w:t xml:space="preserve">). </w:t>
      </w:r>
    </w:p>
    <w:p w14:paraId="7AFB4673" w14:textId="3D46DB2C" w:rsidR="00F50E74" w:rsidRPr="00111DC0" w:rsidRDefault="00F50E74" w:rsidP="00A442AB">
      <w:r w:rsidRPr="00111DC0">
        <w:rPr>
          <w:noProof/>
          <w:shd w:val="clear" w:color="auto" w:fill="253746"/>
          <w:lang w:eastAsia="es-ES"/>
        </w:rPr>
        <w:drawing>
          <wp:inline distT="0" distB="0" distL="0" distR="0" wp14:anchorId="625307F1" wp14:editId="666E1683">
            <wp:extent cx="5349240" cy="2553419"/>
            <wp:effectExtent l="0" t="0" r="0" b="0"/>
            <wp:docPr id="5" name="Gráfico 5"/>
            <wp:cNvGraphicFramePr/>
            <a:graphic xmlns:a="http://schemas.openxmlformats.org/drawingml/2006/main">
              <a:graphicData uri="http://schemas.openxmlformats.org/drawingml/2006/chart">
                <c:chart xmlns:c="http://schemas.openxmlformats.org/drawingml/2006/chart" r:id="rId15"/>
              </a:graphicData>
            </a:graphic>
          </wp:inline>
        </w:drawing>
      </w:r>
    </w:p>
    <w:p w14:paraId="45F53659" w14:textId="5E4A0BF8" w:rsidR="00896838" w:rsidRPr="00111DC0" w:rsidRDefault="00896838" w:rsidP="00A442AB"/>
    <w:p w14:paraId="366DCA78" w14:textId="10045F92" w:rsidR="00607DB2" w:rsidRDefault="009D7826" w:rsidP="00A442AB">
      <w:pPr>
        <w:rPr>
          <w:rFonts w:cs="Arial"/>
          <w:b/>
          <w:bCs/>
        </w:rPr>
      </w:pPr>
      <w:r w:rsidRPr="00111DC0">
        <w:rPr>
          <w:rFonts w:cs="Arial"/>
        </w:rPr>
        <w:t xml:space="preserve">La presencia de empleadas está </w:t>
      </w:r>
      <w:r w:rsidR="0084352C" w:rsidRPr="00111DC0">
        <w:rPr>
          <w:rFonts w:cs="Arial"/>
        </w:rPr>
        <w:t xml:space="preserve">ocho puntos </w:t>
      </w:r>
      <w:r w:rsidRPr="00111DC0">
        <w:rPr>
          <w:rFonts w:cs="Arial"/>
        </w:rPr>
        <w:t xml:space="preserve">por encima del </w:t>
      </w:r>
      <w:r w:rsidR="00A12A06" w:rsidRPr="00111DC0">
        <w:rPr>
          <w:rFonts w:cs="Arial"/>
        </w:rPr>
        <w:t xml:space="preserve">umbral máximo </w:t>
      </w:r>
      <w:r w:rsidRPr="00111DC0">
        <w:rPr>
          <w:rFonts w:cs="Arial"/>
        </w:rPr>
        <w:t xml:space="preserve">de la </w:t>
      </w:r>
      <w:r w:rsidR="0084352C" w:rsidRPr="00111DC0">
        <w:rPr>
          <w:rFonts w:cs="Arial"/>
        </w:rPr>
        <w:t>composición</w:t>
      </w:r>
      <w:r w:rsidRPr="00111DC0">
        <w:rPr>
          <w:rFonts w:cs="Arial"/>
        </w:rPr>
        <w:t xml:space="preserve"> equilibrada</w:t>
      </w:r>
      <w:r w:rsidR="00A12A06" w:rsidRPr="00111DC0">
        <w:rPr>
          <w:rFonts w:cs="Arial"/>
        </w:rPr>
        <w:t xml:space="preserve"> </w:t>
      </w:r>
      <w:r w:rsidR="00607DB2">
        <w:rPr>
          <w:rFonts w:cs="Arial"/>
        </w:rPr>
        <w:t>(</w:t>
      </w:r>
      <w:r w:rsidRPr="00111DC0">
        <w:rPr>
          <w:rFonts w:cs="Arial"/>
        </w:rPr>
        <w:t>40%-60%</w:t>
      </w:r>
      <w:r w:rsidR="00607DB2">
        <w:rPr>
          <w:rFonts w:cs="Arial"/>
        </w:rPr>
        <w:t xml:space="preserve">), que señala la </w:t>
      </w:r>
      <w:r w:rsidRPr="00111DC0">
        <w:rPr>
          <w:rFonts w:cs="Arial"/>
          <w:b/>
          <w:bCs/>
        </w:rPr>
        <w:t>feminización de la plantilla</w:t>
      </w:r>
      <w:r w:rsidR="00607DB2">
        <w:rPr>
          <w:rFonts w:cs="Arial"/>
          <w:b/>
          <w:bCs/>
        </w:rPr>
        <w:t xml:space="preserve">, </w:t>
      </w:r>
      <w:r w:rsidR="002B45FC" w:rsidRPr="00111DC0">
        <w:rPr>
          <w:rFonts w:cs="Arial"/>
          <w:b/>
          <w:bCs/>
        </w:rPr>
        <w:t xml:space="preserve">tanto entre el personal de los Servicios Generales como entre el Personal Docente. </w:t>
      </w:r>
    </w:p>
    <w:p w14:paraId="6C04E718" w14:textId="2FF072B8" w:rsidR="001D3F3F" w:rsidRPr="00A442AB" w:rsidRDefault="00A442AB" w:rsidP="00A442AB">
      <w:pPr>
        <w:rPr>
          <w:rFonts w:cs="Arial"/>
          <w:b/>
          <w:bCs/>
        </w:rPr>
      </w:pPr>
      <w:r>
        <w:rPr>
          <w:rFonts w:cs="Arial"/>
          <w:b/>
          <w:bCs/>
        </w:rPr>
        <w:br w:type="page"/>
      </w:r>
      <w:r w:rsidR="001113DB" w:rsidRPr="00111DC0">
        <w:rPr>
          <w:rFonts w:cs="Arial"/>
          <w:noProof/>
          <w:lang w:eastAsia="es-ES"/>
        </w:rPr>
        <w:drawing>
          <wp:inline distT="0" distB="0" distL="0" distR="0" wp14:anchorId="34E81091" wp14:editId="077799DC">
            <wp:extent cx="5349240" cy="2529840"/>
            <wp:effectExtent l="0" t="0" r="0" b="0"/>
            <wp:docPr id="7" name="Gráfico 7"/>
            <wp:cNvGraphicFramePr/>
            <a:graphic xmlns:a="http://schemas.openxmlformats.org/drawingml/2006/main">
              <a:graphicData uri="http://schemas.openxmlformats.org/drawingml/2006/chart">
                <c:chart xmlns:c="http://schemas.openxmlformats.org/drawingml/2006/chart" r:id="rId16"/>
              </a:graphicData>
            </a:graphic>
          </wp:inline>
        </w:drawing>
      </w:r>
    </w:p>
    <w:p w14:paraId="1A94C43D" w14:textId="77777777" w:rsidR="00C3177C" w:rsidRPr="00111DC0" w:rsidRDefault="00C3177C" w:rsidP="00A442AB"/>
    <w:p w14:paraId="6C2785FD" w14:textId="5BCBE815" w:rsidR="00F37BB1" w:rsidRPr="00111DC0" w:rsidRDefault="00C5168F" w:rsidP="00DE77CB">
      <w:pPr>
        <w:rPr>
          <w:rFonts w:cs="Arial"/>
          <w:b/>
          <w:bCs/>
        </w:rPr>
      </w:pPr>
      <w:r>
        <w:rPr>
          <w:rFonts w:cs="Arial"/>
        </w:rPr>
        <w:t>E</w:t>
      </w:r>
      <w:r w:rsidR="0075486A" w:rsidRPr="00111DC0">
        <w:rPr>
          <w:rFonts w:cs="Arial"/>
        </w:rPr>
        <w:t xml:space="preserve">l </w:t>
      </w:r>
      <w:r w:rsidR="0065126D" w:rsidRPr="00111DC0">
        <w:rPr>
          <w:rFonts w:cs="Arial"/>
        </w:rPr>
        <w:t xml:space="preserve">número de </w:t>
      </w:r>
      <w:r w:rsidR="0075486A" w:rsidRPr="00111DC0">
        <w:rPr>
          <w:rFonts w:cs="Arial"/>
        </w:rPr>
        <w:t xml:space="preserve">personal </w:t>
      </w:r>
      <w:r w:rsidR="0065126D" w:rsidRPr="00111DC0">
        <w:rPr>
          <w:rFonts w:cs="Arial"/>
        </w:rPr>
        <w:t>en</w:t>
      </w:r>
      <w:r w:rsidR="0075486A" w:rsidRPr="00111DC0">
        <w:rPr>
          <w:rFonts w:cs="Arial"/>
        </w:rPr>
        <w:t xml:space="preserve"> los Servicios Generales como </w:t>
      </w:r>
      <w:r w:rsidR="0065126D" w:rsidRPr="00111DC0">
        <w:rPr>
          <w:rFonts w:cs="Arial"/>
        </w:rPr>
        <w:t xml:space="preserve">en </w:t>
      </w:r>
      <w:r w:rsidR="0075486A" w:rsidRPr="00111DC0">
        <w:rPr>
          <w:rFonts w:cs="Arial"/>
        </w:rPr>
        <w:t>el Personal Docente se ha incrementado entre los años 2017 y 2021 (4% en el primero y 15% en el segundo)</w:t>
      </w:r>
      <w:r>
        <w:rPr>
          <w:rFonts w:cs="Arial"/>
        </w:rPr>
        <w:t xml:space="preserve"> pero </w:t>
      </w:r>
      <w:r w:rsidR="0075486A" w:rsidRPr="00111DC0">
        <w:rPr>
          <w:rFonts w:cs="Arial"/>
          <w:b/>
          <w:bCs/>
        </w:rPr>
        <w:t>l</w:t>
      </w:r>
      <w:r w:rsidR="00E844BE" w:rsidRPr="00111DC0">
        <w:rPr>
          <w:rFonts w:cs="Arial"/>
          <w:b/>
          <w:bCs/>
        </w:rPr>
        <w:t>a mayor presencia femenina en la Administración riojana</w:t>
      </w:r>
      <w:r w:rsidR="0075486A" w:rsidRPr="00111DC0">
        <w:rPr>
          <w:rFonts w:cs="Arial"/>
          <w:b/>
          <w:bCs/>
        </w:rPr>
        <w:t xml:space="preserve"> </w:t>
      </w:r>
      <w:r w:rsidR="00E844BE" w:rsidRPr="00111DC0">
        <w:rPr>
          <w:rFonts w:cs="Arial"/>
          <w:b/>
          <w:bCs/>
        </w:rPr>
        <w:t xml:space="preserve">es una constante a lo largo de </w:t>
      </w:r>
      <w:r w:rsidR="0065126D" w:rsidRPr="00111DC0">
        <w:rPr>
          <w:rFonts w:cs="Arial"/>
          <w:b/>
          <w:bCs/>
        </w:rPr>
        <w:t>la evolución</w:t>
      </w:r>
      <w:r w:rsidR="00E844BE" w:rsidRPr="00111DC0">
        <w:rPr>
          <w:rFonts w:cs="Arial"/>
          <w:b/>
          <w:bCs/>
        </w:rPr>
        <w:t xml:space="preserve">, con variaciones menores. </w:t>
      </w:r>
    </w:p>
    <w:p w14:paraId="42106D6F" w14:textId="77777777" w:rsidR="00803E6D" w:rsidRPr="00111DC0" w:rsidRDefault="00E238C3" w:rsidP="00A442AB">
      <w:r w:rsidRPr="00111DC0">
        <w:t xml:space="preserve"> </w:t>
      </w:r>
      <w:r w:rsidR="00F37BB1" w:rsidRPr="00111DC0">
        <w:t xml:space="preserve"> </w:t>
      </w:r>
    </w:p>
    <w:p w14:paraId="47A7EA51" w14:textId="098B5A36" w:rsidR="00AD20DD" w:rsidRPr="00111DC0" w:rsidRDefault="00E15C73" w:rsidP="00A442AB">
      <w:r w:rsidRPr="00111DC0">
        <w:rPr>
          <w:noProof/>
          <w:lang w:eastAsia="es-ES"/>
        </w:rPr>
        <w:drawing>
          <wp:inline distT="0" distB="0" distL="0" distR="0" wp14:anchorId="522B2C34" wp14:editId="62416F89">
            <wp:extent cx="5349240" cy="2346960"/>
            <wp:effectExtent l="0" t="0" r="0" b="0"/>
            <wp:docPr id="8" name="Gráfico 8"/>
            <wp:cNvGraphicFramePr/>
            <a:graphic xmlns:a="http://schemas.openxmlformats.org/drawingml/2006/main">
              <a:graphicData uri="http://schemas.openxmlformats.org/drawingml/2006/chart">
                <c:chart xmlns:c="http://schemas.openxmlformats.org/drawingml/2006/chart" r:id="rId17"/>
              </a:graphicData>
            </a:graphic>
          </wp:inline>
        </w:drawing>
      </w:r>
    </w:p>
    <w:p w14:paraId="22C219BD" w14:textId="65DADA98" w:rsidR="0054444C" w:rsidRPr="00111DC0" w:rsidRDefault="00B24DB7" w:rsidP="00C3177C">
      <w:pPr>
        <w:rPr>
          <w:rFonts w:cs="Arial"/>
        </w:rPr>
      </w:pPr>
      <w:r w:rsidRPr="00111DC0">
        <w:rPr>
          <w:rFonts w:cs="Arial"/>
        </w:rPr>
        <w:br w:type="page"/>
      </w:r>
      <w:r w:rsidR="006061A5" w:rsidRPr="00111DC0">
        <w:rPr>
          <w:rFonts w:cs="Arial"/>
        </w:rPr>
        <w:t xml:space="preserve">Entre el </w:t>
      </w:r>
      <w:r w:rsidR="00832653" w:rsidRPr="00111DC0">
        <w:rPr>
          <w:rFonts w:cs="Arial"/>
        </w:rPr>
        <w:t>Personal Docente</w:t>
      </w:r>
      <w:r w:rsidR="0075486A" w:rsidRPr="00111DC0">
        <w:rPr>
          <w:rFonts w:cs="Arial"/>
        </w:rPr>
        <w:t xml:space="preserve">, </w:t>
      </w:r>
      <w:r w:rsidR="006C17F0" w:rsidRPr="00111DC0">
        <w:rPr>
          <w:rFonts w:cs="Arial"/>
        </w:rPr>
        <w:t xml:space="preserve">el </w:t>
      </w:r>
      <w:r w:rsidR="006061A5" w:rsidRPr="00111DC0">
        <w:rPr>
          <w:rFonts w:cs="Arial"/>
        </w:rPr>
        <w:t xml:space="preserve">incremento </w:t>
      </w:r>
      <w:r w:rsidR="006C17F0" w:rsidRPr="00111DC0">
        <w:rPr>
          <w:rFonts w:cs="Arial"/>
        </w:rPr>
        <w:t xml:space="preserve">total del 15% </w:t>
      </w:r>
      <w:r w:rsidR="006061A5" w:rsidRPr="00111DC0">
        <w:rPr>
          <w:rFonts w:cs="Arial"/>
        </w:rPr>
        <w:t xml:space="preserve">en la plantilla </w:t>
      </w:r>
      <w:r w:rsidR="0054444C" w:rsidRPr="00111DC0">
        <w:rPr>
          <w:rFonts w:cs="Arial"/>
        </w:rPr>
        <w:t xml:space="preserve">no supone una alteración de la </w:t>
      </w:r>
      <w:r w:rsidR="00C3177C" w:rsidRPr="00111DC0">
        <w:rPr>
          <w:rFonts w:cs="Arial"/>
        </w:rPr>
        <w:t xml:space="preserve">distribución por sexo, que </w:t>
      </w:r>
      <w:r w:rsidR="0054444C" w:rsidRPr="00111DC0">
        <w:rPr>
          <w:rFonts w:cs="Arial"/>
        </w:rPr>
        <w:t xml:space="preserve">se mantiene en el 70% - 30%. </w:t>
      </w:r>
    </w:p>
    <w:p w14:paraId="0B787F61" w14:textId="61025608" w:rsidR="00F8434D" w:rsidRPr="00111DC0" w:rsidRDefault="00F8434D" w:rsidP="00A442AB"/>
    <w:p w14:paraId="09A9BB6C" w14:textId="77777777" w:rsidR="00302B31" w:rsidRPr="00111DC0" w:rsidRDefault="00302B31" w:rsidP="00A442AB">
      <w:r w:rsidRPr="00111DC0">
        <w:rPr>
          <w:noProof/>
          <w:lang w:eastAsia="es-ES"/>
        </w:rPr>
        <w:drawing>
          <wp:inline distT="0" distB="0" distL="0" distR="0" wp14:anchorId="28E7B3CD" wp14:editId="55C7B069">
            <wp:extent cx="5349240" cy="2766252"/>
            <wp:effectExtent l="0" t="0" r="0" b="0"/>
            <wp:docPr id="9" name="Gráfico 9"/>
            <wp:cNvGraphicFramePr/>
            <a:graphic xmlns:a="http://schemas.openxmlformats.org/drawingml/2006/main">
              <a:graphicData uri="http://schemas.openxmlformats.org/drawingml/2006/chart">
                <c:chart xmlns:c="http://schemas.openxmlformats.org/drawingml/2006/chart" r:id="rId18"/>
              </a:graphicData>
            </a:graphic>
          </wp:inline>
        </w:drawing>
      </w:r>
    </w:p>
    <w:p w14:paraId="717455DB" w14:textId="77777777" w:rsidR="00E4102D" w:rsidRPr="00111DC0" w:rsidRDefault="00E4102D" w:rsidP="00A442AB"/>
    <w:p w14:paraId="23F0FD4B" w14:textId="04FD9D4C" w:rsidR="00722052" w:rsidRPr="00111DC0" w:rsidRDefault="00E15C73" w:rsidP="00B306DC">
      <w:pPr>
        <w:rPr>
          <w:rFonts w:cs="Arial"/>
        </w:rPr>
      </w:pPr>
      <w:r w:rsidRPr="00111DC0">
        <w:rPr>
          <w:rFonts w:cs="Arial"/>
          <w:b/>
          <w:bCs/>
        </w:rPr>
        <w:t xml:space="preserve">La feminización del personal público </w:t>
      </w:r>
      <w:r w:rsidR="00721609" w:rsidRPr="00111DC0">
        <w:rPr>
          <w:rFonts w:cs="Arial"/>
          <w:b/>
          <w:bCs/>
        </w:rPr>
        <w:t xml:space="preserve">en la Administración General de La Rioja </w:t>
      </w:r>
      <w:r w:rsidRPr="00111DC0">
        <w:rPr>
          <w:rFonts w:cs="Arial"/>
          <w:b/>
          <w:bCs/>
        </w:rPr>
        <w:t xml:space="preserve">es </w:t>
      </w:r>
      <w:r w:rsidR="004B1C10" w:rsidRPr="00111DC0">
        <w:rPr>
          <w:rFonts w:cs="Arial"/>
          <w:b/>
          <w:bCs/>
        </w:rPr>
        <w:t xml:space="preserve">afín a la realidad de </w:t>
      </w:r>
      <w:r w:rsidRPr="00111DC0">
        <w:rPr>
          <w:rFonts w:cs="Arial"/>
          <w:b/>
          <w:bCs/>
        </w:rPr>
        <w:t>todas las Administraciones Públicas españolas,</w:t>
      </w:r>
      <w:r w:rsidRPr="00111DC0">
        <w:rPr>
          <w:rFonts w:cs="Arial"/>
        </w:rPr>
        <w:t xml:space="preserve"> </w:t>
      </w:r>
      <w:r w:rsidR="00C3177C" w:rsidRPr="00111DC0">
        <w:rPr>
          <w:rFonts w:cs="Arial"/>
        </w:rPr>
        <w:t>a todos los niveles</w:t>
      </w:r>
      <w:r w:rsidRPr="00111DC0">
        <w:rPr>
          <w:rFonts w:cs="Arial"/>
        </w:rPr>
        <w:t>. Datos recientes del Ministerio de Política Territorial y Función Pública informan de que 57 de cada 100 empleos públicos en España están ocupados por mujeres, mostrando una evolución ascendente desde el año 2010</w:t>
      </w:r>
      <w:r w:rsidRPr="00111DC0">
        <w:rPr>
          <w:rStyle w:val="Refdenotaalpie"/>
          <w:rFonts w:cs="Arial"/>
        </w:rPr>
        <w:footnoteReference w:id="4"/>
      </w:r>
      <w:r w:rsidRPr="00111DC0">
        <w:rPr>
          <w:rFonts w:cs="Arial"/>
        </w:rPr>
        <w:t xml:space="preserve">. </w:t>
      </w:r>
    </w:p>
    <w:p w14:paraId="42E54890" w14:textId="63BA7C9B" w:rsidR="00722052" w:rsidRPr="00111DC0" w:rsidRDefault="00722052" w:rsidP="00722052">
      <w:pPr>
        <w:rPr>
          <w:rFonts w:cs="Arial"/>
        </w:rPr>
      </w:pPr>
      <w:r w:rsidRPr="00111DC0">
        <w:rPr>
          <w:rFonts w:cs="Arial"/>
        </w:rPr>
        <w:t>E</w:t>
      </w:r>
      <w:r w:rsidR="00B8454D" w:rsidRPr="00111DC0">
        <w:rPr>
          <w:rFonts w:cs="Arial"/>
        </w:rPr>
        <w:t xml:space="preserve">sta </w:t>
      </w:r>
      <w:r w:rsidR="004B1C10" w:rsidRPr="00111DC0">
        <w:rPr>
          <w:rFonts w:cs="Arial"/>
        </w:rPr>
        <w:t>situación</w:t>
      </w:r>
      <w:r w:rsidR="00B8454D" w:rsidRPr="00111DC0">
        <w:rPr>
          <w:rFonts w:cs="Arial"/>
        </w:rPr>
        <w:t xml:space="preserve"> es consecuencia</w:t>
      </w:r>
      <w:r w:rsidRPr="00111DC0">
        <w:rPr>
          <w:rFonts w:cs="Arial"/>
        </w:rPr>
        <w:t>, entre otras cosas,</w:t>
      </w:r>
      <w:r w:rsidR="00B8454D" w:rsidRPr="00111DC0">
        <w:rPr>
          <w:rFonts w:cs="Arial"/>
        </w:rPr>
        <w:t xml:space="preserve"> de que el empleo público siempre se ha presentado para las mujeres como un nicho laboral accesible </w:t>
      </w:r>
      <w:r w:rsidRPr="00111DC0">
        <w:rPr>
          <w:rFonts w:cs="Arial"/>
        </w:rPr>
        <w:t xml:space="preserve">y no discriminatorio </w:t>
      </w:r>
      <w:r w:rsidR="00B8454D" w:rsidRPr="00111DC0">
        <w:rPr>
          <w:rFonts w:cs="Arial"/>
        </w:rPr>
        <w:t>a lo largo de toda su vida profesional</w:t>
      </w:r>
      <w:r w:rsidR="00B306DC">
        <w:rPr>
          <w:rFonts w:cs="Arial"/>
        </w:rPr>
        <w:t xml:space="preserve"> que ofrece, además, </w:t>
      </w:r>
      <w:r w:rsidR="00714B1E" w:rsidRPr="00111DC0">
        <w:rPr>
          <w:rFonts w:cs="Arial"/>
        </w:rPr>
        <w:t xml:space="preserve">condiciones laborales ventajosas: estabilidad laboral, oportunidades de conciliación, acceso marcado por criterios objetivos fijados de antemano, amplia variación de opciones y trayectorias profesionales, etc. </w:t>
      </w:r>
    </w:p>
    <w:p w14:paraId="3A89F8AC" w14:textId="044B2B77" w:rsidR="002A429A" w:rsidRPr="00111DC0" w:rsidRDefault="00B67AED" w:rsidP="00B306DC">
      <w:pPr>
        <w:rPr>
          <w:rFonts w:cs="Arial"/>
        </w:rPr>
      </w:pPr>
      <w:r w:rsidRPr="00111DC0">
        <w:rPr>
          <w:rFonts w:cs="Arial"/>
        </w:rPr>
        <w:t>En est</w:t>
      </w:r>
      <w:r w:rsidR="004B1C10" w:rsidRPr="00111DC0">
        <w:rPr>
          <w:rFonts w:cs="Arial"/>
        </w:rPr>
        <w:t xml:space="preserve">a dirección apuntan los resultados de percepción de </w:t>
      </w:r>
      <w:r w:rsidRPr="00111DC0">
        <w:rPr>
          <w:rFonts w:cs="Arial"/>
        </w:rPr>
        <w:t>l</w:t>
      </w:r>
      <w:r w:rsidR="001F0477" w:rsidRPr="00111DC0">
        <w:rPr>
          <w:rFonts w:cs="Arial"/>
        </w:rPr>
        <w:t>a Encuesta del Plan de Igualdad</w:t>
      </w:r>
      <w:r w:rsidRPr="00111DC0">
        <w:rPr>
          <w:rFonts w:cs="Arial"/>
        </w:rPr>
        <w:t>.</w:t>
      </w:r>
      <w:r w:rsidR="00722052" w:rsidRPr="00111DC0">
        <w:rPr>
          <w:rFonts w:cs="Arial"/>
        </w:rPr>
        <w:t xml:space="preserve"> </w:t>
      </w:r>
      <w:r w:rsidR="00BC373E" w:rsidRPr="00111DC0">
        <w:rPr>
          <w:rFonts w:cs="Arial"/>
          <w:b/>
          <w:bCs/>
        </w:rPr>
        <w:t>E</w:t>
      </w:r>
      <w:r w:rsidR="001F0477" w:rsidRPr="00111DC0">
        <w:rPr>
          <w:rFonts w:cs="Arial"/>
          <w:b/>
          <w:bCs/>
        </w:rPr>
        <w:t xml:space="preserve">l 61% de las empleadas no cree que exista ningún tipo de discriminación por sexo </w:t>
      </w:r>
      <w:r w:rsidR="00FA0B7F" w:rsidRPr="00111DC0">
        <w:rPr>
          <w:rFonts w:cs="Arial"/>
          <w:b/>
          <w:bCs/>
        </w:rPr>
        <w:t>en</w:t>
      </w:r>
      <w:r w:rsidR="001F0477" w:rsidRPr="00111DC0">
        <w:rPr>
          <w:rFonts w:cs="Arial"/>
          <w:b/>
          <w:bCs/>
        </w:rPr>
        <w:t xml:space="preserve"> la Administración riojana.</w:t>
      </w:r>
      <w:r w:rsidR="002A429A" w:rsidRPr="00111DC0">
        <w:rPr>
          <w:rFonts w:cs="Arial"/>
          <w:b/>
          <w:bCs/>
        </w:rPr>
        <w:t xml:space="preserve"> E</w:t>
      </w:r>
      <w:r w:rsidR="00875516" w:rsidRPr="00111DC0">
        <w:rPr>
          <w:rFonts w:cs="Arial"/>
          <w:b/>
          <w:bCs/>
        </w:rPr>
        <w:t>ntre los empleados</w:t>
      </w:r>
      <w:r w:rsidR="00FA0B7F" w:rsidRPr="00111DC0">
        <w:rPr>
          <w:rFonts w:cs="Arial"/>
          <w:b/>
          <w:bCs/>
        </w:rPr>
        <w:t>,</w:t>
      </w:r>
      <w:r w:rsidR="00875516" w:rsidRPr="00111DC0">
        <w:rPr>
          <w:rFonts w:cs="Arial"/>
          <w:b/>
          <w:bCs/>
        </w:rPr>
        <w:t xml:space="preserve"> </w:t>
      </w:r>
      <w:r w:rsidR="00722052" w:rsidRPr="00111DC0">
        <w:rPr>
          <w:rFonts w:cs="Arial"/>
          <w:b/>
          <w:bCs/>
        </w:rPr>
        <w:t xml:space="preserve">esta opinión es más extendida y </w:t>
      </w:r>
      <w:r w:rsidR="00875516" w:rsidRPr="00111DC0">
        <w:rPr>
          <w:rFonts w:cs="Arial"/>
          <w:b/>
          <w:bCs/>
        </w:rPr>
        <w:t xml:space="preserve">asciende </w:t>
      </w:r>
      <w:r w:rsidR="009631A0" w:rsidRPr="00111DC0">
        <w:rPr>
          <w:rFonts w:cs="Arial"/>
          <w:b/>
          <w:bCs/>
        </w:rPr>
        <w:t>significativamente</w:t>
      </w:r>
      <w:r w:rsidR="00FA0B7F" w:rsidRPr="00111DC0">
        <w:rPr>
          <w:rFonts w:cs="Arial"/>
          <w:b/>
          <w:bCs/>
        </w:rPr>
        <w:t xml:space="preserve"> hasta</w:t>
      </w:r>
      <w:r w:rsidR="009631A0" w:rsidRPr="00111DC0">
        <w:rPr>
          <w:rFonts w:cs="Arial"/>
          <w:b/>
          <w:bCs/>
        </w:rPr>
        <w:t xml:space="preserve"> e</w:t>
      </w:r>
      <w:r w:rsidR="00875516" w:rsidRPr="00111DC0">
        <w:rPr>
          <w:rFonts w:cs="Arial"/>
          <w:b/>
          <w:bCs/>
        </w:rPr>
        <w:t>l 82%</w:t>
      </w:r>
      <w:r w:rsidR="009D6127" w:rsidRPr="00111DC0">
        <w:rPr>
          <w:rFonts w:cs="Arial"/>
          <w:b/>
          <w:bCs/>
        </w:rPr>
        <w:t>.</w:t>
      </w:r>
      <w:r w:rsidR="00875516" w:rsidRPr="00111DC0">
        <w:rPr>
          <w:rFonts w:cs="Arial"/>
          <w:b/>
          <w:bCs/>
        </w:rPr>
        <w:t xml:space="preserve"> </w:t>
      </w:r>
    </w:p>
    <w:p w14:paraId="34CD4501" w14:textId="27473C81" w:rsidR="00DD024A" w:rsidRDefault="00DD024A" w:rsidP="00575F0F">
      <w:pPr>
        <w:rPr>
          <w:rFonts w:cs="Arial"/>
        </w:rPr>
      </w:pPr>
      <w:r>
        <w:rPr>
          <w:rFonts w:cs="Arial"/>
        </w:rPr>
        <w:br w:type="page"/>
      </w:r>
    </w:p>
    <w:p w14:paraId="6C008DAB" w14:textId="0E1F9A07" w:rsidR="001F2A49" w:rsidRDefault="001F2A49" w:rsidP="00A442AB">
      <w:r w:rsidRPr="00111DC0">
        <w:rPr>
          <w:noProof/>
          <w:lang w:eastAsia="es-ES"/>
        </w:rPr>
        <w:drawing>
          <wp:inline distT="0" distB="0" distL="0" distR="0" wp14:anchorId="608E6FC5" wp14:editId="7E07D913">
            <wp:extent cx="5400040" cy="2812211"/>
            <wp:effectExtent l="0" t="0" r="0" b="0"/>
            <wp:docPr id="1" name="Gráfico 1"/>
            <wp:cNvGraphicFramePr/>
            <a:graphic xmlns:a="http://schemas.openxmlformats.org/drawingml/2006/main">
              <a:graphicData uri="http://schemas.openxmlformats.org/drawingml/2006/chart">
                <c:chart xmlns:c="http://schemas.openxmlformats.org/drawingml/2006/chart" r:id="rId19"/>
              </a:graphicData>
            </a:graphic>
          </wp:inline>
        </w:drawing>
      </w:r>
    </w:p>
    <w:p w14:paraId="6D64B636" w14:textId="77777777" w:rsidR="0064399E" w:rsidRPr="00111DC0" w:rsidRDefault="0064399E" w:rsidP="00A442AB"/>
    <w:p w14:paraId="0E3B54CC" w14:textId="0665B4AF" w:rsidR="00BC373E" w:rsidRPr="00111DC0" w:rsidRDefault="00BC373E" w:rsidP="004B6A1B">
      <w:pPr>
        <w:pStyle w:val="Ttulo3"/>
        <w:rPr>
          <w:rFonts w:cs="Arial"/>
        </w:rPr>
      </w:pPr>
      <w:r w:rsidRPr="00111DC0">
        <w:rPr>
          <w:rFonts w:cs="Arial"/>
        </w:rPr>
        <w:t>Relación laboral</w:t>
      </w:r>
    </w:p>
    <w:p w14:paraId="32B35215" w14:textId="6ADF5062" w:rsidR="0030598C" w:rsidRPr="00111DC0" w:rsidRDefault="006A77CC" w:rsidP="001F5FD2">
      <w:pPr>
        <w:rPr>
          <w:rFonts w:cs="Arial"/>
        </w:rPr>
      </w:pPr>
      <w:r w:rsidRPr="00111DC0">
        <w:rPr>
          <w:rFonts w:cs="Arial"/>
          <w:b/>
          <w:bCs/>
        </w:rPr>
        <w:t>E</w:t>
      </w:r>
      <w:r w:rsidR="0094449E" w:rsidRPr="00111DC0">
        <w:rPr>
          <w:rFonts w:cs="Arial"/>
          <w:b/>
          <w:bCs/>
        </w:rPr>
        <w:t>n los Servicios Generales, el</w:t>
      </w:r>
      <w:r w:rsidRPr="00111DC0">
        <w:rPr>
          <w:rFonts w:cs="Arial"/>
          <w:b/>
          <w:bCs/>
        </w:rPr>
        <w:t xml:space="preserve"> funcionariado de carrera es el </w:t>
      </w:r>
      <w:r w:rsidR="00F83CE9" w:rsidRPr="00111DC0">
        <w:rPr>
          <w:rFonts w:cs="Arial"/>
          <w:b/>
          <w:bCs/>
        </w:rPr>
        <w:t xml:space="preserve">tipo de personal </w:t>
      </w:r>
      <w:r w:rsidRPr="00111DC0">
        <w:rPr>
          <w:rFonts w:cs="Arial"/>
          <w:b/>
          <w:bCs/>
        </w:rPr>
        <w:t xml:space="preserve">mayoritario tanto entre las empleadas como entre los empleados. </w:t>
      </w:r>
      <w:r w:rsidRPr="00111DC0">
        <w:rPr>
          <w:rFonts w:cs="Arial"/>
        </w:rPr>
        <w:t xml:space="preserve">En 2021, </w:t>
      </w:r>
      <w:r w:rsidR="00F83CE9" w:rsidRPr="00111DC0">
        <w:rPr>
          <w:rFonts w:cs="Arial"/>
        </w:rPr>
        <w:t>pertenecían a este grupo</w:t>
      </w:r>
      <w:r w:rsidRPr="00111DC0">
        <w:rPr>
          <w:rFonts w:cs="Arial"/>
        </w:rPr>
        <w:t xml:space="preserve"> </w:t>
      </w:r>
      <w:r w:rsidR="009E112C" w:rsidRPr="00111DC0">
        <w:rPr>
          <w:rFonts w:cs="Arial"/>
        </w:rPr>
        <w:t xml:space="preserve">el </w:t>
      </w:r>
      <w:r w:rsidRPr="00111DC0">
        <w:rPr>
          <w:rFonts w:cs="Arial"/>
        </w:rPr>
        <w:t>51</w:t>
      </w:r>
      <w:r w:rsidR="009E112C" w:rsidRPr="00111DC0">
        <w:rPr>
          <w:rFonts w:cs="Arial"/>
        </w:rPr>
        <w:t xml:space="preserve">% </w:t>
      </w:r>
      <w:r w:rsidR="007E3349" w:rsidRPr="00111DC0">
        <w:rPr>
          <w:rFonts w:cs="Arial"/>
        </w:rPr>
        <w:t>de</w:t>
      </w:r>
      <w:r w:rsidR="00F83CE9" w:rsidRPr="00111DC0">
        <w:rPr>
          <w:rFonts w:cs="Arial"/>
        </w:rPr>
        <w:t xml:space="preserve"> </w:t>
      </w:r>
      <w:r w:rsidR="007E3349" w:rsidRPr="00111DC0">
        <w:rPr>
          <w:rFonts w:cs="Arial"/>
        </w:rPr>
        <w:t>l</w:t>
      </w:r>
      <w:r w:rsidR="00F83CE9" w:rsidRPr="00111DC0">
        <w:rPr>
          <w:rFonts w:cs="Arial"/>
        </w:rPr>
        <w:t>as</w:t>
      </w:r>
      <w:r w:rsidR="007E3349" w:rsidRPr="00111DC0">
        <w:rPr>
          <w:rFonts w:cs="Arial"/>
        </w:rPr>
        <w:t xml:space="preserve"> </w:t>
      </w:r>
      <w:r w:rsidR="00F83CE9" w:rsidRPr="00111DC0">
        <w:rPr>
          <w:rFonts w:cs="Arial"/>
        </w:rPr>
        <w:t>e</w:t>
      </w:r>
      <w:r w:rsidR="009E112C" w:rsidRPr="00111DC0">
        <w:rPr>
          <w:rFonts w:cs="Arial"/>
        </w:rPr>
        <w:t xml:space="preserve">mpleadas y el </w:t>
      </w:r>
      <w:r w:rsidRPr="00111DC0">
        <w:rPr>
          <w:rFonts w:cs="Arial"/>
        </w:rPr>
        <w:t>44</w:t>
      </w:r>
      <w:r w:rsidR="009E112C" w:rsidRPr="00111DC0">
        <w:rPr>
          <w:rFonts w:cs="Arial"/>
        </w:rPr>
        <w:t xml:space="preserve">% </w:t>
      </w:r>
      <w:r w:rsidR="007E3349" w:rsidRPr="00111DC0">
        <w:rPr>
          <w:rFonts w:cs="Arial"/>
        </w:rPr>
        <w:t>de</w:t>
      </w:r>
      <w:r w:rsidR="00F83CE9" w:rsidRPr="00111DC0">
        <w:rPr>
          <w:rFonts w:cs="Arial"/>
        </w:rPr>
        <w:t xml:space="preserve"> </w:t>
      </w:r>
      <w:r w:rsidR="007E3349" w:rsidRPr="00111DC0">
        <w:rPr>
          <w:rFonts w:cs="Arial"/>
        </w:rPr>
        <w:t>l</w:t>
      </w:r>
      <w:r w:rsidR="00F83CE9" w:rsidRPr="00111DC0">
        <w:rPr>
          <w:rFonts w:cs="Arial"/>
        </w:rPr>
        <w:t>os</w:t>
      </w:r>
      <w:r w:rsidR="009E112C" w:rsidRPr="00111DC0">
        <w:rPr>
          <w:rFonts w:cs="Arial"/>
        </w:rPr>
        <w:t xml:space="preserve"> empleados. </w:t>
      </w:r>
    </w:p>
    <w:p w14:paraId="4104DB6D" w14:textId="77777777" w:rsidR="0064399E" w:rsidRDefault="0030598C" w:rsidP="00A442AB">
      <w:pPr>
        <w:rPr>
          <w:rFonts w:cs="Arial"/>
          <w:b/>
          <w:bCs/>
        </w:rPr>
      </w:pPr>
      <w:r w:rsidRPr="00111DC0">
        <w:rPr>
          <w:rFonts w:cs="Arial"/>
        </w:rPr>
        <w:t xml:space="preserve">El segundo grupo </w:t>
      </w:r>
      <w:r w:rsidR="000B29B0" w:rsidRPr="00111DC0">
        <w:rPr>
          <w:rFonts w:cs="Arial"/>
        </w:rPr>
        <w:t>más poblado</w:t>
      </w:r>
      <w:r w:rsidRPr="00111DC0">
        <w:rPr>
          <w:rFonts w:cs="Arial"/>
        </w:rPr>
        <w:t xml:space="preserve"> es el del funcionari</w:t>
      </w:r>
      <w:r w:rsidR="000B29B0" w:rsidRPr="00111DC0">
        <w:rPr>
          <w:rFonts w:cs="Arial"/>
        </w:rPr>
        <w:t>ado</w:t>
      </w:r>
      <w:r w:rsidRPr="00111DC0">
        <w:rPr>
          <w:rFonts w:cs="Arial"/>
        </w:rPr>
        <w:t xml:space="preserve"> interino</w:t>
      </w:r>
      <w:r w:rsidR="00DD075C" w:rsidRPr="00111DC0">
        <w:rPr>
          <w:rFonts w:cs="Arial"/>
        </w:rPr>
        <w:t xml:space="preserve">. Los datos alumbran </w:t>
      </w:r>
      <w:r w:rsidR="009B7DD7" w:rsidRPr="00111DC0">
        <w:rPr>
          <w:rFonts w:cs="Arial"/>
        </w:rPr>
        <w:t>una diferencia notable entre mujeres (35% del total de empleadas) y hombres (19%)</w:t>
      </w:r>
      <w:r w:rsidRPr="00111DC0">
        <w:rPr>
          <w:rFonts w:cs="Arial"/>
        </w:rPr>
        <w:t xml:space="preserve">. </w:t>
      </w:r>
      <w:r w:rsidR="00DD075C" w:rsidRPr="00A600A9">
        <w:rPr>
          <w:rFonts w:cs="Arial"/>
        </w:rPr>
        <w:t xml:space="preserve">De estos datos se deriva, por tanto, una </w:t>
      </w:r>
      <w:r w:rsidR="00DD075C" w:rsidRPr="00111DC0">
        <w:rPr>
          <w:rFonts w:cs="Arial"/>
          <w:b/>
          <w:bCs/>
        </w:rPr>
        <w:t xml:space="preserve">situación de </w:t>
      </w:r>
      <w:bookmarkStart w:id="14" w:name="_Hlk109317285"/>
      <w:r w:rsidR="00831623" w:rsidRPr="00111DC0">
        <w:rPr>
          <w:rFonts w:cs="Arial"/>
          <w:b/>
          <w:bCs/>
        </w:rPr>
        <w:t>mayor inestabilidad femenina en la plantilla de los Servicios Generales.</w:t>
      </w:r>
    </w:p>
    <w:p w14:paraId="7553C5CE" w14:textId="0FC62EFA" w:rsidR="00F230D5" w:rsidRPr="00111DC0" w:rsidRDefault="00831623" w:rsidP="00A442AB">
      <w:r w:rsidRPr="00111DC0">
        <w:rPr>
          <w:rFonts w:cs="Arial"/>
          <w:b/>
          <w:bCs/>
        </w:rPr>
        <w:t xml:space="preserve"> </w:t>
      </w:r>
      <w:bookmarkEnd w:id="14"/>
      <w:r w:rsidR="009E112C" w:rsidRPr="00111DC0">
        <w:rPr>
          <w:noProof/>
          <w:color w:val="EA0000"/>
          <w:sz w:val="24"/>
          <w:szCs w:val="24"/>
          <w:lang w:eastAsia="es-ES"/>
        </w:rPr>
        <w:drawing>
          <wp:inline distT="0" distB="0" distL="0" distR="0" wp14:anchorId="4848C6E9" wp14:editId="17F43C9E">
            <wp:extent cx="5460521" cy="2544792"/>
            <wp:effectExtent l="0" t="0" r="0" b="0"/>
            <wp:docPr id="11" name="Gráfico 11"/>
            <wp:cNvGraphicFramePr/>
            <a:graphic xmlns:a="http://schemas.openxmlformats.org/drawingml/2006/main">
              <a:graphicData uri="http://schemas.openxmlformats.org/drawingml/2006/chart">
                <c:chart xmlns:c="http://schemas.openxmlformats.org/drawingml/2006/chart" r:id="rId20"/>
              </a:graphicData>
            </a:graphic>
          </wp:inline>
        </w:drawing>
      </w:r>
      <w:r w:rsidR="00F230D5" w:rsidRPr="00111DC0">
        <w:t xml:space="preserve"> </w:t>
      </w:r>
    </w:p>
    <w:p w14:paraId="753947BA" w14:textId="57B847C4" w:rsidR="00242DEB" w:rsidRPr="00111DC0" w:rsidRDefault="0064399E" w:rsidP="00350BA5">
      <w:pPr>
        <w:spacing w:after="0"/>
        <w:rPr>
          <w:rFonts w:cs="Arial"/>
        </w:rPr>
      </w:pPr>
      <w:r w:rsidRPr="00A600A9">
        <w:rPr>
          <w:rFonts w:cs="Arial"/>
          <w:b/>
          <w:bCs/>
        </w:rPr>
        <w:t>Entre</w:t>
      </w:r>
      <w:r w:rsidR="00A411D6" w:rsidRPr="00A600A9">
        <w:rPr>
          <w:rFonts w:cs="Arial"/>
          <w:b/>
          <w:bCs/>
        </w:rPr>
        <w:t xml:space="preserve"> el Personal Docente</w:t>
      </w:r>
      <w:r>
        <w:rPr>
          <w:rFonts w:cs="Arial"/>
        </w:rPr>
        <w:t xml:space="preserve"> </w:t>
      </w:r>
      <w:r w:rsidR="006B2753" w:rsidRPr="00111DC0">
        <w:rPr>
          <w:rFonts w:cs="Arial"/>
          <w:b/>
          <w:bCs/>
        </w:rPr>
        <w:t>la situación</w:t>
      </w:r>
      <w:r w:rsidR="0094449E" w:rsidRPr="00111DC0">
        <w:rPr>
          <w:rFonts w:cs="Arial"/>
          <w:b/>
          <w:bCs/>
        </w:rPr>
        <w:t xml:space="preserve"> es muy similar entre mujeres y hombres</w:t>
      </w:r>
      <w:r w:rsidR="00242DEB" w:rsidRPr="00111DC0">
        <w:rPr>
          <w:rFonts w:cs="Arial"/>
          <w:b/>
          <w:bCs/>
        </w:rPr>
        <w:t xml:space="preserve">, </w:t>
      </w:r>
      <w:r w:rsidR="00A411D6" w:rsidRPr="00A600A9">
        <w:rPr>
          <w:rFonts w:cs="Arial"/>
        </w:rPr>
        <w:t>aunque ligeramente más beneficiosas para las primeras</w:t>
      </w:r>
      <w:r w:rsidRPr="00A600A9">
        <w:rPr>
          <w:rFonts w:cs="Arial"/>
        </w:rPr>
        <w:t>:</w:t>
      </w:r>
    </w:p>
    <w:p w14:paraId="58C6C02F" w14:textId="52EA41F3" w:rsidR="00515428" w:rsidRPr="00111DC0" w:rsidRDefault="0094449E" w:rsidP="00A442AB">
      <w:r w:rsidRPr="00111DC0">
        <w:rPr>
          <w:noProof/>
          <w:lang w:eastAsia="es-ES"/>
        </w:rPr>
        <w:drawing>
          <wp:inline distT="0" distB="0" distL="0" distR="0" wp14:anchorId="7FF0F8CA" wp14:editId="7BA69DF2">
            <wp:extent cx="5322498" cy="2743200"/>
            <wp:effectExtent l="0" t="0" r="0" b="0"/>
            <wp:docPr id="15" name="Gráfico 15"/>
            <wp:cNvGraphicFramePr/>
            <a:graphic xmlns:a="http://schemas.openxmlformats.org/drawingml/2006/main">
              <a:graphicData uri="http://schemas.openxmlformats.org/drawingml/2006/chart">
                <c:chart xmlns:c="http://schemas.openxmlformats.org/drawingml/2006/chart" r:id="rId21"/>
              </a:graphicData>
            </a:graphic>
          </wp:inline>
        </w:drawing>
      </w:r>
    </w:p>
    <w:p w14:paraId="764CBB51" w14:textId="1193B6EA" w:rsidR="00515428" w:rsidRPr="00111DC0" w:rsidRDefault="00515428" w:rsidP="00A442AB"/>
    <w:p w14:paraId="5528272D" w14:textId="2A77D628" w:rsidR="00C165A8" w:rsidRPr="00111DC0" w:rsidRDefault="0064399E" w:rsidP="00123972">
      <w:pPr>
        <w:rPr>
          <w:rFonts w:cs="Arial"/>
        </w:rPr>
      </w:pPr>
      <w:r>
        <w:rPr>
          <w:rFonts w:cs="Arial"/>
        </w:rPr>
        <w:t>La</w:t>
      </w:r>
      <w:r w:rsidR="00807947" w:rsidRPr="00111DC0">
        <w:rPr>
          <w:rFonts w:cs="Arial"/>
        </w:rPr>
        <w:t xml:space="preserve"> evolución de los datos d</w:t>
      </w:r>
      <w:r w:rsidR="0094449E" w:rsidRPr="00111DC0">
        <w:rPr>
          <w:rFonts w:cs="Arial"/>
        </w:rPr>
        <w:t xml:space="preserve">urante el periodo </w:t>
      </w:r>
      <w:r w:rsidR="00BE2902" w:rsidRPr="00111DC0">
        <w:rPr>
          <w:rFonts w:cs="Arial"/>
        </w:rPr>
        <w:t>estudiado</w:t>
      </w:r>
      <w:r w:rsidR="0094449E" w:rsidRPr="00111DC0">
        <w:rPr>
          <w:rFonts w:cs="Arial"/>
        </w:rPr>
        <w:t xml:space="preserve"> </w:t>
      </w:r>
      <w:r w:rsidR="00807947" w:rsidRPr="00111DC0">
        <w:rPr>
          <w:rFonts w:cs="Arial"/>
        </w:rPr>
        <w:t xml:space="preserve">permite observar </w:t>
      </w:r>
      <w:r>
        <w:rPr>
          <w:rFonts w:cs="Arial"/>
        </w:rPr>
        <w:t>que</w:t>
      </w:r>
      <w:r w:rsidR="00807947" w:rsidRPr="00111DC0">
        <w:rPr>
          <w:rFonts w:cs="Arial"/>
        </w:rPr>
        <w:t xml:space="preserve"> </w:t>
      </w:r>
      <w:r w:rsidR="00C165A8" w:rsidRPr="00111DC0">
        <w:rPr>
          <w:rFonts w:cs="Arial"/>
        </w:rPr>
        <w:t>l</w:t>
      </w:r>
      <w:r w:rsidR="00D80AB9" w:rsidRPr="00111DC0">
        <w:rPr>
          <w:rFonts w:cs="Arial"/>
        </w:rPr>
        <w:t xml:space="preserve">as </w:t>
      </w:r>
      <w:r w:rsidR="0094449E" w:rsidRPr="00111DC0">
        <w:rPr>
          <w:rFonts w:cs="Arial"/>
          <w:lang w:eastAsia="es-ES"/>
        </w:rPr>
        <w:t>necesidades generadas por la pandemia</w:t>
      </w:r>
      <w:r w:rsidR="00D80AB9" w:rsidRPr="00111DC0">
        <w:rPr>
          <w:rFonts w:cs="Arial"/>
          <w:lang w:eastAsia="es-ES"/>
        </w:rPr>
        <w:t xml:space="preserve"> </w:t>
      </w:r>
      <w:r w:rsidR="00807947" w:rsidRPr="0064399E">
        <w:rPr>
          <w:rFonts w:cs="Arial"/>
        </w:rPr>
        <w:t>han conducido</w:t>
      </w:r>
      <w:r w:rsidR="00807947" w:rsidRPr="00111DC0">
        <w:rPr>
          <w:rFonts w:cs="Arial"/>
          <w:b/>
          <w:bCs/>
        </w:rPr>
        <w:t xml:space="preserve"> a </w:t>
      </w:r>
      <w:r w:rsidR="00721254" w:rsidRPr="00111DC0">
        <w:rPr>
          <w:rFonts w:cs="Arial"/>
          <w:b/>
          <w:bCs/>
        </w:rPr>
        <w:t>una situación de mayor inestabilidad femenina</w:t>
      </w:r>
      <w:r w:rsidR="00807947" w:rsidRPr="00111DC0">
        <w:rPr>
          <w:rFonts w:cs="Arial"/>
          <w:b/>
          <w:bCs/>
        </w:rPr>
        <w:t>,</w:t>
      </w:r>
      <w:r w:rsidR="00486A79" w:rsidRPr="00111DC0">
        <w:rPr>
          <w:rFonts w:cs="Arial"/>
          <w:b/>
          <w:bCs/>
        </w:rPr>
        <w:t xml:space="preserve"> particularmente en los Servicios Generales y, de manera </w:t>
      </w:r>
      <w:r w:rsidR="00807947" w:rsidRPr="00111DC0">
        <w:rPr>
          <w:rFonts w:cs="Arial"/>
          <w:b/>
          <w:bCs/>
        </w:rPr>
        <w:t>específica</w:t>
      </w:r>
      <w:r w:rsidR="00486A79" w:rsidRPr="00111DC0">
        <w:rPr>
          <w:rFonts w:cs="Arial"/>
          <w:b/>
          <w:bCs/>
        </w:rPr>
        <w:t>, entre el personal sanitario</w:t>
      </w:r>
      <w:r w:rsidR="008E1C0C" w:rsidRPr="00111DC0">
        <w:rPr>
          <w:rFonts w:cs="Arial"/>
          <w:b/>
          <w:bCs/>
        </w:rPr>
        <w:t>.</w:t>
      </w:r>
      <w:r w:rsidR="00184244" w:rsidRPr="00111DC0">
        <w:rPr>
          <w:rFonts w:cs="Arial"/>
          <w:b/>
          <w:bCs/>
        </w:rPr>
        <w:t xml:space="preserve"> </w:t>
      </w:r>
    </w:p>
    <w:p w14:paraId="3AE7A22D" w14:textId="29BCEAEF" w:rsidR="005211EB" w:rsidRPr="00111DC0" w:rsidRDefault="00A600A9" w:rsidP="00123972">
      <w:pPr>
        <w:rPr>
          <w:rFonts w:cs="Arial"/>
        </w:rPr>
      </w:pPr>
      <w:r>
        <w:rPr>
          <w:rFonts w:cs="Arial"/>
        </w:rPr>
        <w:t>L</w:t>
      </w:r>
      <w:r w:rsidR="005211EB" w:rsidRPr="00111DC0">
        <w:rPr>
          <w:rFonts w:cs="Arial"/>
        </w:rPr>
        <w:t xml:space="preserve">a concentración de empleadas interinas se incrementa </w:t>
      </w:r>
      <w:r>
        <w:rPr>
          <w:rFonts w:cs="Arial"/>
        </w:rPr>
        <w:t>en 9 puntos porcentuales mientras que l</w:t>
      </w:r>
      <w:r w:rsidR="00441FAD" w:rsidRPr="00111DC0">
        <w:rPr>
          <w:rFonts w:cs="Arial"/>
        </w:rPr>
        <w:t xml:space="preserve">a de empleados interinos </w:t>
      </w:r>
      <w:r>
        <w:rPr>
          <w:rFonts w:cs="Arial"/>
        </w:rPr>
        <w:t>lo hace</w:t>
      </w:r>
      <w:r w:rsidR="00441FAD" w:rsidRPr="00111DC0">
        <w:rPr>
          <w:rFonts w:cs="Arial"/>
        </w:rPr>
        <w:t xml:space="preserve"> en 6 puntos porcentuales</w:t>
      </w:r>
      <w:r w:rsidR="005211EB" w:rsidRPr="00111DC0">
        <w:rPr>
          <w:rFonts w:cs="Arial"/>
        </w:rPr>
        <w:t>. Por consiguiente</w:t>
      </w:r>
      <w:r w:rsidR="005211EB" w:rsidRPr="00A600A9">
        <w:rPr>
          <w:rFonts w:cs="Arial"/>
        </w:rPr>
        <w:t>, si bien</w:t>
      </w:r>
      <w:r w:rsidR="005211EB" w:rsidRPr="0064399E">
        <w:rPr>
          <w:rFonts w:cs="Arial"/>
          <w:b/>
          <w:bCs/>
        </w:rPr>
        <w:t xml:space="preserve"> la</w:t>
      </w:r>
      <w:r w:rsidR="008C53EE" w:rsidRPr="0064399E">
        <w:rPr>
          <w:rFonts w:cs="Arial"/>
          <w:b/>
          <w:bCs/>
        </w:rPr>
        <w:t xml:space="preserve">s circunstancias laborales motivadas por la </w:t>
      </w:r>
      <w:r w:rsidR="005211EB" w:rsidRPr="0064399E">
        <w:rPr>
          <w:rFonts w:cs="Arial"/>
          <w:b/>
          <w:bCs/>
        </w:rPr>
        <w:t>pandemia ha</w:t>
      </w:r>
      <w:r w:rsidR="008C53EE" w:rsidRPr="0064399E">
        <w:rPr>
          <w:rFonts w:cs="Arial"/>
          <w:b/>
          <w:bCs/>
        </w:rPr>
        <w:t>n</w:t>
      </w:r>
      <w:r w:rsidR="005211EB" w:rsidRPr="0064399E">
        <w:rPr>
          <w:rFonts w:cs="Arial"/>
          <w:b/>
          <w:bCs/>
        </w:rPr>
        <w:t xml:space="preserve"> supuesto un </w:t>
      </w:r>
      <w:r w:rsidR="008C53EE" w:rsidRPr="0064399E">
        <w:rPr>
          <w:rFonts w:cs="Arial"/>
          <w:b/>
          <w:bCs/>
        </w:rPr>
        <w:t>incremento</w:t>
      </w:r>
      <w:r w:rsidR="005211EB" w:rsidRPr="0064399E">
        <w:rPr>
          <w:rFonts w:cs="Arial"/>
          <w:b/>
          <w:bCs/>
        </w:rPr>
        <w:t xml:space="preserve"> </w:t>
      </w:r>
      <w:r w:rsidR="008C53EE" w:rsidRPr="0064399E">
        <w:rPr>
          <w:rFonts w:cs="Arial"/>
          <w:b/>
          <w:bCs/>
        </w:rPr>
        <w:t>global de</w:t>
      </w:r>
      <w:r w:rsidR="005211EB" w:rsidRPr="0064399E">
        <w:rPr>
          <w:rFonts w:cs="Arial"/>
          <w:b/>
          <w:bCs/>
        </w:rPr>
        <w:t xml:space="preserve"> la </w:t>
      </w:r>
      <w:r w:rsidR="008C53EE" w:rsidRPr="0064399E">
        <w:rPr>
          <w:rFonts w:cs="Arial"/>
          <w:b/>
          <w:bCs/>
        </w:rPr>
        <w:t>in</w:t>
      </w:r>
      <w:r w:rsidR="005211EB" w:rsidRPr="0064399E">
        <w:rPr>
          <w:rFonts w:cs="Arial"/>
          <w:b/>
          <w:bCs/>
        </w:rPr>
        <w:t>estabilidad laboral del personal público, est</w:t>
      </w:r>
      <w:r w:rsidR="008C53EE" w:rsidRPr="0064399E">
        <w:rPr>
          <w:rFonts w:cs="Arial"/>
          <w:b/>
          <w:bCs/>
        </w:rPr>
        <w:t>a</w:t>
      </w:r>
      <w:r w:rsidR="005211EB" w:rsidRPr="0064399E">
        <w:rPr>
          <w:rFonts w:cs="Arial"/>
          <w:b/>
          <w:bCs/>
        </w:rPr>
        <w:t xml:space="preserve"> </w:t>
      </w:r>
      <w:r w:rsidR="008C53EE" w:rsidRPr="0064399E">
        <w:rPr>
          <w:rFonts w:cs="Arial"/>
          <w:b/>
          <w:bCs/>
        </w:rPr>
        <w:t xml:space="preserve">situación </w:t>
      </w:r>
      <w:r w:rsidR="00513C79" w:rsidRPr="0064399E">
        <w:rPr>
          <w:rFonts w:cs="Arial"/>
          <w:b/>
          <w:bCs/>
        </w:rPr>
        <w:t>ha perjudicado en mayor medida a</w:t>
      </w:r>
      <w:r w:rsidR="005211EB" w:rsidRPr="0064399E">
        <w:rPr>
          <w:rFonts w:cs="Arial"/>
          <w:b/>
          <w:bCs/>
        </w:rPr>
        <w:t xml:space="preserve"> las empleadas</w:t>
      </w:r>
      <w:r w:rsidR="00721254" w:rsidRPr="0064399E">
        <w:rPr>
          <w:rFonts w:cs="Arial"/>
          <w:b/>
          <w:bCs/>
        </w:rPr>
        <w:t>.</w:t>
      </w:r>
      <w:r w:rsidR="00721254" w:rsidRPr="00111DC0">
        <w:rPr>
          <w:rFonts w:cs="Arial"/>
        </w:rPr>
        <w:t xml:space="preserve"> </w:t>
      </w:r>
    </w:p>
    <w:tbl>
      <w:tblPr>
        <w:tblW w:w="4960" w:type="pct"/>
        <w:tblInd w:w="70" w:type="dxa"/>
        <w:tblCellMar>
          <w:left w:w="70" w:type="dxa"/>
          <w:right w:w="70" w:type="dxa"/>
        </w:tblCellMar>
        <w:tblLook w:val="04A0" w:firstRow="1" w:lastRow="0" w:firstColumn="1" w:lastColumn="0" w:noHBand="0" w:noVBand="1"/>
      </w:tblPr>
      <w:tblGrid>
        <w:gridCol w:w="1680"/>
        <w:gridCol w:w="690"/>
        <w:gridCol w:w="690"/>
        <w:gridCol w:w="690"/>
        <w:gridCol w:w="689"/>
        <w:gridCol w:w="689"/>
        <w:gridCol w:w="689"/>
        <w:gridCol w:w="689"/>
        <w:gridCol w:w="689"/>
        <w:gridCol w:w="689"/>
        <w:gridCol w:w="691"/>
      </w:tblGrid>
      <w:tr w:rsidR="00845E47" w:rsidRPr="00111DC0" w14:paraId="366C88FA" w14:textId="7A0D0F7F" w:rsidTr="00A600A9">
        <w:trPr>
          <w:trHeight w:val="227"/>
        </w:trPr>
        <w:tc>
          <w:tcPr>
            <w:tcW w:w="5000" w:type="pct"/>
            <w:gridSpan w:val="11"/>
            <w:tcBorders>
              <w:top w:val="double" w:sz="4" w:space="0" w:color="auto"/>
              <w:left w:val="double" w:sz="4" w:space="0" w:color="auto"/>
              <w:bottom w:val="double" w:sz="4" w:space="0" w:color="auto"/>
              <w:right w:val="double" w:sz="4" w:space="0" w:color="auto"/>
            </w:tcBorders>
            <w:shd w:val="clear" w:color="auto" w:fill="78BE20"/>
            <w:vAlign w:val="center"/>
          </w:tcPr>
          <w:p w14:paraId="621861B6" w14:textId="1A465DCA" w:rsidR="00845E47" w:rsidRPr="00111DC0" w:rsidRDefault="00B24DB7" w:rsidP="00A600A9">
            <w:pPr>
              <w:widowControl w:val="0"/>
              <w:spacing w:before="0" w:after="0" w:line="240" w:lineRule="auto"/>
              <w:jc w:val="left"/>
              <w:rPr>
                <w:rFonts w:cs="Arial"/>
                <w:b/>
                <w:bCs/>
                <w:color w:val="FFFFFF" w:themeColor="background1"/>
                <w:szCs w:val="20"/>
              </w:rPr>
            </w:pPr>
            <w:r w:rsidRPr="00111DC0">
              <w:rPr>
                <w:rFonts w:cs="Arial"/>
              </w:rPr>
              <w:br w:type="page"/>
            </w:r>
            <w:r w:rsidR="00845E47" w:rsidRPr="00111DC0">
              <w:rPr>
                <w:rFonts w:cs="Arial"/>
                <w:b/>
                <w:bCs/>
                <w:color w:val="FFFFFF" w:themeColor="background1"/>
                <w:szCs w:val="20"/>
              </w:rPr>
              <w:t>Tabla 1. Evolución de la concentración por sexo y tipo de relación laboral</w:t>
            </w:r>
            <w:r w:rsidR="00123972" w:rsidRPr="00111DC0">
              <w:rPr>
                <w:rFonts w:cs="Arial"/>
                <w:b/>
                <w:bCs/>
                <w:color w:val="FFFFFF" w:themeColor="background1"/>
                <w:szCs w:val="20"/>
              </w:rPr>
              <w:t xml:space="preserve"> </w:t>
            </w:r>
            <w:r w:rsidR="00845E47" w:rsidRPr="00111DC0">
              <w:rPr>
                <w:rFonts w:cs="Arial"/>
                <w:color w:val="FFFFFF" w:themeColor="background1"/>
                <w:szCs w:val="20"/>
              </w:rPr>
              <w:t>(Servicios Generales)</w:t>
            </w:r>
          </w:p>
        </w:tc>
      </w:tr>
      <w:tr w:rsidR="0038508D" w:rsidRPr="00111DC0" w14:paraId="2428A501" w14:textId="5C697695" w:rsidTr="00C97AB0">
        <w:trPr>
          <w:trHeight w:val="227"/>
        </w:trPr>
        <w:tc>
          <w:tcPr>
            <w:tcW w:w="979" w:type="pct"/>
            <w:vMerge w:val="restart"/>
            <w:tcBorders>
              <w:top w:val="double" w:sz="4" w:space="0" w:color="auto"/>
              <w:left w:val="double" w:sz="4" w:space="0" w:color="auto"/>
              <w:right w:val="double" w:sz="4" w:space="0" w:color="auto"/>
            </w:tcBorders>
            <w:vAlign w:val="center"/>
          </w:tcPr>
          <w:p w14:paraId="7CCFAFF7" w14:textId="77777777" w:rsidR="0038508D" w:rsidRPr="00111DC0" w:rsidRDefault="0038508D" w:rsidP="00A600A9">
            <w:pPr>
              <w:widowControl w:val="0"/>
              <w:spacing w:before="0" w:after="0" w:line="240" w:lineRule="auto"/>
              <w:jc w:val="right"/>
              <w:rPr>
                <w:rFonts w:cs="Arial"/>
                <w:b/>
                <w:bCs/>
                <w:sz w:val="20"/>
                <w:szCs w:val="18"/>
              </w:rPr>
            </w:pPr>
          </w:p>
        </w:tc>
        <w:tc>
          <w:tcPr>
            <w:tcW w:w="804" w:type="pct"/>
            <w:gridSpan w:val="2"/>
            <w:tcBorders>
              <w:top w:val="double" w:sz="4" w:space="0" w:color="auto"/>
              <w:left w:val="double" w:sz="4" w:space="0" w:color="auto"/>
              <w:bottom w:val="double" w:sz="4" w:space="0" w:color="auto"/>
              <w:right w:val="double" w:sz="4" w:space="0" w:color="auto"/>
            </w:tcBorders>
            <w:shd w:val="clear" w:color="auto" w:fill="auto"/>
            <w:noWrap/>
            <w:vAlign w:val="center"/>
          </w:tcPr>
          <w:p w14:paraId="4B705366" w14:textId="7D1A806A" w:rsidR="0038508D" w:rsidRPr="00111DC0" w:rsidRDefault="0038508D" w:rsidP="00A600A9">
            <w:pPr>
              <w:widowControl w:val="0"/>
              <w:spacing w:before="0" w:after="0" w:line="240" w:lineRule="auto"/>
              <w:jc w:val="center"/>
              <w:rPr>
                <w:rFonts w:cs="Arial"/>
                <w:b/>
                <w:bCs/>
                <w:szCs w:val="20"/>
              </w:rPr>
            </w:pPr>
            <w:r w:rsidRPr="00111DC0">
              <w:rPr>
                <w:rFonts w:cs="Arial"/>
                <w:b/>
                <w:bCs/>
                <w:szCs w:val="20"/>
              </w:rPr>
              <w:t>2017</w:t>
            </w:r>
          </w:p>
        </w:tc>
        <w:tc>
          <w:tcPr>
            <w:tcW w:w="804" w:type="pct"/>
            <w:gridSpan w:val="2"/>
            <w:tcBorders>
              <w:top w:val="double" w:sz="4" w:space="0" w:color="auto"/>
              <w:left w:val="double" w:sz="4" w:space="0" w:color="auto"/>
              <w:bottom w:val="double" w:sz="4" w:space="0" w:color="auto"/>
              <w:right w:val="double" w:sz="4" w:space="0" w:color="auto"/>
            </w:tcBorders>
            <w:vAlign w:val="center"/>
          </w:tcPr>
          <w:p w14:paraId="36814CA6" w14:textId="0BD98FB8" w:rsidR="0038508D" w:rsidRPr="00111DC0" w:rsidRDefault="0038508D" w:rsidP="00A600A9">
            <w:pPr>
              <w:widowControl w:val="0"/>
              <w:spacing w:before="0" w:after="0" w:line="240" w:lineRule="auto"/>
              <w:jc w:val="center"/>
              <w:rPr>
                <w:rFonts w:cs="Arial"/>
                <w:b/>
                <w:bCs/>
                <w:szCs w:val="20"/>
              </w:rPr>
            </w:pPr>
            <w:r w:rsidRPr="00111DC0">
              <w:rPr>
                <w:rFonts w:cs="Arial"/>
                <w:b/>
                <w:bCs/>
                <w:szCs w:val="20"/>
              </w:rPr>
              <w:t>2018</w:t>
            </w:r>
          </w:p>
        </w:tc>
        <w:tc>
          <w:tcPr>
            <w:tcW w:w="804" w:type="pct"/>
            <w:gridSpan w:val="2"/>
            <w:tcBorders>
              <w:top w:val="double" w:sz="4" w:space="0" w:color="auto"/>
              <w:left w:val="double" w:sz="4" w:space="0" w:color="auto"/>
              <w:bottom w:val="double" w:sz="4" w:space="0" w:color="auto"/>
              <w:right w:val="double" w:sz="4" w:space="0" w:color="auto"/>
            </w:tcBorders>
            <w:vAlign w:val="center"/>
          </w:tcPr>
          <w:p w14:paraId="05CCFD93" w14:textId="2E0388E3" w:rsidR="0038508D" w:rsidRPr="00111DC0" w:rsidRDefault="0038508D" w:rsidP="00A600A9">
            <w:pPr>
              <w:widowControl w:val="0"/>
              <w:spacing w:before="0" w:after="0" w:line="240" w:lineRule="auto"/>
              <w:jc w:val="center"/>
              <w:rPr>
                <w:rFonts w:cs="Arial"/>
                <w:b/>
                <w:bCs/>
                <w:szCs w:val="20"/>
              </w:rPr>
            </w:pPr>
            <w:r w:rsidRPr="00111DC0">
              <w:rPr>
                <w:rFonts w:cs="Arial"/>
                <w:b/>
                <w:bCs/>
                <w:szCs w:val="20"/>
              </w:rPr>
              <w:t>2019</w:t>
            </w:r>
          </w:p>
        </w:tc>
        <w:tc>
          <w:tcPr>
            <w:tcW w:w="804" w:type="pct"/>
            <w:gridSpan w:val="2"/>
            <w:tcBorders>
              <w:top w:val="double" w:sz="4" w:space="0" w:color="auto"/>
              <w:left w:val="double" w:sz="4" w:space="0" w:color="auto"/>
              <w:bottom w:val="double" w:sz="4" w:space="0" w:color="auto"/>
              <w:right w:val="double" w:sz="4" w:space="0" w:color="auto"/>
            </w:tcBorders>
            <w:vAlign w:val="center"/>
          </w:tcPr>
          <w:p w14:paraId="109AFBCF" w14:textId="6C8DF0BE" w:rsidR="0038508D" w:rsidRPr="00111DC0" w:rsidRDefault="0038508D" w:rsidP="00A600A9">
            <w:pPr>
              <w:widowControl w:val="0"/>
              <w:spacing w:before="0" w:after="0" w:line="240" w:lineRule="auto"/>
              <w:jc w:val="center"/>
              <w:rPr>
                <w:rFonts w:cs="Arial"/>
                <w:b/>
                <w:bCs/>
                <w:szCs w:val="20"/>
              </w:rPr>
            </w:pPr>
            <w:r w:rsidRPr="00111DC0">
              <w:rPr>
                <w:rFonts w:cs="Arial"/>
                <w:b/>
                <w:bCs/>
                <w:szCs w:val="20"/>
              </w:rPr>
              <w:t>2020</w:t>
            </w:r>
          </w:p>
        </w:tc>
        <w:tc>
          <w:tcPr>
            <w:tcW w:w="805" w:type="pct"/>
            <w:gridSpan w:val="2"/>
            <w:tcBorders>
              <w:top w:val="double" w:sz="4" w:space="0" w:color="auto"/>
              <w:left w:val="double" w:sz="4" w:space="0" w:color="auto"/>
              <w:bottom w:val="double" w:sz="4" w:space="0" w:color="auto"/>
              <w:right w:val="double" w:sz="4" w:space="0" w:color="auto"/>
            </w:tcBorders>
            <w:vAlign w:val="center"/>
          </w:tcPr>
          <w:p w14:paraId="54F70872" w14:textId="1523CBBD" w:rsidR="0038508D" w:rsidRPr="00111DC0" w:rsidRDefault="0038508D" w:rsidP="00A600A9">
            <w:pPr>
              <w:widowControl w:val="0"/>
              <w:spacing w:before="0" w:after="0" w:line="240" w:lineRule="auto"/>
              <w:jc w:val="center"/>
              <w:rPr>
                <w:rFonts w:cs="Arial"/>
                <w:b/>
                <w:bCs/>
                <w:szCs w:val="20"/>
              </w:rPr>
            </w:pPr>
            <w:r w:rsidRPr="00111DC0">
              <w:rPr>
                <w:rFonts w:cs="Arial"/>
                <w:b/>
                <w:bCs/>
                <w:szCs w:val="20"/>
              </w:rPr>
              <w:t>2021</w:t>
            </w:r>
          </w:p>
        </w:tc>
      </w:tr>
      <w:tr w:rsidR="00C97AB0" w:rsidRPr="00111DC0" w14:paraId="1B8A23E6" w14:textId="240BE0D9" w:rsidTr="00C97AB0">
        <w:trPr>
          <w:trHeight w:val="227"/>
        </w:trPr>
        <w:tc>
          <w:tcPr>
            <w:tcW w:w="979" w:type="pct"/>
            <w:vMerge/>
            <w:tcBorders>
              <w:left w:val="double" w:sz="4" w:space="0" w:color="auto"/>
              <w:bottom w:val="double" w:sz="4" w:space="0" w:color="auto"/>
              <w:right w:val="double" w:sz="4" w:space="0" w:color="auto"/>
            </w:tcBorders>
            <w:vAlign w:val="center"/>
          </w:tcPr>
          <w:p w14:paraId="464EDE78" w14:textId="16A3DC58" w:rsidR="0038508D" w:rsidRPr="00111DC0" w:rsidRDefault="0038508D" w:rsidP="00A600A9">
            <w:pPr>
              <w:widowControl w:val="0"/>
              <w:spacing w:before="0" w:after="0" w:line="240" w:lineRule="auto"/>
              <w:jc w:val="right"/>
              <w:rPr>
                <w:rFonts w:cs="Arial"/>
                <w:b/>
                <w:bCs/>
                <w:sz w:val="20"/>
                <w:szCs w:val="18"/>
              </w:rPr>
            </w:pPr>
          </w:p>
        </w:tc>
        <w:tc>
          <w:tcPr>
            <w:tcW w:w="402" w:type="pct"/>
            <w:tcBorders>
              <w:top w:val="double" w:sz="4" w:space="0" w:color="auto"/>
              <w:left w:val="double" w:sz="4" w:space="0" w:color="auto"/>
              <w:bottom w:val="double" w:sz="4" w:space="0" w:color="auto"/>
              <w:right w:val="single" w:sz="4" w:space="0" w:color="auto"/>
            </w:tcBorders>
            <w:shd w:val="clear" w:color="auto" w:fill="auto"/>
            <w:noWrap/>
            <w:vAlign w:val="center"/>
          </w:tcPr>
          <w:p w14:paraId="5AB989E5" w14:textId="194BC404" w:rsidR="0038508D" w:rsidRPr="00111DC0" w:rsidRDefault="0038508D" w:rsidP="00A600A9">
            <w:pPr>
              <w:widowControl w:val="0"/>
              <w:spacing w:before="0" w:after="0" w:line="240" w:lineRule="auto"/>
              <w:jc w:val="center"/>
              <w:rPr>
                <w:rFonts w:cs="Arial"/>
                <w:b/>
                <w:bCs/>
                <w:szCs w:val="20"/>
              </w:rPr>
            </w:pPr>
            <w:r w:rsidRPr="00111DC0">
              <w:rPr>
                <w:rFonts w:cs="Arial"/>
                <w:b/>
                <w:bCs/>
                <w:szCs w:val="20"/>
              </w:rPr>
              <w:t>M</w:t>
            </w:r>
          </w:p>
        </w:tc>
        <w:tc>
          <w:tcPr>
            <w:tcW w:w="402" w:type="pct"/>
            <w:tcBorders>
              <w:top w:val="double" w:sz="4" w:space="0" w:color="auto"/>
              <w:left w:val="nil"/>
              <w:bottom w:val="double" w:sz="4" w:space="0" w:color="auto"/>
              <w:right w:val="double" w:sz="4" w:space="0" w:color="auto"/>
            </w:tcBorders>
            <w:vAlign w:val="center"/>
          </w:tcPr>
          <w:p w14:paraId="1AEBEA0A" w14:textId="0AAB8355" w:rsidR="0038508D" w:rsidRPr="00111DC0" w:rsidRDefault="0038508D" w:rsidP="00A600A9">
            <w:pPr>
              <w:widowControl w:val="0"/>
              <w:spacing w:before="0" w:after="0" w:line="240" w:lineRule="auto"/>
              <w:jc w:val="center"/>
              <w:rPr>
                <w:rFonts w:cs="Arial"/>
                <w:b/>
                <w:bCs/>
                <w:szCs w:val="20"/>
              </w:rPr>
            </w:pPr>
            <w:r w:rsidRPr="00111DC0">
              <w:rPr>
                <w:rFonts w:cs="Arial"/>
                <w:b/>
                <w:bCs/>
                <w:szCs w:val="20"/>
              </w:rPr>
              <w:t>H</w:t>
            </w:r>
          </w:p>
        </w:tc>
        <w:tc>
          <w:tcPr>
            <w:tcW w:w="402" w:type="pct"/>
            <w:tcBorders>
              <w:top w:val="double" w:sz="4" w:space="0" w:color="auto"/>
              <w:left w:val="double" w:sz="4" w:space="0" w:color="auto"/>
              <w:bottom w:val="double" w:sz="4" w:space="0" w:color="auto"/>
              <w:right w:val="single" w:sz="4" w:space="0" w:color="auto"/>
            </w:tcBorders>
            <w:vAlign w:val="center"/>
          </w:tcPr>
          <w:p w14:paraId="677E3EEC" w14:textId="32182B29" w:rsidR="0038508D" w:rsidRPr="00111DC0" w:rsidRDefault="0038508D" w:rsidP="00A600A9">
            <w:pPr>
              <w:widowControl w:val="0"/>
              <w:spacing w:before="0" w:after="0" w:line="240" w:lineRule="auto"/>
              <w:jc w:val="center"/>
              <w:rPr>
                <w:rFonts w:cs="Arial"/>
                <w:b/>
                <w:bCs/>
                <w:szCs w:val="20"/>
              </w:rPr>
            </w:pPr>
            <w:r w:rsidRPr="00111DC0">
              <w:rPr>
                <w:rFonts w:cs="Arial"/>
                <w:b/>
                <w:bCs/>
                <w:szCs w:val="20"/>
              </w:rPr>
              <w:t>M</w:t>
            </w:r>
          </w:p>
        </w:tc>
        <w:tc>
          <w:tcPr>
            <w:tcW w:w="402" w:type="pct"/>
            <w:tcBorders>
              <w:top w:val="double" w:sz="4" w:space="0" w:color="auto"/>
              <w:left w:val="nil"/>
              <w:bottom w:val="double" w:sz="4" w:space="0" w:color="auto"/>
              <w:right w:val="double" w:sz="4" w:space="0" w:color="auto"/>
            </w:tcBorders>
            <w:vAlign w:val="center"/>
          </w:tcPr>
          <w:p w14:paraId="7140D3E6" w14:textId="643CA3BA" w:rsidR="0038508D" w:rsidRPr="00111DC0" w:rsidRDefault="0038508D" w:rsidP="00A600A9">
            <w:pPr>
              <w:widowControl w:val="0"/>
              <w:spacing w:before="0" w:after="0" w:line="240" w:lineRule="auto"/>
              <w:jc w:val="center"/>
              <w:rPr>
                <w:rFonts w:cs="Arial"/>
                <w:b/>
                <w:bCs/>
                <w:szCs w:val="20"/>
              </w:rPr>
            </w:pPr>
            <w:r w:rsidRPr="00111DC0">
              <w:rPr>
                <w:rFonts w:cs="Arial"/>
                <w:b/>
                <w:bCs/>
                <w:szCs w:val="20"/>
              </w:rPr>
              <w:t>H</w:t>
            </w:r>
          </w:p>
        </w:tc>
        <w:tc>
          <w:tcPr>
            <w:tcW w:w="402" w:type="pct"/>
            <w:tcBorders>
              <w:top w:val="double" w:sz="4" w:space="0" w:color="auto"/>
              <w:left w:val="double" w:sz="4" w:space="0" w:color="auto"/>
              <w:bottom w:val="double" w:sz="4" w:space="0" w:color="auto"/>
              <w:right w:val="single" w:sz="4" w:space="0" w:color="auto"/>
            </w:tcBorders>
            <w:vAlign w:val="center"/>
          </w:tcPr>
          <w:p w14:paraId="5F0E1B89" w14:textId="3F0CF492" w:rsidR="0038508D" w:rsidRPr="00111DC0" w:rsidRDefault="0038508D" w:rsidP="00A600A9">
            <w:pPr>
              <w:widowControl w:val="0"/>
              <w:spacing w:before="0" w:after="0" w:line="240" w:lineRule="auto"/>
              <w:jc w:val="center"/>
              <w:rPr>
                <w:rFonts w:cs="Arial"/>
                <w:b/>
                <w:bCs/>
                <w:szCs w:val="20"/>
              </w:rPr>
            </w:pPr>
            <w:r w:rsidRPr="00111DC0">
              <w:rPr>
                <w:rFonts w:cs="Arial"/>
                <w:b/>
                <w:bCs/>
                <w:szCs w:val="20"/>
              </w:rPr>
              <w:t>M</w:t>
            </w:r>
          </w:p>
        </w:tc>
        <w:tc>
          <w:tcPr>
            <w:tcW w:w="402" w:type="pct"/>
            <w:tcBorders>
              <w:top w:val="double" w:sz="4" w:space="0" w:color="auto"/>
              <w:left w:val="nil"/>
              <w:bottom w:val="double" w:sz="4" w:space="0" w:color="auto"/>
              <w:right w:val="double" w:sz="4" w:space="0" w:color="auto"/>
            </w:tcBorders>
            <w:vAlign w:val="center"/>
          </w:tcPr>
          <w:p w14:paraId="3B432FB6" w14:textId="6F0F4A58" w:rsidR="0038508D" w:rsidRPr="00111DC0" w:rsidRDefault="0038508D" w:rsidP="00A600A9">
            <w:pPr>
              <w:widowControl w:val="0"/>
              <w:spacing w:before="0" w:after="0" w:line="240" w:lineRule="auto"/>
              <w:jc w:val="center"/>
              <w:rPr>
                <w:rFonts w:cs="Arial"/>
                <w:b/>
                <w:bCs/>
                <w:szCs w:val="20"/>
              </w:rPr>
            </w:pPr>
            <w:r w:rsidRPr="00111DC0">
              <w:rPr>
                <w:rFonts w:cs="Arial"/>
                <w:b/>
                <w:bCs/>
                <w:szCs w:val="20"/>
              </w:rPr>
              <w:t>H</w:t>
            </w:r>
          </w:p>
        </w:tc>
        <w:tc>
          <w:tcPr>
            <w:tcW w:w="402" w:type="pct"/>
            <w:tcBorders>
              <w:top w:val="double" w:sz="4" w:space="0" w:color="auto"/>
              <w:left w:val="double" w:sz="4" w:space="0" w:color="auto"/>
              <w:bottom w:val="double" w:sz="4" w:space="0" w:color="auto"/>
              <w:right w:val="single" w:sz="4" w:space="0" w:color="auto"/>
            </w:tcBorders>
            <w:vAlign w:val="center"/>
          </w:tcPr>
          <w:p w14:paraId="77F54F8E" w14:textId="18BE6AF2" w:rsidR="0038508D" w:rsidRPr="00111DC0" w:rsidRDefault="0038508D" w:rsidP="00A600A9">
            <w:pPr>
              <w:widowControl w:val="0"/>
              <w:spacing w:before="0" w:after="0" w:line="240" w:lineRule="auto"/>
              <w:jc w:val="center"/>
              <w:rPr>
                <w:rFonts w:cs="Arial"/>
                <w:b/>
                <w:bCs/>
                <w:szCs w:val="20"/>
              </w:rPr>
            </w:pPr>
            <w:r w:rsidRPr="00111DC0">
              <w:rPr>
                <w:rFonts w:cs="Arial"/>
                <w:b/>
                <w:bCs/>
                <w:szCs w:val="20"/>
              </w:rPr>
              <w:t>M</w:t>
            </w:r>
          </w:p>
        </w:tc>
        <w:tc>
          <w:tcPr>
            <w:tcW w:w="402" w:type="pct"/>
            <w:tcBorders>
              <w:top w:val="double" w:sz="4" w:space="0" w:color="auto"/>
              <w:left w:val="nil"/>
              <w:bottom w:val="double" w:sz="4" w:space="0" w:color="auto"/>
              <w:right w:val="double" w:sz="4" w:space="0" w:color="auto"/>
            </w:tcBorders>
            <w:vAlign w:val="center"/>
          </w:tcPr>
          <w:p w14:paraId="18F9F89E" w14:textId="5C1971E5" w:rsidR="0038508D" w:rsidRPr="00111DC0" w:rsidRDefault="0038508D" w:rsidP="00A600A9">
            <w:pPr>
              <w:widowControl w:val="0"/>
              <w:spacing w:before="0" w:after="0" w:line="240" w:lineRule="auto"/>
              <w:jc w:val="center"/>
              <w:rPr>
                <w:rFonts w:cs="Arial"/>
                <w:b/>
                <w:bCs/>
                <w:szCs w:val="20"/>
              </w:rPr>
            </w:pPr>
            <w:r w:rsidRPr="00111DC0">
              <w:rPr>
                <w:rFonts w:cs="Arial"/>
                <w:b/>
                <w:bCs/>
                <w:szCs w:val="20"/>
              </w:rPr>
              <w:t>H</w:t>
            </w:r>
          </w:p>
        </w:tc>
        <w:tc>
          <w:tcPr>
            <w:tcW w:w="402" w:type="pct"/>
            <w:tcBorders>
              <w:top w:val="double" w:sz="4" w:space="0" w:color="auto"/>
              <w:left w:val="double" w:sz="4" w:space="0" w:color="auto"/>
              <w:bottom w:val="double" w:sz="4" w:space="0" w:color="auto"/>
              <w:right w:val="single" w:sz="4" w:space="0" w:color="auto"/>
            </w:tcBorders>
            <w:vAlign w:val="center"/>
          </w:tcPr>
          <w:p w14:paraId="48C38CF4" w14:textId="741CA403" w:rsidR="0038508D" w:rsidRPr="00111DC0" w:rsidRDefault="0038508D" w:rsidP="00A600A9">
            <w:pPr>
              <w:widowControl w:val="0"/>
              <w:spacing w:before="0" w:after="0" w:line="240" w:lineRule="auto"/>
              <w:jc w:val="center"/>
              <w:rPr>
                <w:rFonts w:cs="Arial"/>
                <w:b/>
                <w:bCs/>
                <w:szCs w:val="20"/>
              </w:rPr>
            </w:pPr>
            <w:r w:rsidRPr="00111DC0">
              <w:rPr>
                <w:rFonts w:cs="Arial"/>
                <w:b/>
                <w:bCs/>
                <w:szCs w:val="20"/>
              </w:rPr>
              <w:t>M</w:t>
            </w:r>
          </w:p>
        </w:tc>
        <w:tc>
          <w:tcPr>
            <w:tcW w:w="402" w:type="pct"/>
            <w:tcBorders>
              <w:top w:val="double" w:sz="4" w:space="0" w:color="auto"/>
              <w:left w:val="nil"/>
              <w:bottom w:val="double" w:sz="4" w:space="0" w:color="auto"/>
              <w:right w:val="double" w:sz="4" w:space="0" w:color="auto"/>
            </w:tcBorders>
            <w:vAlign w:val="center"/>
          </w:tcPr>
          <w:p w14:paraId="76BD99BA" w14:textId="09CCF371" w:rsidR="0038508D" w:rsidRPr="00111DC0" w:rsidRDefault="0038508D" w:rsidP="00A600A9">
            <w:pPr>
              <w:widowControl w:val="0"/>
              <w:spacing w:before="0" w:after="0" w:line="240" w:lineRule="auto"/>
              <w:jc w:val="center"/>
              <w:rPr>
                <w:rFonts w:cs="Arial"/>
                <w:b/>
                <w:bCs/>
                <w:szCs w:val="20"/>
              </w:rPr>
            </w:pPr>
            <w:r w:rsidRPr="00111DC0">
              <w:rPr>
                <w:rFonts w:cs="Arial"/>
                <w:b/>
                <w:bCs/>
                <w:szCs w:val="20"/>
              </w:rPr>
              <w:t>H</w:t>
            </w:r>
          </w:p>
        </w:tc>
      </w:tr>
      <w:tr w:rsidR="00C97AB0" w:rsidRPr="00111DC0" w14:paraId="1C301B25" w14:textId="62BF7DE9" w:rsidTr="00C97AB0">
        <w:trPr>
          <w:trHeight w:val="227"/>
        </w:trPr>
        <w:tc>
          <w:tcPr>
            <w:tcW w:w="979" w:type="pct"/>
            <w:tcBorders>
              <w:top w:val="double" w:sz="4" w:space="0" w:color="auto"/>
              <w:left w:val="double" w:sz="4" w:space="0" w:color="auto"/>
              <w:bottom w:val="single" w:sz="4" w:space="0" w:color="auto"/>
              <w:right w:val="double" w:sz="4" w:space="0" w:color="auto"/>
            </w:tcBorders>
            <w:vAlign w:val="center"/>
          </w:tcPr>
          <w:p w14:paraId="1D8FECAC" w14:textId="6D64FD24" w:rsidR="00845E47" w:rsidRPr="00EF2ED1" w:rsidRDefault="00845E47" w:rsidP="00A600A9">
            <w:pPr>
              <w:widowControl w:val="0"/>
              <w:spacing w:before="0" w:after="0" w:line="240" w:lineRule="auto"/>
              <w:jc w:val="right"/>
              <w:rPr>
                <w:rFonts w:cs="Arial"/>
                <w:sz w:val="18"/>
                <w:szCs w:val="16"/>
              </w:rPr>
            </w:pPr>
            <w:proofErr w:type="spellStart"/>
            <w:r w:rsidRPr="00EF2ED1">
              <w:rPr>
                <w:rFonts w:cs="Arial"/>
                <w:sz w:val="18"/>
                <w:szCs w:val="16"/>
              </w:rPr>
              <w:t>Func</w:t>
            </w:r>
            <w:proofErr w:type="spellEnd"/>
            <w:r w:rsidRPr="00EF2ED1">
              <w:rPr>
                <w:rFonts w:cs="Arial"/>
                <w:sz w:val="18"/>
                <w:szCs w:val="16"/>
              </w:rPr>
              <w:t xml:space="preserve">. de </w:t>
            </w:r>
            <w:r w:rsidR="003070B4" w:rsidRPr="00EF2ED1">
              <w:rPr>
                <w:rFonts w:cs="Arial"/>
                <w:sz w:val="18"/>
                <w:szCs w:val="16"/>
              </w:rPr>
              <w:t>c</w:t>
            </w:r>
            <w:r w:rsidRPr="00EF2ED1">
              <w:rPr>
                <w:rFonts w:cs="Arial"/>
                <w:sz w:val="18"/>
                <w:szCs w:val="16"/>
              </w:rPr>
              <w:t>arrera</w:t>
            </w:r>
          </w:p>
        </w:tc>
        <w:tc>
          <w:tcPr>
            <w:tcW w:w="402" w:type="pct"/>
            <w:tcBorders>
              <w:top w:val="double" w:sz="4" w:space="0" w:color="auto"/>
              <w:left w:val="double" w:sz="4" w:space="0" w:color="auto"/>
              <w:bottom w:val="single" w:sz="4" w:space="0" w:color="auto"/>
              <w:right w:val="single" w:sz="4" w:space="0" w:color="auto"/>
            </w:tcBorders>
            <w:shd w:val="clear" w:color="auto" w:fill="auto"/>
            <w:noWrap/>
            <w:vAlign w:val="center"/>
          </w:tcPr>
          <w:p w14:paraId="35774C37" w14:textId="22654DB9"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59%</w:t>
            </w:r>
          </w:p>
        </w:tc>
        <w:tc>
          <w:tcPr>
            <w:tcW w:w="402" w:type="pct"/>
            <w:tcBorders>
              <w:top w:val="double" w:sz="4" w:space="0" w:color="auto"/>
              <w:left w:val="nil"/>
              <w:bottom w:val="single" w:sz="4" w:space="0" w:color="auto"/>
              <w:right w:val="double" w:sz="4" w:space="0" w:color="auto"/>
            </w:tcBorders>
            <w:vAlign w:val="center"/>
          </w:tcPr>
          <w:p w14:paraId="3CB3A9A1" w14:textId="79F4154D"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49%</w:t>
            </w:r>
          </w:p>
        </w:tc>
        <w:tc>
          <w:tcPr>
            <w:tcW w:w="402" w:type="pct"/>
            <w:tcBorders>
              <w:top w:val="double" w:sz="4" w:space="0" w:color="auto"/>
              <w:left w:val="double" w:sz="4" w:space="0" w:color="auto"/>
              <w:bottom w:val="single" w:sz="4" w:space="0" w:color="auto"/>
              <w:right w:val="single" w:sz="4" w:space="0" w:color="auto"/>
            </w:tcBorders>
            <w:vAlign w:val="center"/>
          </w:tcPr>
          <w:p w14:paraId="537F628C" w14:textId="2CB335DD"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61%</w:t>
            </w:r>
          </w:p>
        </w:tc>
        <w:tc>
          <w:tcPr>
            <w:tcW w:w="402" w:type="pct"/>
            <w:tcBorders>
              <w:top w:val="double" w:sz="4" w:space="0" w:color="auto"/>
              <w:left w:val="nil"/>
              <w:bottom w:val="single" w:sz="4" w:space="0" w:color="auto"/>
              <w:right w:val="double" w:sz="4" w:space="0" w:color="auto"/>
            </w:tcBorders>
            <w:vAlign w:val="center"/>
          </w:tcPr>
          <w:p w14:paraId="58F485A0" w14:textId="27D41086"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40</w:t>
            </w:r>
            <w:r w:rsidR="00184244" w:rsidRPr="00A600A9">
              <w:rPr>
                <w:rFonts w:cs="Arial"/>
                <w:sz w:val="18"/>
                <w:szCs w:val="16"/>
              </w:rPr>
              <w:t>%</w:t>
            </w:r>
          </w:p>
        </w:tc>
        <w:tc>
          <w:tcPr>
            <w:tcW w:w="402" w:type="pct"/>
            <w:tcBorders>
              <w:top w:val="double" w:sz="4" w:space="0" w:color="auto"/>
              <w:left w:val="double" w:sz="4" w:space="0" w:color="auto"/>
              <w:bottom w:val="single" w:sz="4" w:space="0" w:color="auto"/>
              <w:right w:val="single" w:sz="4" w:space="0" w:color="auto"/>
            </w:tcBorders>
            <w:vAlign w:val="center"/>
          </w:tcPr>
          <w:p w14:paraId="37B73320" w14:textId="1D1DD89D"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57</w:t>
            </w:r>
            <w:r w:rsidR="00184244" w:rsidRPr="00A600A9">
              <w:rPr>
                <w:rFonts w:cs="Arial"/>
                <w:sz w:val="18"/>
                <w:szCs w:val="16"/>
              </w:rPr>
              <w:t>%</w:t>
            </w:r>
          </w:p>
        </w:tc>
        <w:tc>
          <w:tcPr>
            <w:tcW w:w="402" w:type="pct"/>
            <w:tcBorders>
              <w:top w:val="double" w:sz="4" w:space="0" w:color="auto"/>
              <w:left w:val="nil"/>
              <w:bottom w:val="single" w:sz="4" w:space="0" w:color="auto"/>
              <w:right w:val="double" w:sz="4" w:space="0" w:color="auto"/>
            </w:tcBorders>
            <w:vAlign w:val="center"/>
          </w:tcPr>
          <w:p w14:paraId="0A3130F7" w14:textId="1636ABEA"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47</w:t>
            </w:r>
            <w:r w:rsidR="003A7AC4" w:rsidRPr="00A600A9">
              <w:rPr>
                <w:rFonts w:cs="Arial"/>
                <w:sz w:val="18"/>
                <w:szCs w:val="16"/>
              </w:rPr>
              <w:t>%</w:t>
            </w:r>
          </w:p>
        </w:tc>
        <w:tc>
          <w:tcPr>
            <w:tcW w:w="402" w:type="pct"/>
            <w:tcBorders>
              <w:top w:val="double" w:sz="4" w:space="0" w:color="auto"/>
              <w:left w:val="double" w:sz="4" w:space="0" w:color="auto"/>
              <w:bottom w:val="single" w:sz="4" w:space="0" w:color="auto"/>
              <w:right w:val="single" w:sz="4" w:space="0" w:color="auto"/>
            </w:tcBorders>
            <w:vAlign w:val="center"/>
          </w:tcPr>
          <w:p w14:paraId="4862AF72" w14:textId="4A6DEF52"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55</w:t>
            </w:r>
            <w:r w:rsidR="003A7AC4" w:rsidRPr="00A600A9">
              <w:rPr>
                <w:rFonts w:cs="Arial"/>
                <w:sz w:val="18"/>
                <w:szCs w:val="16"/>
              </w:rPr>
              <w:t>%</w:t>
            </w:r>
          </w:p>
        </w:tc>
        <w:tc>
          <w:tcPr>
            <w:tcW w:w="402" w:type="pct"/>
            <w:tcBorders>
              <w:top w:val="double" w:sz="4" w:space="0" w:color="auto"/>
              <w:left w:val="nil"/>
              <w:bottom w:val="single" w:sz="4" w:space="0" w:color="auto"/>
              <w:right w:val="double" w:sz="4" w:space="0" w:color="auto"/>
            </w:tcBorders>
            <w:vAlign w:val="center"/>
          </w:tcPr>
          <w:p w14:paraId="0CF18E52" w14:textId="76830948"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47</w:t>
            </w:r>
            <w:r w:rsidR="003A7AC4" w:rsidRPr="00A600A9">
              <w:rPr>
                <w:rFonts w:cs="Arial"/>
                <w:sz w:val="18"/>
                <w:szCs w:val="16"/>
              </w:rPr>
              <w:t>%</w:t>
            </w:r>
          </w:p>
        </w:tc>
        <w:tc>
          <w:tcPr>
            <w:tcW w:w="402" w:type="pct"/>
            <w:tcBorders>
              <w:top w:val="double" w:sz="4" w:space="0" w:color="auto"/>
              <w:left w:val="double" w:sz="4" w:space="0" w:color="auto"/>
              <w:bottom w:val="single" w:sz="4" w:space="0" w:color="auto"/>
              <w:right w:val="single" w:sz="4" w:space="0" w:color="auto"/>
            </w:tcBorders>
            <w:vAlign w:val="center"/>
          </w:tcPr>
          <w:p w14:paraId="29ED9477" w14:textId="1C080FF6" w:rsidR="00845E47" w:rsidRPr="00A600A9" w:rsidRDefault="004F1E98" w:rsidP="00A600A9">
            <w:pPr>
              <w:widowControl w:val="0"/>
              <w:spacing w:before="0" w:after="0" w:line="240" w:lineRule="auto"/>
              <w:jc w:val="center"/>
              <w:rPr>
                <w:rFonts w:cs="Arial"/>
                <w:sz w:val="18"/>
                <w:szCs w:val="16"/>
              </w:rPr>
            </w:pPr>
            <w:r w:rsidRPr="00A600A9">
              <w:rPr>
                <w:rFonts w:cs="Arial"/>
                <w:sz w:val="18"/>
                <w:szCs w:val="16"/>
              </w:rPr>
              <w:t>51</w:t>
            </w:r>
            <w:r w:rsidR="003A7AC4" w:rsidRPr="00A600A9">
              <w:rPr>
                <w:rFonts w:cs="Arial"/>
                <w:sz w:val="18"/>
                <w:szCs w:val="16"/>
              </w:rPr>
              <w:t>%</w:t>
            </w:r>
          </w:p>
        </w:tc>
        <w:tc>
          <w:tcPr>
            <w:tcW w:w="402" w:type="pct"/>
            <w:tcBorders>
              <w:top w:val="double" w:sz="4" w:space="0" w:color="auto"/>
              <w:left w:val="nil"/>
              <w:bottom w:val="single" w:sz="4" w:space="0" w:color="auto"/>
              <w:right w:val="double" w:sz="4" w:space="0" w:color="auto"/>
            </w:tcBorders>
            <w:vAlign w:val="center"/>
          </w:tcPr>
          <w:p w14:paraId="674E51E6" w14:textId="7C590D21" w:rsidR="00845E47" w:rsidRPr="00A600A9" w:rsidRDefault="004F1E98" w:rsidP="00A600A9">
            <w:pPr>
              <w:widowControl w:val="0"/>
              <w:spacing w:before="0" w:after="0" w:line="240" w:lineRule="auto"/>
              <w:jc w:val="center"/>
              <w:rPr>
                <w:rFonts w:cs="Arial"/>
                <w:sz w:val="18"/>
                <w:szCs w:val="16"/>
              </w:rPr>
            </w:pPr>
            <w:r w:rsidRPr="00A600A9">
              <w:rPr>
                <w:rFonts w:cs="Arial"/>
                <w:sz w:val="18"/>
                <w:szCs w:val="16"/>
              </w:rPr>
              <w:t>44</w:t>
            </w:r>
            <w:r w:rsidR="003A7AC4" w:rsidRPr="00A600A9">
              <w:rPr>
                <w:rFonts w:cs="Arial"/>
                <w:sz w:val="18"/>
                <w:szCs w:val="16"/>
              </w:rPr>
              <w:t>%</w:t>
            </w:r>
          </w:p>
        </w:tc>
      </w:tr>
      <w:tr w:rsidR="00C97AB0" w:rsidRPr="00111DC0" w14:paraId="0A0976AE" w14:textId="42A8C0DE" w:rsidTr="00C97AB0">
        <w:trPr>
          <w:trHeight w:val="227"/>
        </w:trPr>
        <w:tc>
          <w:tcPr>
            <w:tcW w:w="979" w:type="pct"/>
            <w:tcBorders>
              <w:top w:val="single" w:sz="4" w:space="0" w:color="auto"/>
              <w:left w:val="double" w:sz="4" w:space="0" w:color="auto"/>
              <w:bottom w:val="single" w:sz="4" w:space="0" w:color="auto"/>
              <w:right w:val="double" w:sz="4" w:space="0" w:color="auto"/>
            </w:tcBorders>
            <w:vAlign w:val="center"/>
          </w:tcPr>
          <w:p w14:paraId="7C8E22BE" w14:textId="59C00AC9" w:rsidR="00845E47" w:rsidRPr="00EF2ED1" w:rsidRDefault="00845E47" w:rsidP="00A600A9">
            <w:pPr>
              <w:widowControl w:val="0"/>
              <w:spacing w:before="0" w:after="0" w:line="240" w:lineRule="auto"/>
              <w:jc w:val="right"/>
              <w:rPr>
                <w:rFonts w:cs="Arial"/>
                <w:sz w:val="18"/>
                <w:szCs w:val="16"/>
              </w:rPr>
            </w:pPr>
            <w:proofErr w:type="spellStart"/>
            <w:r w:rsidRPr="00EF2ED1">
              <w:rPr>
                <w:rFonts w:cs="Arial"/>
                <w:sz w:val="18"/>
                <w:szCs w:val="16"/>
              </w:rPr>
              <w:t>Func</w:t>
            </w:r>
            <w:proofErr w:type="spellEnd"/>
            <w:r w:rsidRPr="00EF2ED1">
              <w:rPr>
                <w:rFonts w:cs="Arial"/>
                <w:sz w:val="18"/>
                <w:szCs w:val="16"/>
              </w:rPr>
              <w:t>. Interino</w:t>
            </w:r>
          </w:p>
        </w:tc>
        <w:tc>
          <w:tcPr>
            <w:tcW w:w="402" w:type="pct"/>
            <w:tcBorders>
              <w:top w:val="single" w:sz="4" w:space="0" w:color="auto"/>
              <w:left w:val="double" w:sz="4" w:space="0" w:color="auto"/>
              <w:bottom w:val="single" w:sz="4" w:space="0" w:color="auto"/>
              <w:right w:val="single" w:sz="4" w:space="0" w:color="auto"/>
            </w:tcBorders>
            <w:shd w:val="clear" w:color="auto" w:fill="auto"/>
            <w:noWrap/>
            <w:vAlign w:val="center"/>
          </w:tcPr>
          <w:p w14:paraId="73D7DE16" w14:textId="6673DC22"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26%</w:t>
            </w:r>
          </w:p>
        </w:tc>
        <w:tc>
          <w:tcPr>
            <w:tcW w:w="402" w:type="pct"/>
            <w:tcBorders>
              <w:top w:val="single" w:sz="4" w:space="0" w:color="auto"/>
              <w:left w:val="nil"/>
              <w:bottom w:val="single" w:sz="4" w:space="0" w:color="auto"/>
              <w:right w:val="double" w:sz="4" w:space="0" w:color="auto"/>
            </w:tcBorders>
            <w:vAlign w:val="center"/>
          </w:tcPr>
          <w:p w14:paraId="3B6FF6FE" w14:textId="3B0F85AE"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13%</w:t>
            </w:r>
          </w:p>
        </w:tc>
        <w:tc>
          <w:tcPr>
            <w:tcW w:w="402" w:type="pct"/>
            <w:tcBorders>
              <w:top w:val="single" w:sz="4" w:space="0" w:color="auto"/>
              <w:left w:val="double" w:sz="4" w:space="0" w:color="auto"/>
              <w:bottom w:val="single" w:sz="4" w:space="0" w:color="auto"/>
              <w:right w:val="single" w:sz="4" w:space="0" w:color="auto"/>
            </w:tcBorders>
            <w:vAlign w:val="center"/>
          </w:tcPr>
          <w:p w14:paraId="516331A2" w14:textId="7B0E0F44"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25%</w:t>
            </w:r>
          </w:p>
        </w:tc>
        <w:tc>
          <w:tcPr>
            <w:tcW w:w="402" w:type="pct"/>
            <w:tcBorders>
              <w:top w:val="single" w:sz="4" w:space="0" w:color="auto"/>
              <w:left w:val="nil"/>
              <w:bottom w:val="single" w:sz="4" w:space="0" w:color="auto"/>
              <w:right w:val="double" w:sz="4" w:space="0" w:color="auto"/>
            </w:tcBorders>
            <w:vAlign w:val="center"/>
          </w:tcPr>
          <w:p w14:paraId="6573F901" w14:textId="1C0A32EA"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13</w:t>
            </w:r>
            <w:r w:rsidR="00270CA2" w:rsidRPr="00A600A9">
              <w:rPr>
                <w:rFonts w:cs="Arial"/>
                <w:sz w:val="18"/>
                <w:szCs w:val="16"/>
              </w:rPr>
              <w:t>%</w:t>
            </w:r>
          </w:p>
        </w:tc>
        <w:tc>
          <w:tcPr>
            <w:tcW w:w="402" w:type="pct"/>
            <w:tcBorders>
              <w:top w:val="single" w:sz="4" w:space="0" w:color="auto"/>
              <w:left w:val="double" w:sz="4" w:space="0" w:color="auto"/>
              <w:bottom w:val="single" w:sz="4" w:space="0" w:color="auto"/>
              <w:right w:val="single" w:sz="4" w:space="0" w:color="auto"/>
            </w:tcBorders>
            <w:vAlign w:val="center"/>
          </w:tcPr>
          <w:p w14:paraId="2D247D72" w14:textId="2D884E7B"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28</w:t>
            </w:r>
            <w:r w:rsidR="00270CA2" w:rsidRPr="00A600A9">
              <w:rPr>
                <w:rFonts w:cs="Arial"/>
                <w:sz w:val="18"/>
                <w:szCs w:val="16"/>
              </w:rPr>
              <w:t>%</w:t>
            </w:r>
          </w:p>
        </w:tc>
        <w:tc>
          <w:tcPr>
            <w:tcW w:w="402" w:type="pct"/>
            <w:tcBorders>
              <w:top w:val="single" w:sz="4" w:space="0" w:color="auto"/>
              <w:left w:val="nil"/>
              <w:bottom w:val="single" w:sz="4" w:space="0" w:color="auto"/>
              <w:right w:val="double" w:sz="4" w:space="0" w:color="auto"/>
            </w:tcBorders>
            <w:vAlign w:val="center"/>
          </w:tcPr>
          <w:p w14:paraId="6BED4F56" w14:textId="6137802D"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16</w:t>
            </w:r>
            <w:r w:rsidR="00270CA2" w:rsidRPr="00A600A9">
              <w:rPr>
                <w:rFonts w:cs="Arial"/>
                <w:sz w:val="18"/>
                <w:szCs w:val="16"/>
              </w:rPr>
              <w:t>%</w:t>
            </w:r>
          </w:p>
        </w:tc>
        <w:tc>
          <w:tcPr>
            <w:tcW w:w="402" w:type="pct"/>
            <w:tcBorders>
              <w:top w:val="single" w:sz="4" w:space="0" w:color="auto"/>
              <w:left w:val="double" w:sz="4" w:space="0" w:color="auto"/>
              <w:bottom w:val="single" w:sz="4" w:space="0" w:color="auto"/>
              <w:right w:val="single" w:sz="4" w:space="0" w:color="auto"/>
            </w:tcBorders>
            <w:vAlign w:val="center"/>
          </w:tcPr>
          <w:p w14:paraId="3F38FF84" w14:textId="293D20BB"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31</w:t>
            </w:r>
            <w:r w:rsidR="00270CA2" w:rsidRPr="00A600A9">
              <w:rPr>
                <w:rFonts w:cs="Arial"/>
                <w:sz w:val="18"/>
                <w:szCs w:val="16"/>
              </w:rPr>
              <w:t>%</w:t>
            </w:r>
          </w:p>
        </w:tc>
        <w:tc>
          <w:tcPr>
            <w:tcW w:w="402" w:type="pct"/>
            <w:tcBorders>
              <w:top w:val="single" w:sz="4" w:space="0" w:color="auto"/>
              <w:left w:val="nil"/>
              <w:bottom w:val="single" w:sz="4" w:space="0" w:color="auto"/>
              <w:right w:val="double" w:sz="4" w:space="0" w:color="auto"/>
            </w:tcBorders>
            <w:vAlign w:val="center"/>
          </w:tcPr>
          <w:p w14:paraId="08AF3F2D" w14:textId="291D6C5E"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16</w:t>
            </w:r>
            <w:r w:rsidR="00270CA2" w:rsidRPr="00A600A9">
              <w:rPr>
                <w:rFonts w:cs="Arial"/>
                <w:sz w:val="18"/>
                <w:szCs w:val="16"/>
              </w:rPr>
              <w:t>%</w:t>
            </w:r>
          </w:p>
        </w:tc>
        <w:tc>
          <w:tcPr>
            <w:tcW w:w="402" w:type="pct"/>
            <w:tcBorders>
              <w:top w:val="single" w:sz="4" w:space="0" w:color="auto"/>
              <w:left w:val="double" w:sz="4" w:space="0" w:color="auto"/>
              <w:bottom w:val="single" w:sz="4" w:space="0" w:color="auto"/>
              <w:right w:val="single" w:sz="4" w:space="0" w:color="auto"/>
            </w:tcBorders>
            <w:vAlign w:val="center"/>
          </w:tcPr>
          <w:p w14:paraId="46175B1E" w14:textId="68D32218" w:rsidR="00845E47" w:rsidRPr="00A600A9" w:rsidRDefault="004F1E98" w:rsidP="00A600A9">
            <w:pPr>
              <w:widowControl w:val="0"/>
              <w:spacing w:before="0" w:after="0" w:line="240" w:lineRule="auto"/>
              <w:jc w:val="center"/>
              <w:rPr>
                <w:rFonts w:cs="Arial"/>
                <w:sz w:val="18"/>
                <w:szCs w:val="16"/>
              </w:rPr>
            </w:pPr>
            <w:r w:rsidRPr="00A600A9">
              <w:rPr>
                <w:rFonts w:cs="Arial"/>
                <w:sz w:val="18"/>
                <w:szCs w:val="16"/>
              </w:rPr>
              <w:t>35</w:t>
            </w:r>
            <w:r w:rsidR="00270CA2" w:rsidRPr="00A600A9">
              <w:rPr>
                <w:rFonts w:cs="Arial"/>
                <w:sz w:val="18"/>
                <w:szCs w:val="16"/>
              </w:rPr>
              <w:t>%</w:t>
            </w:r>
          </w:p>
        </w:tc>
        <w:tc>
          <w:tcPr>
            <w:tcW w:w="402" w:type="pct"/>
            <w:tcBorders>
              <w:top w:val="single" w:sz="4" w:space="0" w:color="auto"/>
              <w:left w:val="nil"/>
              <w:bottom w:val="single" w:sz="4" w:space="0" w:color="auto"/>
              <w:right w:val="double" w:sz="4" w:space="0" w:color="auto"/>
            </w:tcBorders>
            <w:vAlign w:val="center"/>
          </w:tcPr>
          <w:p w14:paraId="5EFBD618" w14:textId="06CFEBA8" w:rsidR="00845E47" w:rsidRPr="00A600A9" w:rsidRDefault="004F1E98" w:rsidP="00A600A9">
            <w:pPr>
              <w:widowControl w:val="0"/>
              <w:spacing w:before="0" w:after="0" w:line="240" w:lineRule="auto"/>
              <w:jc w:val="center"/>
              <w:rPr>
                <w:rFonts w:cs="Arial"/>
                <w:sz w:val="18"/>
                <w:szCs w:val="16"/>
              </w:rPr>
            </w:pPr>
            <w:r w:rsidRPr="00A600A9">
              <w:rPr>
                <w:rFonts w:cs="Arial"/>
                <w:sz w:val="18"/>
                <w:szCs w:val="16"/>
              </w:rPr>
              <w:t>19</w:t>
            </w:r>
            <w:r w:rsidR="00270CA2" w:rsidRPr="00A600A9">
              <w:rPr>
                <w:rFonts w:cs="Arial"/>
                <w:sz w:val="18"/>
                <w:szCs w:val="16"/>
              </w:rPr>
              <w:t>%</w:t>
            </w:r>
          </w:p>
        </w:tc>
      </w:tr>
      <w:tr w:rsidR="00C97AB0" w:rsidRPr="00111DC0" w14:paraId="501E0EA7" w14:textId="7E514190" w:rsidTr="00C97AB0">
        <w:trPr>
          <w:trHeight w:val="227"/>
        </w:trPr>
        <w:tc>
          <w:tcPr>
            <w:tcW w:w="979" w:type="pct"/>
            <w:tcBorders>
              <w:top w:val="single" w:sz="4" w:space="0" w:color="auto"/>
              <w:left w:val="double" w:sz="4" w:space="0" w:color="auto"/>
              <w:bottom w:val="single" w:sz="4" w:space="0" w:color="auto"/>
              <w:right w:val="double" w:sz="4" w:space="0" w:color="auto"/>
            </w:tcBorders>
            <w:vAlign w:val="center"/>
          </w:tcPr>
          <w:p w14:paraId="281A9BFF" w14:textId="1EE8D146" w:rsidR="00845E47" w:rsidRPr="00EF2ED1" w:rsidRDefault="00845E47" w:rsidP="00A600A9">
            <w:pPr>
              <w:widowControl w:val="0"/>
              <w:spacing w:before="0" w:after="0" w:line="240" w:lineRule="auto"/>
              <w:jc w:val="right"/>
              <w:rPr>
                <w:rFonts w:cs="Arial"/>
                <w:sz w:val="18"/>
                <w:szCs w:val="16"/>
              </w:rPr>
            </w:pPr>
            <w:r w:rsidRPr="00EF2ED1">
              <w:rPr>
                <w:rFonts w:cs="Arial"/>
                <w:sz w:val="18"/>
                <w:szCs w:val="16"/>
              </w:rPr>
              <w:t>Laboral Fijo</w:t>
            </w:r>
          </w:p>
        </w:tc>
        <w:tc>
          <w:tcPr>
            <w:tcW w:w="402" w:type="pct"/>
            <w:tcBorders>
              <w:top w:val="single" w:sz="4" w:space="0" w:color="auto"/>
              <w:left w:val="double" w:sz="4" w:space="0" w:color="auto"/>
              <w:bottom w:val="single" w:sz="4" w:space="0" w:color="auto"/>
              <w:right w:val="single" w:sz="4" w:space="0" w:color="auto"/>
            </w:tcBorders>
            <w:shd w:val="clear" w:color="auto" w:fill="auto"/>
            <w:noWrap/>
            <w:vAlign w:val="center"/>
          </w:tcPr>
          <w:p w14:paraId="1FDF549D" w14:textId="3E74CF96"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6%</w:t>
            </w:r>
          </w:p>
        </w:tc>
        <w:tc>
          <w:tcPr>
            <w:tcW w:w="402" w:type="pct"/>
            <w:tcBorders>
              <w:top w:val="single" w:sz="4" w:space="0" w:color="auto"/>
              <w:left w:val="nil"/>
              <w:bottom w:val="single" w:sz="4" w:space="0" w:color="auto"/>
              <w:right w:val="double" w:sz="4" w:space="0" w:color="auto"/>
            </w:tcBorders>
            <w:vAlign w:val="center"/>
          </w:tcPr>
          <w:p w14:paraId="55BDCFBE" w14:textId="2B686E64"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22%</w:t>
            </w:r>
          </w:p>
        </w:tc>
        <w:tc>
          <w:tcPr>
            <w:tcW w:w="402" w:type="pct"/>
            <w:tcBorders>
              <w:top w:val="single" w:sz="4" w:space="0" w:color="auto"/>
              <w:left w:val="double" w:sz="4" w:space="0" w:color="auto"/>
              <w:bottom w:val="single" w:sz="4" w:space="0" w:color="auto"/>
              <w:right w:val="single" w:sz="4" w:space="0" w:color="auto"/>
            </w:tcBorders>
            <w:vAlign w:val="center"/>
          </w:tcPr>
          <w:p w14:paraId="6DD79B84" w14:textId="134073F6"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5%</w:t>
            </w:r>
          </w:p>
        </w:tc>
        <w:tc>
          <w:tcPr>
            <w:tcW w:w="402" w:type="pct"/>
            <w:tcBorders>
              <w:top w:val="single" w:sz="4" w:space="0" w:color="auto"/>
              <w:left w:val="nil"/>
              <w:bottom w:val="single" w:sz="4" w:space="0" w:color="auto"/>
              <w:right w:val="double" w:sz="4" w:space="0" w:color="auto"/>
            </w:tcBorders>
            <w:vAlign w:val="center"/>
          </w:tcPr>
          <w:p w14:paraId="0375FB96" w14:textId="1E4051AE"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21</w:t>
            </w:r>
            <w:r w:rsidR="00DB1DB2" w:rsidRPr="00A600A9">
              <w:rPr>
                <w:rFonts w:cs="Arial"/>
                <w:sz w:val="18"/>
                <w:szCs w:val="16"/>
              </w:rPr>
              <w:t>%</w:t>
            </w:r>
          </w:p>
        </w:tc>
        <w:tc>
          <w:tcPr>
            <w:tcW w:w="402" w:type="pct"/>
            <w:tcBorders>
              <w:top w:val="single" w:sz="4" w:space="0" w:color="auto"/>
              <w:left w:val="double" w:sz="4" w:space="0" w:color="auto"/>
              <w:bottom w:val="single" w:sz="4" w:space="0" w:color="auto"/>
              <w:right w:val="single" w:sz="4" w:space="0" w:color="auto"/>
            </w:tcBorders>
            <w:vAlign w:val="center"/>
          </w:tcPr>
          <w:p w14:paraId="60415ADE" w14:textId="248A4FC9"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5</w:t>
            </w:r>
            <w:r w:rsidR="00DB1DB2" w:rsidRPr="00A600A9">
              <w:rPr>
                <w:rFonts w:cs="Arial"/>
                <w:sz w:val="18"/>
                <w:szCs w:val="16"/>
              </w:rPr>
              <w:t>%</w:t>
            </w:r>
          </w:p>
        </w:tc>
        <w:tc>
          <w:tcPr>
            <w:tcW w:w="402" w:type="pct"/>
            <w:tcBorders>
              <w:top w:val="single" w:sz="4" w:space="0" w:color="auto"/>
              <w:left w:val="nil"/>
              <w:bottom w:val="single" w:sz="4" w:space="0" w:color="auto"/>
              <w:right w:val="double" w:sz="4" w:space="0" w:color="auto"/>
            </w:tcBorders>
            <w:vAlign w:val="center"/>
          </w:tcPr>
          <w:p w14:paraId="4647EB63" w14:textId="6923A81C"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20</w:t>
            </w:r>
            <w:r w:rsidR="00DB1DB2" w:rsidRPr="00A600A9">
              <w:rPr>
                <w:rFonts w:cs="Arial"/>
                <w:sz w:val="18"/>
                <w:szCs w:val="16"/>
              </w:rPr>
              <w:t>%</w:t>
            </w:r>
          </w:p>
        </w:tc>
        <w:tc>
          <w:tcPr>
            <w:tcW w:w="402" w:type="pct"/>
            <w:tcBorders>
              <w:top w:val="single" w:sz="4" w:space="0" w:color="auto"/>
              <w:left w:val="double" w:sz="4" w:space="0" w:color="auto"/>
              <w:bottom w:val="single" w:sz="4" w:space="0" w:color="auto"/>
              <w:right w:val="single" w:sz="4" w:space="0" w:color="auto"/>
            </w:tcBorders>
            <w:vAlign w:val="center"/>
          </w:tcPr>
          <w:p w14:paraId="2F4DAC5C" w14:textId="17F52F10"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5</w:t>
            </w:r>
            <w:r w:rsidR="00DB1DB2" w:rsidRPr="00A600A9">
              <w:rPr>
                <w:rFonts w:cs="Arial"/>
                <w:sz w:val="18"/>
                <w:szCs w:val="16"/>
              </w:rPr>
              <w:t>%</w:t>
            </w:r>
          </w:p>
        </w:tc>
        <w:tc>
          <w:tcPr>
            <w:tcW w:w="402" w:type="pct"/>
            <w:tcBorders>
              <w:top w:val="single" w:sz="4" w:space="0" w:color="auto"/>
              <w:left w:val="nil"/>
              <w:bottom w:val="single" w:sz="4" w:space="0" w:color="auto"/>
              <w:right w:val="double" w:sz="4" w:space="0" w:color="auto"/>
            </w:tcBorders>
            <w:vAlign w:val="center"/>
          </w:tcPr>
          <w:p w14:paraId="51DA0CC1" w14:textId="341B3A13"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19</w:t>
            </w:r>
            <w:r w:rsidR="00DB1DB2" w:rsidRPr="00A600A9">
              <w:rPr>
                <w:rFonts w:cs="Arial"/>
                <w:sz w:val="18"/>
                <w:szCs w:val="16"/>
              </w:rPr>
              <w:t>%</w:t>
            </w:r>
          </w:p>
        </w:tc>
        <w:tc>
          <w:tcPr>
            <w:tcW w:w="402" w:type="pct"/>
            <w:tcBorders>
              <w:top w:val="single" w:sz="4" w:space="0" w:color="auto"/>
              <w:left w:val="double" w:sz="4" w:space="0" w:color="auto"/>
              <w:bottom w:val="single" w:sz="4" w:space="0" w:color="auto"/>
              <w:right w:val="single" w:sz="4" w:space="0" w:color="auto"/>
            </w:tcBorders>
            <w:vAlign w:val="center"/>
          </w:tcPr>
          <w:p w14:paraId="35281EF5" w14:textId="138FCCC3" w:rsidR="00845E47" w:rsidRPr="00A600A9" w:rsidRDefault="004F1E98" w:rsidP="00A600A9">
            <w:pPr>
              <w:widowControl w:val="0"/>
              <w:spacing w:before="0" w:after="0" w:line="240" w:lineRule="auto"/>
              <w:jc w:val="center"/>
              <w:rPr>
                <w:rFonts w:cs="Arial"/>
                <w:sz w:val="18"/>
                <w:szCs w:val="16"/>
              </w:rPr>
            </w:pPr>
            <w:r w:rsidRPr="00A600A9">
              <w:rPr>
                <w:rFonts w:cs="Arial"/>
                <w:sz w:val="18"/>
                <w:szCs w:val="16"/>
              </w:rPr>
              <w:t>4</w:t>
            </w:r>
            <w:r w:rsidR="00DB1DB2" w:rsidRPr="00A600A9">
              <w:rPr>
                <w:rFonts w:cs="Arial"/>
                <w:sz w:val="18"/>
                <w:szCs w:val="16"/>
              </w:rPr>
              <w:t>%</w:t>
            </w:r>
          </w:p>
        </w:tc>
        <w:tc>
          <w:tcPr>
            <w:tcW w:w="402" w:type="pct"/>
            <w:tcBorders>
              <w:top w:val="single" w:sz="4" w:space="0" w:color="auto"/>
              <w:left w:val="nil"/>
              <w:bottom w:val="single" w:sz="4" w:space="0" w:color="auto"/>
              <w:right w:val="double" w:sz="4" w:space="0" w:color="auto"/>
            </w:tcBorders>
            <w:vAlign w:val="center"/>
          </w:tcPr>
          <w:p w14:paraId="0E4D3244" w14:textId="0EAF10DC" w:rsidR="00845E47" w:rsidRPr="00A600A9" w:rsidRDefault="004F1E98" w:rsidP="00A600A9">
            <w:pPr>
              <w:widowControl w:val="0"/>
              <w:spacing w:before="0" w:after="0" w:line="240" w:lineRule="auto"/>
              <w:jc w:val="center"/>
              <w:rPr>
                <w:rFonts w:cs="Arial"/>
                <w:sz w:val="18"/>
                <w:szCs w:val="16"/>
              </w:rPr>
            </w:pPr>
            <w:r w:rsidRPr="00A600A9">
              <w:rPr>
                <w:rFonts w:cs="Arial"/>
                <w:sz w:val="18"/>
                <w:szCs w:val="16"/>
              </w:rPr>
              <w:t>18</w:t>
            </w:r>
            <w:r w:rsidR="00DB1DB2" w:rsidRPr="00A600A9">
              <w:rPr>
                <w:rFonts w:cs="Arial"/>
                <w:sz w:val="18"/>
                <w:szCs w:val="16"/>
              </w:rPr>
              <w:t>%</w:t>
            </w:r>
          </w:p>
        </w:tc>
      </w:tr>
      <w:tr w:rsidR="00C97AB0" w:rsidRPr="00111DC0" w14:paraId="14541863" w14:textId="428E2568" w:rsidTr="00C97AB0">
        <w:trPr>
          <w:trHeight w:val="227"/>
        </w:trPr>
        <w:tc>
          <w:tcPr>
            <w:tcW w:w="979" w:type="pct"/>
            <w:tcBorders>
              <w:top w:val="single" w:sz="4" w:space="0" w:color="auto"/>
              <w:left w:val="double" w:sz="4" w:space="0" w:color="auto"/>
              <w:bottom w:val="single" w:sz="4" w:space="0" w:color="auto"/>
              <w:right w:val="double" w:sz="4" w:space="0" w:color="auto"/>
            </w:tcBorders>
            <w:vAlign w:val="center"/>
          </w:tcPr>
          <w:p w14:paraId="2C2506C5" w14:textId="2619790E" w:rsidR="00845E47" w:rsidRPr="00EF2ED1" w:rsidRDefault="00845E47" w:rsidP="00A600A9">
            <w:pPr>
              <w:widowControl w:val="0"/>
              <w:spacing w:before="0" w:after="0" w:line="240" w:lineRule="auto"/>
              <w:jc w:val="right"/>
              <w:rPr>
                <w:rFonts w:cs="Arial"/>
                <w:sz w:val="18"/>
                <w:szCs w:val="16"/>
              </w:rPr>
            </w:pPr>
            <w:r w:rsidRPr="00EF2ED1">
              <w:rPr>
                <w:rFonts w:cs="Arial"/>
                <w:sz w:val="18"/>
                <w:szCs w:val="16"/>
              </w:rPr>
              <w:t xml:space="preserve">Laboral Fijo Disc. </w:t>
            </w:r>
          </w:p>
        </w:tc>
        <w:tc>
          <w:tcPr>
            <w:tcW w:w="402" w:type="pct"/>
            <w:tcBorders>
              <w:top w:val="single" w:sz="4" w:space="0" w:color="auto"/>
              <w:left w:val="double" w:sz="4" w:space="0" w:color="auto"/>
              <w:bottom w:val="single" w:sz="4" w:space="0" w:color="auto"/>
              <w:right w:val="single" w:sz="4" w:space="0" w:color="auto"/>
            </w:tcBorders>
            <w:shd w:val="clear" w:color="auto" w:fill="auto"/>
            <w:noWrap/>
            <w:vAlign w:val="center"/>
          </w:tcPr>
          <w:p w14:paraId="23816ED6" w14:textId="2A3F03FD"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1%</w:t>
            </w:r>
          </w:p>
        </w:tc>
        <w:tc>
          <w:tcPr>
            <w:tcW w:w="402" w:type="pct"/>
            <w:tcBorders>
              <w:top w:val="single" w:sz="4" w:space="0" w:color="auto"/>
              <w:left w:val="nil"/>
              <w:bottom w:val="single" w:sz="4" w:space="0" w:color="auto"/>
              <w:right w:val="double" w:sz="4" w:space="0" w:color="auto"/>
            </w:tcBorders>
            <w:vAlign w:val="center"/>
          </w:tcPr>
          <w:p w14:paraId="3785D538" w14:textId="64C9A57C"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0%</w:t>
            </w:r>
          </w:p>
        </w:tc>
        <w:tc>
          <w:tcPr>
            <w:tcW w:w="402" w:type="pct"/>
            <w:tcBorders>
              <w:top w:val="single" w:sz="4" w:space="0" w:color="auto"/>
              <w:left w:val="double" w:sz="4" w:space="0" w:color="auto"/>
              <w:bottom w:val="single" w:sz="4" w:space="0" w:color="auto"/>
              <w:right w:val="single" w:sz="4" w:space="0" w:color="auto"/>
            </w:tcBorders>
            <w:vAlign w:val="center"/>
          </w:tcPr>
          <w:p w14:paraId="24519824" w14:textId="5751E82A"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1%</w:t>
            </w:r>
          </w:p>
        </w:tc>
        <w:tc>
          <w:tcPr>
            <w:tcW w:w="402" w:type="pct"/>
            <w:tcBorders>
              <w:top w:val="single" w:sz="4" w:space="0" w:color="auto"/>
              <w:left w:val="nil"/>
              <w:bottom w:val="single" w:sz="4" w:space="0" w:color="auto"/>
              <w:right w:val="double" w:sz="4" w:space="0" w:color="auto"/>
            </w:tcBorders>
            <w:vAlign w:val="center"/>
          </w:tcPr>
          <w:p w14:paraId="69466BE7" w14:textId="41F5776E"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0</w:t>
            </w:r>
            <w:r w:rsidR="00DB1DB2" w:rsidRPr="00A600A9">
              <w:rPr>
                <w:rFonts w:cs="Arial"/>
                <w:sz w:val="18"/>
                <w:szCs w:val="16"/>
              </w:rPr>
              <w:t>%</w:t>
            </w:r>
          </w:p>
        </w:tc>
        <w:tc>
          <w:tcPr>
            <w:tcW w:w="402" w:type="pct"/>
            <w:tcBorders>
              <w:top w:val="single" w:sz="4" w:space="0" w:color="auto"/>
              <w:left w:val="double" w:sz="4" w:space="0" w:color="auto"/>
              <w:bottom w:val="single" w:sz="4" w:space="0" w:color="auto"/>
              <w:right w:val="single" w:sz="4" w:space="0" w:color="auto"/>
            </w:tcBorders>
            <w:vAlign w:val="center"/>
          </w:tcPr>
          <w:p w14:paraId="4DA65A0E" w14:textId="672CEFB9"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1</w:t>
            </w:r>
            <w:r w:rsidR="00DB1DB2" w:rsidRPr="00A600A9">
              <w:rPr>
                <w:rFonts w:cs="Arial"/>
                <w:sz w:val="18"/>
                <w:szCs w:val="16"/>
              </w:rPr>
              <w:t>%</w:t>
            </w:r>
          </w:p>
        </w:tc>
        <w:tc>
          <w:tcPr>
            <w:tcW w:w="402" w:type="pct"/>
            <w:tcBorders>
              <w:top w:val="single" w:sz="4" w:space="0" w:color="auto"/>
              <w:left w:val="nil"/>
              <w:bottom w:val="single" w:sz="4" w:space="0" w:color="auto"/>
              <w:right w:val="double" w:sz="4" w:space="0" w:color="auto"/>
            </w:tcBorders>
            <w:vAlign w:val="center"/>
          </w:tcPr>
          <w:p w14:paraId="01D99C76" w14:textId="656CC1EF"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0</w:t>
            </w:r>
            <w:r w:rsidR="00DB1DB2" w:rsidRPr="00A600A9">
              <w:rPr>
                <w:rFonts w:cs="Arial"/>
                <w:sz w:val="18"/>
                <w:szCs w:val="16"/>
              </w:rPr>
              <w:t>%</w:t>
            </w:r>
          </w:p>
        </w:tc>
        <w:tc>
          <w:tcPr>
            <w:tcW w:w="402" w:type="pct"/>
            <w:tcBorders>
              <w:top w:val="single" w:sz="4" w:space="0" w:color="auto"/>
              <w:left w:val="double" w:sz="4" w:space="0" w:color="auto"/>
              <w:bottom w:val="single" w:sz="4" w:space="0" w:color="auto"/>
              <w:right w:val="single" w:sz="4" w:space="0" w:color="auto"/>
            </w:tcBorders>
            <w:vAlign w:val="center"/>
          </w:tcPr>
          <w:p w14:paraId="1173CDD4" w14:textId="38746C55"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1</w:t>
            </w:r>
            <w:r w:rsidR="00DB1DB2" w:rsidRPr="00A600A9">
              <w:rPr>
                <w:rFonts w:cs="Arial"/>
                <w:sz w:val="18"/>
                <w:szCs w:val="16"/>
              </w:rPr>
              <w:t>%</w:t>
            </w:r>
          </w:p>
        </w:tc>
        <w:tc>
          <w:tcPr>
            <w:tcW w:w="402" w:type="pct"/>
            <w:tcBorders>
              <w:top w:val="single" w:sz="4" w:space="0" w:color="auto"/>
              <w:left w:val="nil"/>
              <w:bottom w:val="single" w:sz="4" w:space="0" w:color="auto"/>
              <w:right w:val="double" w:sz="4" w:space="0" w:color="auto"/>
            </w:tcBorders>
            <w:vAlign w:val="center"/>
          </w:tcPr>
          <w:p w14:paraId="22ABFD42" w14:textId="29C044BA"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0</w:t>
            </w:r>
            <w:r w:rsidR="00DB1DB2" w:rsidRPr="00A600A9">
              <w:rPr>
                <w:rFonts w:cs="Arial"/>
                <w:sz w:val="18"/>
                <w:szCs w:val="16"/>
              </w:rPr>
              <w:t>%</w:t>
            </w:r>
          </w:p>
        </w:tc>
        <w:tc>
          <w:tcPr>
            <w:tcW w:w="402" w:type="pct"/>
            <w:tcBorders>
              <w:top w:val="single" w:sz="4" w:space="0" w:color="auto"/>
              <w:left w:val="double" w:sz="4" w:space="0" w:color="auto"/>
              <w:bottom w:val="single" w:sz="4" w:space="0" w:color="auto"/>
              <w:right w:val="single" w:sz="4" w:space="0" w:color="auto"/>
            </w:tcBorders>
            <w:vAlign w:val="center"/>
          </w:tcPr>
          <w:p w14:paraId="3B1F8C24" w14:textId="7B300901" w:rsidR="00845E47" w:rsidRPr="00A600A9" w:rsidRDefault="004F1E98" w:rsidP="00A600A9">
            <w:pPr>
              <w:widowControl w:val="0"/>
              <w:spacing w:before="0" w:after="0" w:line="240" w:lineRule="auto"/>
              <w:jc w:val="center"/>
              <w:rPr>
                <w:rFonts w:cs="Arial"/>
                <w:sz w:val="18"/>
                <w:szCs w:val="16"/>
              </w:rPr>
            </w:pPr>
            <w:r w:rsidRPr="00A600A9">
              <w:rPr>
                <w:rFonts w:cs="Arial"/>
                <w:sz w:val="18"/>
                <w:szCs w:val="16"/>
              </w:rPr>
              <w:t>1</w:t>
            </w:r>
            <w:r w:rsidR="00DB1DB2" w:rsidRPr="00A600A9">
              <w:rPr>
                <w:rFonts w:cs="Arial"/>
                <w:sz w:val="18"/>
                <w:szCs w:val="16"/>
              </w:rPr>
              <w:t>%</w:t>
            </w:r>
          </w:p>
        </w:tc>
        <w:tc>
          <w:tcPr>
            <w:tcW w:w="402" w:type="pct"/>
            <w:tcBorders>
              <w:top w:val="single" w:sz="4" w:space="0" w:color="auto"/>
              <w:left w:val="nil"/>
              <w:bottom w:val="single" w:sz="4" w:space="0" w:color="auto"/>
              <w:right w:val="double" w:sz="4" w:space="0" w:color="auto"/>
            </w:tcBorders>
            <w:vAlign w:val="center"/>
          </w:tcPr>
          <w:p w14:paraId="623DE44A" w14:textId="6D268E5A" w:rsidR="00845E47" w:rsidRPr="00A600A9" w:rsidRDefault="004F1E98" w:rsidP="00A600A9">
            <w:pPr>
              <w:widowControl w:val="0"/>
              <w:spacing w:before="0" w:after="0" w:line="240" w:lineRule="auto"/>
              <w:jc w:val="center"/>
              <w:rPr>
                <w:rFonts w:cs="Arial"/>
                <w:sz w:val="18"/>
                <w:szCs w:val="16"/>
              </w:rPr>
            </w:pPr>
            <w:r w:rsidRPr="00A600A9">
              <w:rPr>
                <w:rFonts w:cs="Arial"/>
                <w:sz w:val="18"/>
                <w:szCs w:val="16"/>
              </w:rPr>
              <w:t>0</w:t>
            </w:r>
            <w:r w:rsidR="00DB1DB2" w:rsidRPr="00A600A9">
              <w:rPr>
                <w:rFonts w:cs="Arial"/>
                <w:sz w:val="18"/>
                <w:szCs w:val="16"/>
              </w:rPr>
              <w:t>%</w:t>
            </w:r>
          </w:p>
        </w:tc>
      </w:tr>
      <w:tr w:rsidR="00C97AB0" w:rsidRPr="00111DC0" w14:paraId="1616F310" w14:textId="7B6BDF18" w:rsidTr="00C97AB0">
        <w:trPr>
          <w:trHeight w:val="227"/>
        </w:trPr>
        <w:tc>
          <w:tcPr>
            <w:tcW w:w="979" w:type="pct"/>
            <w:tcBorders>
              <w:top w:val="single" w:sz="4" w:space="0" w:color="auto"/>
              <w:left w:val="double" w:sz="4" w:space="0" w:color="auto"/>
              <w:bottom w:val="single" w:sz="4" w:space="0" w:color="auto"/>
              <w:right w:val="double" w:sz="4" w:space="0" w:color="auto"/>
            </w:tcBorders>
            <w:vAlign w:val="center"/>
          </w:tcPr>
          <w:p w14:paraId="7938464F" w14:textId="62683B00" w:rsidR="00845E47" w:rsidRPr="00EF2ED1" w:rsidRDefault="00845E47" w:rsidP="00A600A9">
            <w:pPr>
              <w:widowControl w:val="0"/>
              <w:spacing w:before="0" w:after="0" w:line="240" w:lineRule="auto"/>
              <w:jc w:val="right"/>
              <w:rPr>
                <w:rFonts w:cs="Arial"/>
                <w:sz w:val="18"/>
                <w:szCs w:val="16"/>
              </w:rPr>
            </w:pPr>
            <w:proofErr w:type="spellStart"/>
            <w:r w:rsidRPr="00EF2ED1">
              <w:rPr>
                <w:rFonts w:cs="Arial"/>
                <w:sz w:val="18"/>
                <w:szCs w:val="16"/>
              </w:rPr>
              <w:t>Lab</w:t>
            </w:r>
            <w:proofErr w:type="spellEnd"/>
            <w:r w:rsidR="00F80965" w:rsidRPr="00EF2ED1">
              <w:rPr>
                <w:rFonts w:cs="Arial"/>
                <w:sz w:val="18"/>
                <w:szCs w:val="16"/>
              </w:rPr>
              <w:t xml:space="preserve">. </w:t>
            </w:r>
            <w:proofErr w:type="spellStart"/>
            <w:r w:rsidRPr="00EF2ED1">
              <w:rPr>
                <w:rFonts w:cs="Arial"/>
                <w:sz w:val="18"/>
                <w:szCs w:val="16"/>
              </w:rPr>
              <w:t>Tem</w:t>
            </w:r>
            <w:proofErr w:type="spellEnd"/>
            <w:r w:rsidRPr="00EF2ED1">
              <w:rPr>
                <w:rFonts w:cs="Arial"/>
                <w:sz w:val="18"/>
                <w:szCs w:val="16"/>
              </w:rPr>
              <w:t>. &gt;/= 6</w:t>
            </w:r>
            <w:r w:rsidR="00F80965" w:rsidRPr="00EF2ED1">
              <w:rPr>
                <w:rFonts w:cs="Arial"/>
                <w:sz w:val="18"/>
                <w:szCs w:val="16"/>
              </w:rPr>
              <w:t xml:space="preserve"> m.</w:t>
            </w:r>
          </w:p>
        </w:tc>
        <w:tc>
          <w:tcPr>
            <w:tcW w:w="402" w:type="pct"/>
            <w:tcBorders>
              <w:top w:val="single" w:sz="4" w:space="0" w:color="auto"/>
              <w:left w:val="double" w:sz="4" w:space="0" w:color="auto"/>
              <w:bottom w:val="single" w:sz="4" w:space="0" w:color="auto"/>
              <w:right w:val="single" w:sz="4" w:space="0" w:color="auto"/>
            </w:tcBorders>
            <w:shd w:val="clear" w:color="auto" w:fill="auto"/>
            <w:noWrap/>
            <w:vAlign w:val="center"/>
          </w:tcPr>
          <w:p w14:paraId="7EEE4C51" w14:textId="4E88C039"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5%</w:t>
            </w:r>
          </w:p>
        </w:tc>
        <w:tc>
          <w:tcPr>
            <w:tcW w:w="402" w:type="pct"/>
            <w:tcBorders>
              <w:top w:val="single" w:sz="4" w:space="0" w:color="auto"/>
              <w:left w:val="nil"/>
              <w:bottom w:val="single" w:sz="4" w:space="0" w:color="auto"/>
              <w:right w:val="double" w:sz="4" w:space="0" w:color="auto"/>
            </w:tcBorders>
            <w:vAlign w:val="center"/>
          </w:tcPr>
          <w:p w14:paraId="16F2B6F0" w14:textId="17C57532"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13%</w:t>
            </w:r>
          </w:p>
        </w:tc>
        <w:tc>
          <w:tcPr>
            <w:tcW w:w="402" w:type="pct"/>
            <w:tcBorders>
              <w:top w:val="single" w:sz="4" w:space="0" w:color="auto"/>
              <w:left w:val="double" w:sz="4" w:space="0" w:color="auto"/>
              <w:bottom w:val="single" w:sz="4" w:space="0" w:color="auto"/>
              <w:right w:val="single" w:sz="4" w:space="0" w:color="auto"/>
            </w:tcBorders>
            <w:vAlign w:val="center"/>
          </w:tcPr>
          <w:p w14:paraId="7860E43C" w14:textId="3A5BCAC5"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6%</w:t>
            </w:r>
          </w:p>
        </w:tc>
        <w:tc>
          <w:tcPr>
            <w:tcW w:w="402" w:type="pct"/>
            <w:tcBorders>
              <w:top w:val="single" w:sz="4" w:space="0" w:color="auto"/>
              <w:left w:val="nil"/>
              <w:bottom w:val="single" w:sz="4" w:space="0" w:color="auto"/>
              <w:right w:val="double" w:sz="4" w:space="0" w:color="auto"/>
            </w:tcBorders>
            <w:vAlign w:val="center"/>
          </w:tcPr>
          <w:p w14:paraId="3820C3D7" w14:textId="00F38E08"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12</w:t>
            </w:r>
            <w:r w:rsidR="00DB1DB2" w:rsidRPr="00A600A9">
              <w:rPr>
                <w:rFonts w:cs="Arial"/>
                <w:sz w:val="18"/>
                <w:szCs w:val="16"/>
              </w:rPr>
              <w:t>%</w:t>
            </w:r>
          </w:p>
        </w:tc>
        <w:tc>
          <w:tcPr>
            <w:tcW w:w="402" w:type="pct"/>
            <w:tcBorders>
              <w:top w:val="single" w:sz="4" w:space="0" w:color="auto"/>
              <w:left w:val="double" w:sz="4" w:space="0" w:color="auto"/>
              <w:bottom w:val="single" w:sz="4" w:space="0" w:color="auto"/>
              <w:right w:val="single" w:sz="4" w:space="0" w:color="auto"/>
            </w:tcBorders>
            <w:vAlign w:val="center"/>
          </w:tcPr>
          <w:p w14:paraId="5C05D443" w14:textId="6618F99D"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6</w:t>
            </w:r>
            <w:r w:rsidR="00DB1DB2" w:rsidRPr="00A600A9">
              <w:rPr>
                <w:rFonts w:cs="Arial"/>
                <w:sz w:val="18"/>
                <w:szCs w:val="16"/>
              </w:rPr>
              <w:t>%</w:t>
            </w:r>
          </w:p>
        </w:tc>
        <w:tc>
          <w:tcPr>
            <w:tcW w:w="402" w:type="pct"/>
            <w:tcBorders>
              <w:top w:val="single" w:sz="4" w:space="0" w:color="auto"/>
              <w:left w:val="nil"/>
              <w:bottom w:val="single" w:sz="4" w:space="0" w:color="auto"/>
              <w:right w:val="double" w:sz="4" w:space="0" w:color="auto"/>
            </w:tcBorders>
            <w:vAlign w:val="center"/>
          </w:tcPr>
          <w:p w14:paraId="66AD0147" w14:textId="1858CB7D"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14</w:t>
            </w:r>
            <w:r w:rsidR="00DB1DB2" w:rsidRPr="00A600A9">
              <w:rPr>
                <w:rFonts w:cs="Arial"/>
                <w:sz w:val="18"/>
                <w:szCs w:val="16"/>
              </w:rPr>
              <w:t>%</w:t>
            </w:r>
          </w:p>
        </w:tc>
        <w:tc>
          <w:tcPr>
            <w:tcW w:w="402" w:type="pct"/>
            <w:tcBorders>
              <w:top w:val="single" w:sz="4" w:space="0" w:color="auto"/>
              <w:left w:val="double" w:sz="4" w:space="0" w:color="auto"/>
              <w:bottom w:val="single" w:sz="4" w:space="0" w:color="auto"/>
              <w:right w:val="single" w:sz="4" w:space="0" w:color="auto"/>
            </w:tcBorders>
            <w:vAlign w:val="center"/>
          </w:tcPr>
          <w:p w14:paraId="50DA92E5" w14:textId="5C7CBD3B"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6</w:t>
            </w:r>
            <w:r w:rsidR="00DB1DB2" w:rsidRPr="00A600A9">
              <w:rPr>
                <w:rFonts w:cs="Arial"/>
                <w:sz w:val="18"/>
                <w:szCs w:val="16"/>
              </w:rPr>
              <w:t>%</w:t>
            </w:r>
          </w:p>
        </w:tc>
        <w:tc>
          <w:tcPr>
            <w:tcW w:w="402" w:type="pct"/>
            <w:tcBorders>
              <w:top w:val="single" w:sz="4" w:space="0" w:color="auto"/>
              <w:left w:val="nil"/>
              <w:bottom w:val="single" w:sz="4" w:space="0" w:color="auto"/>
              <w:right w:val="double" w:sz="4" w:space="0" w:color="auto"/>
            </w:tcBorders>
            <w:vAlign w:val="center"/>
          </w:tcPr>
          <w:p w14:paraId="6C423D7F" w14:textId="501953A2"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14</w:t>
            </w:r>
            <w:r w:rsidR="00DB1DB2" w:rsidRPr="00A600A9">
              <w:rPr>
                <w:rFonts w:cs="Arial"/>
                <w:sz w:val="18"/>
                <w:szCs w:val="16"/>
              </w:rPr>
              <w:t>%</w:t>
            </w:r>
          </w:p>
        </w:tc>
        <w:tc>
          <w:tcPr>
            <w:tcW w:w="402" w:type="pct"/>
            <w:tcBorders>
              <w:top w:val="single" w:sz="4" w:space="0" w:color="auto"/>
              <w:left w:val="double" w:sz="4" w:space="0" w:color="auto"/>
              <w:bottom w:val="single" w:sz="4" w:space="0" w:color="auto"/>
              <w:right w:val="single" w:sz="4" w:space="0" w:color="auto"/>
            </w:tcBorders>
            <w:vAlign w:val="center"/>
          </w:tcPr>
          <w:p w14:paraId="443E16F7" w14:textId="7CD6645E" w:rsidR="00845E47" w:rsidRPr="00A600A9" w:rsidRDefault="004F1E98" w:rsidP="00A600A9">
            <w:pPr>
              <w:widowControl w:val="0"/>
              <w:spacing w:before="0" w:after="0" w:line="240" w:lineRule="auto"/>
              <w:jc w:val="center"/>
              <w:rPr>
                <w:rFonts w:cs="Arial"/>
                <w:sz w:val="18"/>
                <w:szCs w:val="16"/>
              </w:rPr>
            </w:pPr>
            <w:r w:rsidRPr="00A600A9">
              <w:rPr>
                <w:rFonts w:cs="Arial"/>
                <w:sz w:val="18"/>
                <w:szCs w:val="16"/>
              </w:rPr>
              <w:t>6</w:t>
            </w:r>
            <w:r w:rsidR="00DB1DB2" w:rsidRPr="00A600A9">
              <w:rPr>
                <w:rFonts w:cs="Arial"/>
                <w:sz w:val="18"/>
                <w:szCs w:val="16"/>
              </w:rPr>
              <w:t>%</w:t>
            </w:r>
          </w:p>
        </w:tc>
        <w:tc>
          <w:tcPr>
            <w:tcW w:w="402" w:type="pct"/>
            <w:tcBorders>
              <w:top w:val="single" w:sz="4" w:space="0" w:color="auto"/>
              <w:left w:val="nil"/>
              <w:bottom w:val="single" w:sz="4" w:space="0" w:color="auto"/>
              <w:right w:val="double" w:sz="4" w:space="0" w:color="auto"/>
            </w:tcBorders>
            <w:vAlign w:val="center"/>
          </w:tcPr>
          <w:p w14:paraId="745A915A" w14:textId="37FE16DF" w:rsidR="00845E47" w:rsidRPr="00A600A9" w:rsidRDefault="004F1E98" w:rsidP="00A600A9">
            <w:pPr>
              <w:widowControl w:val="0"/>
              <w:spacing w:before="0" w:after="0" w:line="240" w:lineRule="auto"/>
              <w:jc w:val="center"/>
              <w:rPr>
                <w:rFonts w:cs="Arial"/>
                <w:sz w:val="18"/>
                <w:szCs w:val="16"/>
              </w:rPr>
            </w:pPr>
            <w:r w:rsidRPr="00A600A9">
              <w:rPr>
                <w:rFonts w:cs="Arial"/>
                <w:sz w:val="18"/>
                <w:szCs w:val="16"/>
              </w:rPr>
              <w:t>15</w:t>
            </w:r>
            <w:r w:rsidR="00DB1DB2" w:rsidRPr="00A600A9">
              <w:rPr>
                <w:rFonts w:cs="Arial"/>
                <w:sz w:val="18"/>
                <w:szCs w:val="16"/>
              </w:rPr>
              <w:t>%</w:t>
            </w:r>
          </w:p>
        </w:tc>
      </w:tr>
      <w:tr w:rsidR="00C97AB0" w:rsidRPr="00111DC0" w14:paraId="41819666" w14:textId="518730CA" w:rsidTr="00C97AB0">
        <w:trPr>
          <w:trHeight w:val="227"/>
        </w:trPr>
        <w:tc>
          <w:tcPr>
            <w:tcW w:w="979" w:type="pct"/>
            <w:tcBorders>
              <w:top w:val="single" w:sz="4" w:space="0" w:color="auto"/>
              <w:left w:val="double" w:sz="4" w:space="0" w:color="auto"/>
              <w:bottom w:val="single" w:sz="4" w:space="0" w:color="auto"/>
              <w:right w:val="double" w:sz="4" w:space="0" w:color="auto"/>
            </w:tcBorders>
            <w:vAlign w:val="center"/>
          </w:tcPr>
          <w:p w14:paraId="0977605E" w14:textId="6A265364" w:rsidR="00845E47" w:rsidRPr="00EF2ED1" w:rsidRDefault="00845E47" w:rsidP="00A600A9">
            <w:pPr>
              <w:widowControl w:val="0"/>
              <w:spacing w:before="0" w:after="0" w:line="240" w:lineRule="auto"/>
              <w:jc w:val="right"/>
              <w:rPr>
                <w:rFonts w:cs="Arial"/>
                <w:sz w:val="18"/>
                <w:szCs w:val="16"/>
              </w:rPr>
            </w:pPr>
            <w:proofErr w:type="spellStart"/>
            <w:r w:rsidRPr="00EF2ED1">
              <w:rPr>
                <w:rFonts w:cs="Arial"/>
                <w:sz w:val="18"/>
                <w:szCs w:val="16"/>
              </w:rPr>
              <w:t>Lab</w:t>
            </w:r>
            <w:proofErr w:type="spellEnd"/>
            <w:r w:rsidR="00F80965" w:rsidRPr="00EF2ED1">
              <w:rPr>
                <w:rFonts w:cs="Arial"/>
                <w:sz w:val="18"/>
                <w:szCs w:val="16"/>
              </w:rPr>
              <w:t xml:space="preserve">. </w:t>
            </w:r>
            <w:proofErr w:type="spellStart"/>
            <w:r w:rsidRPr="00EF2ED1">
              <w:rPr>
                <w:rFonts w:cs="Arial"/>
                <w:sz w:val="18"/>
                <w:szCs w:val="16"/>
              </w:rPr>
              <w:t>Tem</w:t>
            </w:r>
            <w:proofErr w:type="spellEnd"/>
            <w:r w:rsidRPr="00EF2ED1">
              <w:rPr>
                <w:rFonts w:cs="Arial"/>
                <w:sz w:val="18"/>
                <w:szCs w:val="16"/>
              </w:rPr>
              <w:t>. &lt; 6</w:t>
            </w:r>
            <w:r w:rsidR="00F80965" w:rsidRPr="00EF2ED1">
              <w:rPr>
                <w:rFonts w:cs="Arial"/>
                <w:sz w:val="18"/>
                <w:szCs w:val="16"/>
              </w:rPr>
              <w:t xml:space="preserve"> m.</w:t>
            </w:r>
          </w:p>
        </w:tc>
        <w:tc>
          <w:tcPr>
            <w:tcW w:w="402" w:type="pct"/>
            <w:tcBorders>
              <w:top w:val="single" w:sz="4" w:space="0" w:color="auto"/>
              <w:left w:val="double" w:sz="4" w:space="0" w:color="auto"/>
              <w:bottom w:val="single" w:sz="4" w:space="0" w:color="auto"/>
              <w:right w:val="single" w:sz="4" w:space="0" w:color="auto"/>
            </w:tcBorders>
            <w:shd w:val="clear" w:color="auto" w:fill="auto"/>
            <w:noWrap/>
            <w:vAlign w:val="center"/>
          </w:tcPr>
          <w:p w14:paraId="43B8A86D" w14:textId="00A9A055"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1%</w:t>
            </w:r>
          </w:p>
        </w:tc>
        <w:tc>
          <w:tcPr>
            <w:tcW w:w="402" w:type="pct"/>
            <w:tcBorders>
              <w:top w:val="single" w:sz="4" w:space="0" w:color="auto"/>
              <w:left w:val="nil"/>
              <w:bottom w:val="single" w:sz="4" w:space="0" w:color="auto"/>
              <w:right w:val="double" w:sz="4" w:space="0" w:color="auto"/>
            </w:tcBorders>
            <w:vAlign w:val="center"/>
          </w:tcPr>
          <w:p w14:paraId="1E2232DE" w14:textId="2D3C4E7A"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2%</w:t>
            </w:r>
          </w:p>
        </w:tc>
        <w:tc>
          <w:tcPr>
            <w:tcW w:w="402" w:type="pct"/>
            <w:tcBorders>
              <w:top w:val="single" w:sz="4" w:space="0" w:color="auto"/>
              <w:left w:val="double" w:sz="4" w:space="0" w:color="auto"/>
              <w:bottom w:val="single" w:sz="4" w:space="0" w:color="auto"/>
              <w:right w:val="single" w:sz="4" w:space="0" w:color="auto"/>
            </w:tcBorders>
            <w:vAlign w:val="center"/>
          </w:tcPr>
          <w:p w14:paraId="21063D40" w14:textId="0C422D53"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1%</w:t>
            </w:r>
          </w:p>
        </w:tc>
        <w:tc>
          <w:tcPr>
            <w:tcW w:w="402" w:type="pct"/>
            <w:tcBorders>
              <w:top w:val="single" w:sz="4" w:space="0" w:color="auto"/>
              <w:left w:val="nil"/>
              <w:bottom w:val="single" w:sz="4" w:space="0" w:color="auto"/>
              <w:right w:val="double" w:sz="4" w:space="0" w:color="auto"/>
            </w:tcBorders>
            <w:vAlign w:val="center"/>
          </w:tcPr>
          <w:p w14:paraId="0768887C" w14:textId="1A9C7EEF"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3</w:t>
            </w:r>
            <w:r w:rsidR="00DB1DB2" w:rsidRPr="00A600A9">
              <w:rPr>
                <w:rFonts w:cs="Arial"/>
                <w:sz w:val="18"/>
                <w:szCs w:val="16"/>
              </w:rPr>
              <w:t>%</w:t>
            </w:r>
          </w:p>
        </w:tc>
        <w:tc>
          <w:tcPr>
            <w:tcW w:w="402" w:type="pct"/>
            <w:tcBorders>
              <w:top w:val="single" w:sz="4" w:space="0" w:color="auto"/>
              <w:left w:val="double" w:sz="4" w:space="0" w:color="auto"/>
              <w:bottom w:val="single" w:sz="4" w:space="0" w:color="auto"/>
              <w:right w:val="single" w:sz="4" w:space="0" w:color="auto"/>
            </w:tcBorders>
            <w:vAlign w:val="center"/>
          </w:tcPr>
          <w:p w14:paraId="5048B46B" w14:textId="456F9E4E"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1</w:t>
            </w:r>
            <w:r w:rsidR="00DB1DB2" w:rsidRPr="00A600A9">
              <w:rPr>
                <w:rFonts w:cs="Arial"/>
                <w:sz w:val="18"/>
                <w:szCs w:val="16"/>
              </w:rPr>
              <w:t>%</w:t>
            </w:r>
          </w:p>
        </w:tc>
        <w:tc>
          <w:tcPr>
            <w:tcW w:w="402" w:type="pct"/>
            <w:tcBorders>
              <w:top w:val="single" w:sz="4" w:space="0" w:color="auto"/>
              <w:left w:val="nil"/>
              <w:bottom w:val="single" w:sz="4" w:space="0" w:color="auto"/>
              <w:right w:val="double" w:sz="4" w:space="0" w:color="auto"/>
            </w:tcBorders>
            <w:vAlign w:val="center"/>
          </w:tcPr>
          <w:p w14:paraId="103E4FA1" w14:textId="21832FD6"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2</w:t>
            </w:r>
            <w:r w:rsidR="00DB1DB2" w:rsidRPr="00A600A9">
              <w:rPr>
                <w:rFonts w:cs="Arial"/>
                <w:sz w:val="18"/>
                <w:szCs w:val="16"/>
              </w:rPr>
              <w:t>%</w:t>
            </w:r>
          </w:p>
        </w:tc>
        <w:tc>
          <w:tcPr>
            <w:tcW w:w="402" w:type="pct"/>
            <w:tcBorders>
              <w:top w:val="single" w:sz="4" w:space="0" w:color="auto"/>
              <w:left w:val="double" w:sz="4" w:space="0" w:color="auto"/>
              <w:bottom w:val="single" w:sz="4" w:space="0" w:color="auto"/>
              <w:right w:val="single" w:sz="4" w:space="0" w:color="auto"/>
            </w:tcBorders>
            <w:vAlign w:val="center"/>
          </w:tcPr>
          <w:p w14:paraId="3730CB8A" w14:textId="119D596F"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1</w:t>
            </w:r>
            <w:r w:rsidR="00DB1DB2" w:rsidRPr="00A600A9">
              <w:rPr>
                <w:rFonts w:cs="Arial"/>
                <w:sz w:val="18"/>
                <w:szCs w:val="16"/>
              </w:rPr>
              <w:t>%</w:t>
            </w:r>
          </w:p>
        </w:tc>
        <w:tc>
          <w:tcPr>
            <w:tcW w:w="402" w:type="pct"/>
            <w:tcBorders>
              <w:top w:val="single" w:sz="4" w:space="0" w:color="auto"/>
              <w:left w:val="nil"/>
              <w:bottom w:val="single" w:sz="4" w:space="0" w:color="auto"/>
              <w:right w:val="double" w:sz="4" w:space="0" w:color="auto"/>
            </w:tcBorders>
            <w:vAlign w:val="center"/>
          </w:tcPr>
          <w:p w14:paraId="65FD4CD0" w14:textId="76AA534D" w:rsidR="00845E47" w:rsidRPr="00A600A9" w:rsidRDefault="00906565" w:rsidP="00A600A9">
            <w:pPr>
              <w:widowControl w:val="0"/>
              <w:spacing w:before="0" w:after="0" w:line="240" w:lineRule="auto"/>
              <w:jc w:val="center"/>
              <w:rPr>
                <w:rFonts w:cs="Arial"/>
                <w:sz w:val="18"/>
                <w:szCs w:val="16"/>
              </w:rPr>
            </w:pPr>
            <w:r w:rsidRPr="00A600A9">
              <w:rPr>
                <w:rFonts w:cs="Arial"/>
                <w:sz w:val="18"/>
                <w:szCs w:val="16"/>
              </w:rPr>
              <w:t>2</w:t>
            </w:r>
            <w:r w:rsidR="00DB1DB2" w:rsidRPr="00A600A9">
              <w:rPr>
                <w:rFonts w:cs="Arial"/>
                <w:sz w:val="18"/>
                <w:szCs w:val="16"/>
              </w:rPr>
              <w:t>%</w:t>
            </w:r>
          </w:p>
        </w:tc>
        <w:tc>
          <w:tcPr>
            <w:tcW w:w="402" w:type="pct"/>
            <w:tcBorders>
              <w:top w:val="single" w:sz="4" w:space="0" w:color="auto"/>
              <w:left w:val="double" w:sz="4" w:space="0" w:color="auto"/>
              <w:bottom w:val="single" w:sz="4" w:space="0" w:color="auto"/>
              <w:right w:val="single" w:sz="4" w:space="0" w:color="auto"/>
            </w:tcBorders>
            <w:vAlign w:val="center"/>
          </w:tcPr>
          <w:p w14:paraId="4178C60B" w14:textId="47D577D6" w:rsidR="00845E47" w:rsidRPr="00A600A9" w:rsidRDefault="004F1E98" w:rsidP="00A600A9">
            <w:pPr>
              <w:widowControl w:val="0"/>
              <w:spacing w:before="0" w:after="0" w:line="240" w:lineRule="auto"/>
              <w:jc w:val="center"/>
              <w:rPr>
                <w:rFonts w:cs="Arial"/>
                <w:sz w:val="18"/>
                <w:szCs w:val="16"/>
              </w:rPr>
            </w:pPr>
            <w:r w:rsidRPr="00A600A9">
              <w:rPr>
                <w:rFonts w:cs="Arial"/>
                <w:sz w:val="18"/>
                <w:szCs w:val="16"/>
              </w:rPr>
              <w:t>2</w:t>
            </w:r>
            <w:r w:rsidR="00DB1DB2" w:rsidRPr="00A600A9">
              <w:rPr>
                <w:rFonts w:cs="Arial"/>
                <w:sz w:val="18"/>
                <w:szCs w:val="16"/>
              </w:rPr>
              <w:t>%</w:t>
            </w:r>
          </w:p>
        </w:tc>
        <w:tc>
          <w:tcPr>
            <w:tcW w:w="402" w:type="pct"/>
            <w:tcBorders>
              <w:top w:val="single" w:sz="4" w:space="0" w:color="auto"/>
              <w:left w:val="nil"/>
              <w:bottom w:val="single" w:sz="4" w:space="0" w:color="auto"/>
              <w:right w:val="double" w:sz="4" w:space="0" w:color="auto"/>
            </w:tcBorders>
            <w:vAlign w:val="center"/>
          </w:tcPr>
          <w:p w14:paraId="4A67A267" w14:textId="188B6DC0" w:rsidR="00845E47" w:rsidRPr="00A600A9" w:rsidRDefault="004F1E98" w:rsidP="00A600A9">
            <w:pPr>
              <w:widowControl w:val="0"/>
              <w:spacing w:before="0" w:after="0" w:line="240" w:lineRule="auto"/>
              <w:jc w:val="center"/>
              <w:rPr>
                <w:rFonts w:cs="Arial"/>
                <w:sz w:val="18"/>
                <w:szCs w:val="16"/>
              </w:rPr>
            </w:pPr>
            <w:r w:rsidRPr="00A600A9">
              <w:rPr>
                <w:rFonts w:cs="Arial"/>
                <w:sz w:val="18"/>
                <w:szCs w:val="16"/>
              </w:rPr>
              <w:t>3</w:t>
            </w:r>
            <w:r w:rsidR="00DB1DB2" w:rsidRPr="00A600A9">
              <w:rPr>
                <w:rFonts w:cs="Arial"/>
                <w:sz w:val="18"/>
                <w:szCs w:val="16"/>
              </w:rPr>
              <w:t>%</w:t>
            </w:r>
          </w:p>
        </w:tc>
      </w:tr>
      <w:tr w:rsidR="00C97AB0" w:rsidRPr="00111DC0" w14:paraId="184F12BC" w14:textId="77777777" w:rsidTr="00C97AB0">
        <w:trPr>
          <w:trHeight w:val="227"/>
        </w:trPr>
        <w:tc>
          <w:tcPr>
            <w:tcW w:w="979" w:type="pct"/>
            <w:tcBorders>
              <w:top w:val="single" w:sz="4" w:space="0" w:color="auto"/>
              <w:left w:val="double" w:sz="4" w:space="0" w:color="auto"/>
              <w:bottom w:val="double" w:sz="4" w:space="0" w:color="auto"/>
              <w:right w:val="double" w:sz="4" w:space="0" w:color="auto"/>
            </w:tcBorders>
            <w:vAlign w:val="center"/>
          </w:tcPr>
          <w:p w14:paraId="3D293D41" w14:textId="53710F0E" w:rsidR="000C0DBF" w:rsidRPr="00EF2ED1" w:rsidRDefault="000C0DBF" w:rsidP="00A600A9">
            <w:pPr>
              <w:widowControl w:val="0"/>
              <w:spacing w:before="0" w:after="0" w:line="240" w:lineRule="auto"/>
              <w:jc w:val="right"/>
              <w:rPr>
                <w:rFonts w:cs="Arial"/>
                <w:sz w:val="18"/>
                <w:szCs w:val="16"/>
              </w:rPr>
            </w:pPr>
            <w:proofErr w:type="spellStart"/>
            <w:r w:rsidRPr="00EF2ED1">
              <w:rPr>
                <w:rFonts w:cs="Arial"/>
                <w:sz w:val="18"/>
                <w:szCs w:val="16"/>
              </w:rPr>
              <w:t>Pers</w:t>
            </w:r>
            <w:proofErr w:type="spellEnd"/>
            <w:r w:rsidRPr="00EF2ED1">
              <w:rPr>
                <w:rFonts w:cs="Arial"/>
                <w:sz w:val="18"/>
                <w:szCs w:val="16"/>
              </w:rPr>
              <w:t>. Eventual</w:t>
            </w:r>
          </w:p>
        </w:tc>
        <w:tc>
          <w:tcPr>
            <w:tcW w:w="402" w:type="pct"/>
            <w:tcBorders>
              <w:top w:val="single" w:sz="4" w:space="0" w:color="auto"/>
              <w:left w:val="double" w:sz="4" w:space="0" w:color="auto"/>
              <w:bottom w:val="double" w:sz="4" w:space="0" w:color="auto"/>
              <w:right w:val="single" w:sz="4" w:space="0" w:color="auto"/>
            </w:tcBorders>
            <w:shd w:val="clear" w:color="auto" w:fill="auto"/>
            <w:noWrap/>
            <w:vAlign w:val="center"/>
          </w:tcPr>
          <w:p w14:paraId="721FC9F7" w14:textId="335B7F67" w:rsidR="000C0DBF" w:rsidRPr="00A600A9" w:rsidRDefault="000C0DBF" w:rsidP="00A600A9">
            <w:pPr>
              <w:widowControl w:val="0"/>
              <w:spacing w:before="0" w:after="0" w:line="240" w:lineRule="auto"/>
              <w:jc w:val="center"/>
              <w:rPr>
                <w:rFonts w:cs="Arial"/>
                <w:sz w:val="18"/>
                <w:szCs w:val="16"/>
              </w:rPr>
            </w:pPr>
            <w:r w:rsidRPr="00A600A9">
              <w:rPr>
                <w:rFonts w:cs="Arial"/>
                <w:sz w:val="18"/>
                <w:szCs w:val="16"/>
              </w:rPr>
              <w:t>1%</w:t>
            </w:r>
          </w:p>
        </w:tc>
        <w:tc>
          <w:tcPr>
            <w:tcW w:w="402" w:type="pct"/>
            <w:tcBorders>
              <w:top w:val="single" w:sz="4" w:space="0" w:color="auto"/>
              <w:left w:val="nil"/>
              <w:bottom w:val="double" w:sz="4" w:space="0" w:color="auto"/>
              <w:right w:val="double" w:sz="4" w:space="0" w:color="auto"/>
            </w:tcBorders>
            <w:vAlign w:val="center"/>
          </w:tcPr>
          <w:p w14:paraId="48940363" w14:textId="58335ACC" w:rsidR="000C0DBF" w:rsidRPr="00A600A9" w:rsidRDefault="000C0DBF" w:rsidP="00A600A9">
            <w:pPr>
              <w:widowControl w:val="0"/>
              <w:spacing w:before="0" w:after="0" w:line="240" w:lineRule="auto"/>
              <w:jc w:val="center"/>
              <w:rPr>
                <w:rFonts w:cs="Arial"/>
                <w:sz w:val="18"/>
                <w:szCs w:val="16"/>
              </w:rPr>
            </w:pPr>
            <w:r w:rsidRPr="00A600A9">
              <w:rPr>
                <w:rFonts w:cs="Arial"/>
                <w:sz w:val="18"/>
                <w:szCs w:val="16"/>
              </w:rPr>
              <w:t>1%</w:t>
            </w:r>
          </w:p>
        </w:tc>
        <w:tc>
          <w:tcPr>
            <w:tcW w:w="402" w:type="pct"/>
            <w:tcBorders>
              <w:top w:val="single" w:sz="4" w:space="0" w:color="auto"/>
              <w:left w:val="double" w:sz="4" w:space="0" w:color="auto"/>
              <w:bottom w:val="double" w:sz="4" w:space="0" w:color="auto"/>
              <w:right w:val="single" w:sz="4" w:space="0" w:color="auto"/>
            </w:tcBorders>
            <w:vAlign w:val="center"/>
          </w:tcPr>
          <w:p w14:paraId="7152D423" w14:textId="452F2FC8" w:rsidR="000C0DBF" w:rsidRPr="00A600A9" w:rsidRDefault="000C0DBF" w:rsidP="00A600A9">
            <w:pPr>
              <w:widowControl w:val="0"/>
              <w:spacing w:before="0" w:after="0" w:line="240" w:lineRule="auto"/>
              <w:jc w:val="center"/>
              <w:rPr>
                <w:rFonts w:cs="Arial"/>
                <w:sz w:val="18"/>
                <w:szCs w:val="16"/>
              </w:rPr>
            </w:pPr>
            <w:r w:rsidRPr="00A600A9">
              <w:rPr>
                <w:rFonts w:cs="Arial"/>
                <w:sz w:val="18"/>
                <w:szCs w:val="16"/>
              </w:rPr>
              <w:t>1%</w:t>
            </w:r>
          </w:p>
        </w:tc>
        <w:tc>
          <w:tcPr>
            <w:tcW w:w="402" w:type="pct"/>
            <w:tcBorders>
              <w:top w:val="single" w:sz="4" w:space="0" w:color="auto"/>
              <w:left w:val="nil"/>
              <w:bottom w:val="double" w:sz="4" w:space="0" w:color="auto"/>
              <w:right w:val="double" w:sz="4" w:space="0" w:color="auto"/>
            </w:tcBorders>
            <w:vAlign w:val="center"/>
          </w:tcPr>
          <w:p w14:paraId="11A1477E" w14:textId="3E48E62C" w:rsidR="000C0DBF" w:rsidRPr="00A600A9" w:rsidRDefault="000C0DBF" w:rsidP="00A600A9">
            <w:pPr>
              <w:widowControl w:val="0"/>
              <w:spacing w:before="0" w:after="0" w:line="240" w:lineRule="auto"/>
              <w:jc w:val="center"/>
              <w:rPr>
                <w:rFonts w:cs="Arial"/>
                <w:sz w:val="18"/>
                <w:szCs w:val="16"/>
              </w:rPr>
            </w:pPr>
            <w:r w:rsidRPr="00A600A9">
              <w:rPr>
                <w:rFonts w:cs="Arial"/>
                <w:sz w:val="18"/>
                <w:szCs w:val="16"/>
              </w:rPr>
              <w:t>1%</w:t>
            </w:r>
          </w:p>
        </w:tc>
        <w:tc>
          <w:tcPr>
            <w:tcW w:w="402" w:type="pct"/>
            <w:tcBorders>
              <w:top w:val="single" w:sz="4" w:space="0" w:color="auto"/>
              <w:left w:val="double" w:sz="4" w:space="0" w:color="auto"/>
              <w:bottom w:val="double" w:sz="4" w:space="0" w:color="auto"/>
              <w:right w:val="single" w:sz="4" w:space="0" w:color="auto"/>
            </w:tcBorders>
            <w:vAlign w:val="center"/>
          </w:tcPr>
          <w:p w14:paraId="73405B27" w14:textId="0DB2E9A6" w:rsidR="000C0DBF" w:rsidRPr="00A600A9" w:rsidRDefault="000C0DBF" w:rsidP="00A600A9">
            <w:pPr>
              <w:widowControl w:val="0"/>
              <w:spacing w:before="0" w:after="0" w:line="240" w:lineRule="auto"/>
              <w:jc w:val="center"/>
              <w:rPr>
                <w:rFonts w:cs="Arial"/>
                <w:sz w:val="18"/>
                <w:szCs w:val="16"/>
              </w:rPr>
            </w:pPr>
            <w:r w:rsidRPr="00A600A9">
              <w:rPr>
                <w:rFonts w:cs="Arial"/>
                <w:sz w:val="18"/>
                <w:szCs w:val="16"/>
              </w:rPr>
              <w:t>1%</w:t>
            </w:r>
          </w:p>
        </w:tc>
        <w:tc>
          <w:tcPr>
            <w:tcW w:w="402" w:type="pct"/>
            <w:tcBorders>
              <w:top w:val="single" w:sz="4" w:space="0" w:color="auto"/>
              <w:left w:val="nil"/>
              <w:bottom w:val="double" w:sz="4" w:space="0" w:color="auto"/>
              <w:right w:val="double" w:sz="4" w:space="0" w:color="auto"/>
            </w:tcBorders>
            <w:vAlign w:val="center"/>
          </w:tcPr>
          <w:p w14:paraId="06F5D1B8" w14:textId="23BA399B" w:rsidR="000C0DBF" w:rsidRPr="00A600A9" w:rsidRDefault="000C0DBF" w:rsidP="00A600A9">
            <w:pPr>
              <w:widowControl w:val="0"/>
              <w:spacing w:before="0" w:after="0" w:line="240" w:lineRule="auto"/>
              <w:jc w:val="center"/>
              <w:rPr>
                <w:rFonts w:cs="Arial"/>
                <w:sz w:val="18"/>
                <w:szCs w:val="16"/>
              </w:rPr>
            </w:pPr>
            <w:r w:rsidRPr="00A600A9">
              <w:rPr>
                <w:rFonts w:cs="Arial"/>
                <w:sz w:val="18"/>
                <w:szCs w:val="16"/>
              </w:rPr>
              <w:t>1%</w:t>
            </w:r>
          </w:p>
        </w:tc>
        <w:tc>
          <w:tcPr>
            <w:tcW w:w="402" w:type="pct"/>
            <w:tcBorders>
              <w:top w:val="single" w:sz="4" w:space="0" w:color="auto"/>
              <w:left w:val="double" w:sz="4" w:space="0" w:color="auto"/>
              <w:bottom w:val="double" w:sz="4" w:space="0" w:color="auto"/>
              <w:right w:val="single" w:sz="4" w:space="0" w:color="auto"/>
            </w:tcBorders>
            <w:vAlign w:val="center"/>
          </w:tcPr>
          <w:p w14:paraId="1F7B3EB6" w14:textId="3A40C0E8" w:rsidR="000C0DBF" w:rsidRPr="00A600A9" w:rsidRDefault="000C0DBF" w:rsidP="00A600A9">
            <w:pPr>
              <w:widowControl w:val="0"/>
              <w:spacing w:before="0" w:after="0" w:line="240" w:lineRule="auto"/>
              <w:jc w:val="center"/>
              <w:rPr>
                <w:rFonts w:cs="Arial"/>
                <w:sz w:val="18"/>
                <w:szCs w:val="16"/>
              </w:rPr>
            </w:pPr>
            <w:r w:rsidRPr="00A600A9">
              <w:rPr>
                <w:rFonts w:cs="Arial"/>
                <w:sz w:val="18"/>
                <w:szCs w:val="16"/>
              </w:rPr>
              <w:t>1%</w:t>
            </w:r>
          </w:p>
        </w:tc>
        <w:tc>
          <w:tcPr>
            <w:tcW w:w="402" w:type="pct"/>
            <w:tcBorders>
              <w:top w:val="single" w:sz="4" w:space="0" w:color="auto"/>
              <w:left w:val="nil"/>
              <w:bottom w:val="double" w:sz="4" w:space="0" w:color="auto"/>
              <w:right w:val="double" w:sz="4" w:space="0" w:color="auto"/>
            </w:tcBorders>
            <w:vAlign w:val="center"/>
          </w:tcPr>
          <w:p w14:paraId="56218ECD" w14:textId="613556B3" w:rsidR="000C0DBF" w:rsidRPr="00A600A9" w:rsidRDefault="000C0DBF" w:rsidP="00A600A9">
            <w:pPr>
              <w:widowControl w:val="0"/>
              <w:spacing w:before="0" w:after="0" w:line="240" w:lineRule="auto"/>
              <w:jc w:val="center"/>
              <w:rPr>
                <w:rFonts w:cs="Arial"/>
                <w:sz w:val="18"/>
                <w:szCs w:val="16"/>
              </w:rPr>
            </w:pPr>
            <w:r w:rsidRPr="00A600A9">
              <w:rPr>
                <w:rFonts w:cs="Arial"/>
                <w:sz w:val="18"/>
                <w:szCs w:val="16"/>
              </w:rPr>
              <w:t>2%</w:t>
            </w:r>
          </w:p>
        </w:tc>
        <w:tc>
          <w:tcPr>
            <w:tcW w:w="402" w:type="pct"/>
            <w:tcBorders>
              <w:top w:val="single" w:sz="4" w:space="0" w:color="auto"/>
              <w:left w:val="double" w:sz="4" w:space="0" w:color="auto"/>
              <w:bottom w:val="double" w:sz="4" w:space="0" w:color="auto"/>
              <w:right w:val="single" w:sz="4" w:space="0" w:color="auto"/>
            </w:tcBorders>
            <w:vAlign w:val="center"/>
          </w:tcPr>
          <w:p w14:paraId="607041A3" w14:textId="564C09BC" w:rsidR="000C0DBF" w:rsidRPr="00A600A9" w:rsidRDefault="000C0DBF" w:rsidP="00A600A9">
            <w:pPr>
              <w:widowControl w:val="0"/>
              <w:spacing w:before="0" w:after="0" w:line="240" w:lineRule="auto"/>
              <w:jc w:val="center"/>
              <w:rPr>
                <w:rFonts w:cs="Arial"/>
                <w:sz w:val="18"/>
                <w:szCs w:val="16"/>
              </w:rPr>
            </w:pPr>
            <w:r w:rsidRPr="00A600A9">
              <w:rPr>
                <w:rFonts w:cs="Arial"/>
                <w:sz w:val="18"/>
                <w:szCs w:val="16"/>
              </w:rPr>
              <w:t>1%</w:t>
            </w:r>
          </w:p>
        </w:tc>
        <w:tc>
          <w:tcPr>
            <w:tcW w:w="402" w:type="pct"/>
            <w:tcBorders>
              <w:top w:val="single" w:sz="4" w:space="0" w:color="auto"/>
              <w:left w:val="nil"/>
              <w:bottom w:val="double" w:sz="4" w:space="0" w:color="auto"/>
              <w:right w:val="double" w:sz="4" w:space="0" w:color="auto"/>
            </w:tcBorders>
            <w:vAlign w:val="center"/>
          </w:tcPr>
          <w:p w14:paraId="4D92EB06" w14:textId="3E1E630A" w:rsidR="000C0DBF" w:rsidRPr="00A600A9" w:rsidRDefault="000C0DBF" w:rsidP="00A600A9">
            <w:pPr>
              <w:widowControl w:val="0"/>
              <w:spacing w:before="0" w:after="0" w:line="240" w:lineRule="auto"/>
              <w:jc w:val="center"/>
              <w:rPr>
                <w:rFonts w:cs="Arial"/>
                <w:sz w:val="18"/>
                <w:szCs w:val="16"/>
              </w:rPr>
            </w:pPr>
            <w:r w:rsidRPr="00A600A9">
              <w:rPr>
                <w:rFonts w:cs="Arial"/>
                <w:sz w:val="18"/>
                <w:szCs w:val="16"/>
              </w:rPr>
              <w:t>2%</w:t>
            </w:r>
          </w:p>
        </w:tc>
      </w:tr>
    </w:tbl>
    <w:p w14:paraId="18C75AF1" w14:textId="63336E86" w:rsidR="000C5807" w:rsidRPr="00111DC0" w:rsidRDefault="000C5807" w:rsidP="00A442AB">
      <w:pPr>
        <w:rPr>
          <w:lang w:eastAsia="es-ES"/>
        </w:rPr>
      </w:pPr>
    </w:p>
    <w:p w14:paraId="5E9B41DE" w14:textId="3B33010B" w:rsidR="00AA2739" w:rsidRPr="00111DC0" w:rsidRDefault="00702C88" w:rsidP="009C2D91">
      <w:pPr>
        <w:rPr>
          <w:rFonts w:cs="Arial"/>
          <w:b/>
          <w:bCs/>
        </w:rPr>
      </w:pPr>
      <w:r w:rsidRPr="00111DC0">
        <w:rPr>
          <w:rFonts w:cs="Arial"/>
        </w:rPr>
        <w:t xml:space="preserve">Por otra parte, </w:t>
      </w:r>
      <w:r w:rsidRPr="00111DC0">
        <w:rPr>
          <w:rFonts w:cs="Arial"/>
          <w:b/>
          <w:bCs/>
        </w:rPr>
        <w:t>e</w:t>
      </w:r>
      <w:r w:rsidR="00721254" w:rsidRPr="00111DC0">
        <w:rPr>
          <w:rFonts w:cs="Arial"/>
          <w:b/>
          <w:bCs/>
        </w:rPr>
        <w:t>ntre el Personal Docente</w:t>
      </w:r>
      <w:r w:rsidR="009C2D91" w:rsidRPr="00111DC0">
        <w:rPr>
          <w:rFonts w:cs="Arial"/>
          <w:b/>
          <w:bCs/>
        </w:rPr>
        <w:t xml:space="preserve"> </w:t>
      </w:r>
      <w:r w:rsidR="00AA2739" w:rsidRPr="00111DC0">
        <w:rPr>
          <w:rFonts w:cs="Arial"/>
          <w:b/>
          <w:bCs/>
        </w:rPr>
        <w:t xml:space="preserve">también se produce un incremento del personal interino y una correlativa disminución del funcionariado de carrera. No obstante, </w:t>
      </w:r>
      <w:r w:rsidRPr="00111DC0">
        <w:rPr>
          <w:rFonts w:cs="Arial"/>
          <w:b/>
          <w:bCs/>
        </w:rPr>
        <w:t>se</w:t>
      </w:r>
      <w:r w:rsidR="009C2D91" w:rsidRPr="00111DC0">
        <w:rPr>
          <w:rFonts w:cs="Arial"/>
          <w:b/>
          <w:bCs/>
        </w:rPr>
        <w:t xml:space="preserve"> produce una situación inversa</w:t>
      </w:r>
      <w:r w:rsidR="00494B6B" w:rsidRPr="00111DC0">
        <w:rPr>
          <w:rFonts w:cs="Arial"/>
          <w:b/>
          <w:bCs/>
        </w:rPr>
        <w:t xml:space="preserve"> en términos de </w:t>
      </w:r>
      <w:r w:rsidR="00B5220B">
        <w:rPr>
          <w:rFonts w:cs="Arial"/>
          <w:b/>
          <w:bCs/>
        </w:rPr>
        <w:t>sexo</w:t>
      </w:r>
      <w:r w:rsidR="00BE2902" w:rsidRPr="00111DC0">
        <w:rPr>
          <w:rFonts w:cs="Arial"/>
        </w:rPr>
        <w:t>.</w:t>
      </w:r>
      <w:r w:rsidR="00AA2739" w:rsidRPr="00111DC0">
        <w:rPr>
          <w:rFonts w:cs="Arial"/>
          <w:b/>
          <w:bCs/>
        </w:rPr>
        <w:t xml:space="preserve"> </w:t>
      </w:r>
    </w:p>
    <w:p w14:paraId="2A7677E6" w14:textId="108CB1A0" w:rsidR="00DD024A" w:rsidRDefault="00AA2739" w:rsidP="00530BE0">
      <w:pPr>
        <w:rPr>
          <w:rFonts w:cs="Arial"/>
        </w:rPr>
      </w:pPr>
      <w:r w:rsidRPr="00111DC0">
        <w:rPr>
          <w:rFonts w:cs="Arial"/>
        </w:rPr>
        <w:t>De un lado,</w:t>
      </w:r>
      <w:r w:rsidR="00494B6B" w:rsidRPr="00111DC0">
        <w:rPr>
          <w:rFonts w:cs="Arial"/>
        </w:rPr>
        <w:t xml:space="preserve"> </w:t>
      </w:r>
      <w:r w:rsidR="00702C88" w:rsidRPr="00111DC0">
        <w:rPr>
          <w:rFonts w:cs="Arial"/>
        </w:rPr>
        <w:t xml:space="preserve">la proporción de interinas </w:t>
      </w:r>
      <w:r w:rsidR="00494B6B" w:rsidRPr="00111DC0">
        <w:rPr>
          <w:rFonts w:cs="Arial"/>
        </w:rPr>
        <w:t xml:space="preserve">se </w:t>
      </w:r>
      <w:r w:rsidR="00702C88" w:rsidRPr="00111DC0">
        <w:rPr>
          <w:rFonts w:cs="Arial"/>
        </w:rPr>
        <w:t xml:space="preserve">incrementa menos que la de interinos (6 y 11 puntos porcentuales respectivamente). Complementariamente, la </w:t>
      </w:r>
      <w:r w:rsidR="00494B6B" w:rsidRPr="00111DC0">
        <w:rPr>
          <w:rFonts w:cs="Arial"/>
        </w:rPr>
        <w:t xml:space="preserve">reducción </w:t>
      </w:r>
      <w:r w:rsidR="00702C88" w:rsidRPr="00111DC0">
        <w:rPr>
          <w:rFonts w:cs="Arial"/>
        </w:rPr>
        <w:t xml:space="preserve">proporcional de </w:t>
      </w:r>
      <w:r w:rsidR="00494B6B" w:rsidRPr="00111DC0">
        <w:rPr>
          <w:rFonts w:cs="Arial"/>
        </w:rPr>
        <w:t>las funcionarias de carrera</w:t>
      </w:r>
      <w:r w:rsidR="00702C88" w:rsidRPr="00111DC0">
        <w:rPr>
          <w:rFonts w:cs="Arial"/>
        </w:rPr>
        <w:t xml:space="preserve"> es también menor que la de los funcionarios de carrera </w:t>
      </w:r>
      <w:r w:rsidRPr="00111DC0">
        <w:rPr>
          <w:rFonts w:cs="Arial"/>
        </w:rPr>
        <w:t>(4 y 9 puntos en cada caso</w:t>
      </w:r>
      <w:r w:rsidR="0064399E">
        <w:rPr>
          <w:rFonts w:cs="Arial"/>
          <w:lang w:eastAsia="es-ES"/>
        </w:rPr>
        <w:t>)</w:t>
      </w:r>
      <w:r w:rsidR="000E3082" w:rsidRPr="00111DC0">
        <w:rPr>
          <w:rFonts w:cs="Arial"/>
        </w:rPr>
        <w:t>:</w:t>
      </w:r>
    </w:p>
    <w:tbl>
      <w:tblPr>
        <w:tblW w:w="4960" w:type="pct"/>
        <w:tblInd w:w="70" w:type="dxa"/>
        <w:tblCellMar>
          <w:left w:w="70" w:type="dxa"/>
          <w:right w:w="70" w:type="dxa"/>
        </w:tblCellMar>
        <w:tblLook w:val="04A0" w:firstRow="1" w:lastRow="0" w:firstColumn="1" w:lastColumn="0" w:noHBand="0" w:noVBand="1"/>
      </w:tblPr>
      <w:tblGrid>
        <w:gridCol w:w="1680"/>
        <w:gridCol w:w="501"/>
        <w:gridCol w:w="710"/>
        <w:gridCol w:w="711"/>
        <w:gridCol w:w="711"/>
        <w:gridCol w:w="711"/>
        <w:gridCol w:w="711"/>
        <w:gridCol w:w="711"/>
        <w:gridCol w:w="711"/>
        <w:gridCol w:w="711"/>
        <w:gridCol w:w="707"/>
      </w:tblGrid>
      <w:tr w:rsidR="005B7708" w:rsidRPr="00111DC0" w14:paraId="3485599B" w14:textId="77777777" w:rsidTr="00C97AB0">
        <w:trPr>
          <w:trHeight w:val="170"/>
        </w:trPr>
        <w:tc>
          <w:tcPr>
            <w:tcW w:w="5000" w:type="pct"/>
            <w:gridSpan w:val="11"/>
            <w:tcBorders>
              <w:top w:val="double" w:sz="4" w:space="0" w:color="auto"/>
              <w:left w:val="double" w:sz="4" w:space="0" w:color="auto"/>
              <w:bottom w:val="single" w:sz="4" w:space="0" w:color="auto"/>
              <w:right w:val="double" w:sz="4" w:space="0" w:color="auto"/>
            </w:tcBorders>
            <w:shd w:val="clear" w:color="auto" w:fill="78BE20"/>
            <w:vAlign w:val="center"/>
          </w:tcPr>
          <w:p w14:paraId="667869F2" w14:textId="7A3E8A42" w:rsidR="005B7708" w:rsidRPr="00111DC0" w:rsidRDefault="00494B6B" w:rsidP="00C97AB0">
            <w:pPr>
              <w:widowControl w:val="0"/>
              <w:spacing w:before="0" w:after="0" w:line="240" w:lineRule="auto"/>
              <w:jc w:val="left"/>
              <w:rPr>
                <w:rFonts w:cs="Arial"/>
                <w:b/>
                <w:bCs/>
                <w:color w:val="FFFFFF" w:themeColor="background1"/>
                <w:szCs w:val="20"/>
              </w:rPr>
            </w:pPr>
            <w:r w:rsidRPr="00111DC0">
              <w:rPr>
                <w:rFonts w:cs="Arial"/>
                <w:lang w:eastAsia="es-ES"/>
              </w:rPr>
              <w:br w:type="page"/>
            </w:r>
            <w:r w:rsidR="005B7708" w:rsidRPr="00111DC0">
              <w:rPr>
                <w:rFonts w:cs="Arial"/>
                <w:b/>
                <w:bCs/>
                <w:color w:val="FFFFFF" w:themeColor="background1"/>
                <w:szCs w:val="20"/>
              </w:rPr>
              <w:t>Tabla 2. Evolución de la concentración por sexo y tipo de relación laboral</w:t>
            </w:r>
            <w:r w:rsidR="00123972" w:rsidRPr="00111DC0">
              <w:rPr>
                <w:rFonts w:cs="Arial"/>
                <w:b/>
                <w:bCs/>
                <w:color w:val="FFFFFF" w:themeColor="background1"/>
                <w:szCs w:val="20"/>
              </w:rPr>
              <w:t xml:space="preserve"> </w:t>
            </w:r>
            <w:r w:rsidR="005B7708" w:rsidRPr="00111DC0">
              <w:rPr>
                <w:rFonts w:cs="Arial"/>
                <w:color w:val="FFFFFF" w:themeColor="background1"/>
                <w:szCs w:val="20"/>
              </w:rPr>
              <w:t>(</w:t>
            </w:r>
            <w:r w:rsidR="00832653" w:rsidRPr="00111DC0">
              <w:rPr>
                <w:rFonts w:cs="Arial"/>
                <w:color w:val="FFFFFF" w:themeColor="background1"/>
                <w:szCs w:val="20"/>
              </w:rPr>
              <w:t>Personal Docente</w:t>
            </w:r>
            <w:r w:rsidR="005B7708" w:rsidRPr="00111DC0">
              <w:rPr>
                <w:rFonts w:cs="Arial"/>
                <w:color w:val="FFFFFF" w:themeColor="background1"/>
                <w:szCs w:val="20"/>
              </w:rPr>
              <w:t>)</w:t>
            </w:r>
          </w:p>
        </w:tc>
      </w:tr>
      <w:tr w:rsidR="00EF2ED1" w:rsidRPr="00111DC0" w14:paraId="6973BE4D" w14:textId="77777777" w:rsidTr="00C97AB0">
        <w:trPr>
          <w:trHeight w:val="170"/>
        </w:trPr>
        <w:tc>
          <w:tcPr>
            <w:tcW w:w="992" w:type="pct"/>
            <w:vMerge w:val="restart"/>
            <w:tcBorders>
              <w:top w:val="single" w:sz="4" w:space="0" w:color="auto"/>
              <w:left w:val="double" w:sz="4" w:space="0" w:color="auto"/>
              <w:right w:val="double" w:sz="4" w:space="0" w:color="auto"/>
            </w:tcBorders>
            <w:vAlign w:val="center"/>
          </w:tcPr>
          <w:p w14:paraId="7ACB7056" w14:textId="77777777" w:rsidR="00EF2ED1" w:rsidRPr="00111DC0" w:rsidRDefault="00EF2ED1" w:rsidP="00C97AB0">
            <w:pPr>
              <w:widowControl w:val="0"/>
              <w:spacing w:before="0" w:after="0" w:line="240" w:lineRule="auto"/>
              <w:jc w:val="right"/>
              <w:rPr>
                <w:rFonts w:cs="Arial"/>
                <w:b/>
                <w:bCs/>
                <w:sz w:val="20"/>
                <w:szCs w:val="18"/>
              </w:rPr>
            </w:pPr>
          </w:p>
        </w:tc>
        <w:tc>
          <w:tcPr>
            <w:tcW w:w="602" w:type="pct"/>
            <w:gridSpan w:val="2"/>
            <w:tcBorders>
              <w:top w:val="single" w:sz="4" w:space="0" w:color="auto"/>
              <w:left w:val="double" w:sz="4" w:space="0" w:color="auto"/>
              <w:bottom w:val="double" w:sz="4" w:space="0" w:color="auto"/>
              <w:right w:val="double" w:sz="4" w:space="0" w:color="auto"/>
            </w:tcBorders>
            <w:shd w:val="clear" w:color="auto" w:fill="auto"/>
            <w:noWrap/>
            <w:vAlign w:val="center"/>
          </w:tcPr>
          <w:p w14:paraId="69A19C0F" w14:textId="77777777" w:rsidR="00EF2ED1" w:rsidRPr="00111DC0" w:rsidRDefault="00EF2ED1" w:rsidP="00C97AB0">
            <w:pPr>
              <w:widowControl w:val="0"/>
              <w:spacing w:before="0" w:after="0" w:line="240" w:lineRule="auto"/>
              <w:jc w:val="center"/>
              <w:rPr>
                <w:rFonts w:cs="Arial"/>
                <w:b/>
                <w:bCs/>
                <w:szCs w:val="20"/>
              </w:rPr>
            </w:pPr>
            <w:r w:rsidRPr="00111DC0">
              <w:rPr>
                <w:rFonts w:cs="Arial"/>
                <w:b/>
                <w:bCs/>
                <w:szCs w:val="20"/>
              </w:rPr>
              <w:t>2017</w:t>
            </w:r>
          </w:p>
        </w:tc>
        <w:tc>
          <w:tcPr>
            <w:tcW w:w="852" w:type="pct"/>
            <w:gridSpan w:val="2"/>
            <w:tcBorders>
              <w:top w:val="single" w:sz="4" w:space="0" w:color="auto"/>
              <w:left w:val="double" w:sz="4" w:space="0" w:color="auto"/>
              <w:bottom w:val="double" w:sz="4" w:space="0" w:color="auto"/>
              <w:right w:val="double" w:sz="4" w:space="0" w:color="auto"/>
            </w:tcBorders>
            <w:vAlign w:val="center"/>
          </w:tcPr>
          <w:p w14:paraId="77ECDF5C" w14:textId="77777777" w:rsidR="00EF2ED1" w:rsidRPr="00111DC0" w:rsidRDefault="00EF2ED1" w:rsidP="00C97AB0">
            <w:pPr>
              <w:widowControl w:val="0"/>
              <w:spacing w:before="0" w:after="0" w:line="240" w:lineRule="auto"/>
              <w:jc w:val="center"/>
              <w:rPr>
                <w:rFonts w:cs="Arial"/>
                <w:b/>
                <w:bCs/>
                <w:szCs w:val="20"/>
              </w:rPr>
            </w:pPr>
            <w:r w:rsidRPr="00111DC0">
              <w:rPr>
                <w:rFonts w:cs="Arial"/>
                <w:b/>
                <w:bCs/>
                <w:szCs w:val="20"/>
              </w:rPr>
              <w:t>2018</w:t>
            </w:r>
          </w:p>
        </w:tc>
        <w:tc>
          <w:tcPr>
            <w:tcW w:w="852" w:type="pct"/>
            <w:gridSpan w:val="2"/>
            <w:tcBorders>
              <w:top w:val="single" w:sz="4" w:space="0" w:color="auto"/>
              <w:left w:val="double" w:sz="4" w:space="0" w:color="auto"/>
              <w:bottom w:val="double" w:sz="4" w:space="0" w:color="auto"/>
              <w:right w:val="double" w:sz="4" w:space="0" w:color="auto"/>
            </w:tcBorders>
            <w:vAlign w:val="center"/>
          </w:tcPr>
          <w:p w14:paraId="5541CC8C" w14:textId="77777777" w:rsidR="00EF2ED1" w:rsidRPr="00111DC0" w:rsidRDefault="00EF2ED1" w:rsidP="00C97AB0">
            <w:pPr>
              <w:widowControl w:val="0"/>
              <w:spacing w:before="0" w:after="0" w:line="240" w:lineRule="auto"/>
              <w:jc w:val="center"/>
              <w:rPr>
                <w:rFonts w:cs="Arial"/>
                <w:b/>
                <w:bCs/>
                <w:szCs w:val="20"/>
              </w:rPr>
            </w:pPr>
            <w:r w:rsidRPr="00111DC0">
              <w:rPr>
                <w:rFonts w:cs="Arial"/>
                <w:b/>
                <w:bCs/>
                <w:szCs w:val="20"/>
              </w:rPr>
              <w:t>2019</w:t>
            </w:r>
          </w:p>
        </w:tc>
        <w:tc>
          <w:tcPr>
            <w:tcW w:w="852" w:type="pct"/>
            <w:gridSpan w:val="2"/>
            <w:tcBorders>
              <w:top w:val="single" w:sz="4" w:space="0" w:color="auto"/>
              <w:left w:val="double" w:sz="4" w:space="0" w:color="auto"/>
              <w:bottom w:val="double" w:sz="4" w:space="0" w:color="auto"/>
              <w:right w:val="double" w:sz="4" w:space="0" w:color="auto"/>
            </w:tcBorders>
            <w:vAlign w:val="center"/>
          </w:tcPr>
          <w:p w14:paraId="58510813" w14:textId="77777777" w:rsidR="00EF2ED1" w:rsidRPr="00111DC0" w:rsidRDefault="00EF2ED1" w:rsidP="00C97AB0">
            <w:pPr>
              <w:widowControl w:val="0"/>
              <w:spacing w:before="0" w:after="0" w:line="240" w:lineRule="auto"/>
              <w:jc w:val="center"/>
              <w:rPr>
                <w:rFonts w:cs="Arial"/>
                <w:b/>
                <w:bCs/>
                <w:szCs w:val="20"/>
              </w:rPr>
            </w:pPr>
            <w:r w:rsidRPr="00111DC0">
              <w:rPr>
                <w:rFonts w:cs="Arial"/>
                <w:b/>
                <w:bCs/>
                <w:szCs w:val="20"/>
              </w:rPr>
              <w:t>2020</w:t>
            </w:r>
          </w:p>
        </w:tc>
        <w:tc>
          <w:tcPr>
            <w:tcW w:w="849" w:type="pct"/>
            <w:gridSpan w:val="2"/>
            <w:tcBorders>
              <w:top w:val="single" w:sz="4" w:space="0" w:color="auto"/>
              <w:left w:val="double" w:sz="4" w:space="0" w:color="auto"/>
              <w:bottom w:val="double" w:sz="4" w:space="0" w:color="auto"/>
              <w:right w:val="double" w:sz="4" w:space="0" w:color="auto"/>
            </w:tcBorders>
            <w:vAlign w:val="center"/>
          </w:tcPr>
          <w:p w14:paraId="37AFAC5A" w14:textId="77777777" w:rsidR="00EF2ED1" w:rsidRPr="00111DC0" w:rsidRDefault="00EF2ED1" w:rsidP="00C97AB0">
            <w:pPr>
              <w:widowControl w:val="0"/>
              <w:spacing w:before="0" w:after="0" w:line="240" w:lineRule="auto"/>
              <w:jc w:val="center"/>
              <w:rPr>
                <w:rFonts w:cs="Arial"/>
                <w:b/>
                <w:bCs/>
                <w:szCs w:val="20"/>
              </w:rPr>
            </w:pPr>
            <w:r w:rsidRPr="00111DC0">
              <w:rPr>
                <w:rFonts w:cs="Arial"/>
                <w:b/>
                <w:bCs/>
                <w:szCs w:val="20"/>
              </w:rPr>
              <w:t>2021</w:t>
            </w:r>
          </w:p>
        </w:tc>
      </w:tr>
      <w:tr w:rsidR="00EF2ED1" w:rsidRPr="00111DC0" w14:paraId="35E0D44B" w14:textId="77777777" w:rsidTr="00C97AB0">
        <w:trPr>
          <w:trHeight w:val="170"/>
        </w:trPr>
        <w:tc>
          <w:tcPr>
            <w:tcW w:w="992" w:type="pct"/>
            <w:vMerge/>
            <w:tcBorders>
              <w:left w:val="double" w:sz="4" w:space="0" w:color="auto"/>
              <w:bottom w:val="double" w:sz="4" w:space="0" w:color="auto"/>
              <w:right w:val="double" w:sz="4" w:space="0" w:color="auto"/>
            </w:tcBorders>
            <w:vAlign w:val="center"/>
          </w:tcPr>
          <w:p w14:paraId="1858865D" w14:textId="77777777" w:rsidR="00EF2ED1" w:rsidRPr="00111DC0" w:rsidRDefault="00EF2ED1" w:rsidP="00C97AB0">
            <w:pPr>
              <w:widowControl w:val="0"/>
              <w:spacing w:before="0" w:after="0" w:line="240" w:lineRule="auto"/>
              <w:jc w:val="right"/>
              <w:rPr>
                <w:rFonts w:cs="Arial"/>
                <w:b/>
                <w:bCs/>
                <w:sz w:val="20"/>
                <w:szCs w:val="18"/>
              </w:rPr>
            </w:pPr>
          </w:p>
        </w:tc>
        <w:tc>
          <w:tcPr>
            <w:tcW w:w="176" w:type="pct"/>
            <w:tcBorders>
              <w:top w:val="double" w:sz="4" w:space="0" w:color="auto"/>
              <w:left w:val="double" w:sz="4" w:space="0" w:color="auto"/>
              <w:bottom w:val="double" w:sz="4" w:space="0" w:color="auto"/>
              <w:right w:val="single" w:sz="4" w:space="0" w:color="auto"/>
            </w:tcBorders>
            <w:shd w:val="clear" w:color="auto" w:fill="auto"/>
            <w:noWrap/>
            <w:vAlign w:val="center"/>
          </w:tcPr>
          <w:p w14:paraId="172750F7" w14:textId="77777777" w:rsidR="00EF2ED1" w:rsidRPr="00111DC0" w:rsidRDefault="00EF2ED1" w:rsidP="00C97AB0">
            <w:pPr>
              <w:widowControl w:val="0"/>
              <w:spacing w:before="0" w:after="0" w:line="240" w:lineRule="auto"/>
              <w:jc w:val="center"/>
              <w:rPr>
                <w:rFonts w:cs="Arial"/>
                <w:b/>
                <w:bCs/>
                <w:szCs w:val="20"/>
              </w:rPr>
            </w:pPr>
            <w:r w:rsidRPr="00111DC0">
              <w:rPr>
                <w:rFonts w:cs="Arial"/>
                <w:b/>
                <w:bCs/>
                <w:szCs w:val="20"/>
              </w:rPr>
              <w:t>M</w:t>
            </w:r>
          </w:p>
        </w:tc>
        <w:tc>
          <w:tcPr>
            <w:tcW w:w="426" w:type="pct"/>
            <w:tcBorders>
              <w:top w:val="double" w:sz="4" w:space="0" w:color="auto"/>
              <w:left w:val="nil"/>
              <w:bottom w:val="double" w:sz="4" w:space="0" w:color="auto"/>
              <w:right w:val="double" w:sz="4" w:space="0" w:color="auto"/>
            </w:tcBorders>
            <w:vAlign w:val="center"/>
          </w:tcPr>
          <w:p w14:paraId="5A59C987" w14:textId="77777777" w:rsidR="00EF2ED1" w:rsidRPr="00111DC0" w:rsidRDefault="00EF2ED1" w:rsidP="00C97AB0">
            <w:pPr>
              <w:widowControl w:val="0"/>
              <w:spacing w:before="0" w:after="0" w:line="240" w:lineRule="auto"/>
              <w:jc w:val="center"/>
              <w:rPr>
                <w:rFonts w:cs="Arial"/>
                <w:b/>
                <w:bCs/>
                <w:szCs w:val="20"/>
              </w:rPr>
            </w:pPr>
            <w:r w:rsidRPr="00111DC0">
              <w:rPr>
                <w:rFonts w:cs="Arial"/>
                <w:b/>
                <w:bCs/>
                <w:szCs w:val="20"/>
              </w:rPr>
              <w:t>H</w:t>
            </w:r>
          </w:p>
        </w:tc>
        <w:tc>
          <w:tcPr>
            <w:tcW w:w="426" w:type="pct"/>
            <w:tcBorders>
              <w:top w:val="double" w:sz="4" w:space="0" w:color="auto"/>
              <w:left w:val="double" w:sz="4" w:space="0" w:color="auto"/>
              <w:bottom w:val="double" w:sz="4" w:space="0" w:color="auto"/>
              <w:right w:val="single" w:sz="4" w:space="0" w:color="auto"/>
            </w:tcBorders>
            <w:vAlign w:val="center"/>
          </w:tcPr>
          <w:p w14:paraId="419529EB" w14:textId="77777777" w:rsidR="00EF2ED1" w:rsidRPr="00111DC0" w:rsidRDefault="00EF2ED1" w:rsidP="00C97AB0">
            <w:pPr>
              <w:widowControl w:val="0"/>
              <w:spacing w:before="0" w:after="0" w:line="240" w:lineRule="auto"/>
              <w:jc w:val="center"/>
              <w:rPr>
                <w:rFonts w:cs="Arial"/>
                <w:b/>
                <w:bCs/>
                <w:szCs w:val="20"/>
              </w:rPr>
            </w:pPr>
            <w:r w:rsidRPr="00111DC0">
              <w:rPr>
                <w:rFonts w:cs="Arial"/>
                <w:b/>
                <w:bCs/>
                <w:szCs w:val="20"/>
              </w:rPr>
              <w:t>M</w:t>
            </w:r>
          </w:p>
        </w:tc>
        <w:tc>
          <w:tcPr>
            <w:tcW w:w="426" w:type="pct"/>
            <w:tcBorders>
              <w:top w:val="double" w:sz="4" w:space="0" w:color="auto"/>
              <w:left w:val="nil"/>
              <w:bottom w:val="double" w:sz="4" w:space="0" w:color="auto"/>
              <w:right w:val="double" w:sz="4" w:space="0" w:color="auto"/>
            </w:tcBorders>
            <w:vAlign w:val="center"/>
          </w:tcPr>
          <w:p w14:paraId="1275E91A" w14:textId="77777777" w:rsidR="00EF2ED1" w:rsidRPr="00111DC0" w:rsidRDefault="00EF2ED1" w:rsidP="00C97AB0">
            <w:pPr>
              <w:widowControl w:val="0"/>
              <w:spacing w:before="0" w:after="0" w:line="240" w:lineRule="auto"/>
              <w:jc w:val="center"/>
              <w:rPr>
                <w:rFonts w:cs="Arial"/>
                <w:b/>
                <w:bCs/>
                <w:szCs w:val="20"/>
              </w:rPr>
            </w:pPr>
            <w:r w:rsidRPr="00111DC0">
              <w:rPr>
                <w:rFonts w:cs="Arial"/>
                <w:b/>
                <w:bCs/>
                <w:szCs w:val="20"/>
              </w:rPr>
              <w:t>H</w:t>
            </w:r>
          </w:p>
        </w:tc>
        <w:tc>
          <w:tcPr>
            <w:tcW w:w="426" w:type="pct"/>
            <w:tcBorders>
              <w:top w:val="double" w:sz="4" w:space="0" w:color="auto"/>
              <w:left w:val="double" w:sz="4" w:space="0" w:color="auto"/>
              <w:bottom w:val="double" w:sz="4" w:space="0" w:color="auto"/>
              <w:right w:val="single" w:sz="4" w:space="0" w:color="auto"/>
            </w:tcBorders>
            <w:vAlign w:val="center"/>
          </w:tcPr>
          <w:p w14:paraId="507C3DEC" w14:textId="77777777" w:rsidR="00EF2ED1" w:rsidRPr="00111DC0" w:rsidRDefault="00EF2ED1" w:rsidP="00C97AB0">
            <w:pPr>
              <w:widowControl w:val="0"/>
              <w:spacing w:before="0" w:after="0" w:line="240" w:lineRule="auto"/>
              <w:jc w:val="center"/>
              <w:rPr>
                <w:rFonts w:cs="Arial"/>
                <w:b/>
                <w:bCs/>
                <w:szCs w:val="20"/>
              </w:rPr>
            </w:pPr>
            <w:r w:rsidRPr="00111DC0">
              <w:rPr>
                <w:rFonts w:cs="Arial"/>
                <w:b/>
                <w:bCs/>
                <w:szCs w:val="20"/>
              </w:rPr>
              <w:t>M</w:t>
            </w:r>
          </w:p>
        </w:tc>
        <w:tc>
          <w:tcPr>
            <w:tcW w:w="426" w:type="pct"/>
            <w:tcBorders>
              <w:top w:val="double" w:sz="4" w:space="0" w:color="auto"/>
              <w:left w:val="nil"/>
              <w:bottom w:val="double" w:sz="4" w:space="0" w:color="auto"/>
              <w:right w:val="double" w:sz="4" w:space="0" w:color="auto"/>
            </w:tcBorders>
            <w:vAlign w:val="center"/>
          </w:tcPr>
          <w:p w14:paraId="49605868" w14:textId="77777777" w:rsidR="00EF2ED1" w:rsidRPr="00111DC0" w:rsidRDefault="00EF2ED1" w:rsidP="00C97AB0">
            <w:pPr>
              <w:widowControl w:val="0"/>
              <w:spacing w:before="0" w:after="0" w:line="240" w:lineRule="auto"/>
              <w:jc w:val="center"/>
              <w:rPr>
                <w:rFonts w:cs="Arial"/>
                <w:b/>
                <w:bCs/>
                <w:szCs w:val="20"/>
              </w:rPr>
            </w:pPr>
            <w:r w:rsidRPr="00111DC0">
              <w:rPr>
                <w:rFonts w:cs="Arial"/>
                <w:b/>
                <w:bCs/>
                <w:szCs w:val="20"/>
              </w:rPr>
              <w:t>H</w:t>
            </w:r>
          </w:p>
        </w:tc>
        <w:tc>
          <w:tcPr>
            <w:tcW w:w="426" w:type="pct"/>
            <w:tcBorders>
              <w:top w:val="double" w:sz="4" w:space="0" w:color="auto"/>
              <w:left w:val="double" w:sz="4" w:space="0" w:color="auto"/>
              <w:bottom w:val="double" w:sz="4" w:space="0" w:color="auto"/>
              <w:right w:val="single" w:sz="4" w:space="0" w:color="auto"/>
            </w:tcBorders>
            <w:vAlign w:val="center"/>
          </w:tcPr>
          <w:p w14:paraId="102C672D" w14:textId="77777777" w:rsidR="00EF2ED1" w:rsidRPr="00111DC0" w:rsidRDefault="00EF2ED1" w:rsidP="00C97AB0">
            <w:pPr>
              <w:widowControl w:val="0"/>
              <w:spacing w:before="0" w:after="0" w:line="240" w:lineRule="auto"/>
              <w:jc w:val="center"/>
              <w:rPr>
                <w:rFonts w:cs="Arial"/>
                <w:b/>
                <w:bCs/>
                <w:szCs w:val="20"/>
              </w:rPr>
            </w:pPr>
            <w:r w:rsidRPr="00111DC0">
              <w:rPr>
                <w:rFonts w:cs="Arial"/>
                <w:b/>
                <w:bCs/>
                <w:szCs w:val="20"/>
              </w:rPr>
              <w:t>M</w:t>
            </w:r>
          </w:p>
        </w:tc>
        <w:tc>
          <w:tcPr>
            <w:tcW w:w="426" w:type="pct"/>
            <w:tcBorders>
              <w:top w:val="double" w:sz="4" w:space="0" w:color="auto"/>
              <w:left w:val="nil"/>
              <w:bottom w:val="double" w:sz="4" w:space="0" w:color="auto"/>
              <w:right w:val="double" w:sz="4" w:space="0" w:color="auto"/>
            </w:tcBorders>
            <w:vAlign w:val="center"/>
          </w:tcPr>
          <w:p w14:paraId="127ED136" w14:textId="77777777" w:rsidR="00EF2ED1" w:rsidRPr="00111DC0" w:rsidRDefault="00EF2ED1" w:rsidP="00C97AB0">
            <w:pPr>
              <w:widowControl w:val="0"/>
              <w:spacing w:before="0" w:after="0" w:line="240" w:lineRule="auto"/>
              <w:jc w:val="center"/>
              <w:rPr>
                <w:rFonts w:cs="Arial"/>
                <w:b/>
                <w:bCs/>
                <w:szCs w:val="20"/>
              </w:rPr>
            </w:pPr>
            <w:r w:rsidRPr="00111DC0">
              <w:rPr>
                <w:rFonts w:cs="Arial"/>
                <w:b/>
                <w:bCs/>
                <w:szCs w:val="20"/>
              </w:rPr>
              <w:t>H</w:t>
            </w:r>
          </w:p>
        </w:tc>
        <w:tc>
          <w:tcPr>
            <w:tcW w:w="426" w:type="pct"/>
            <w:tcBorders>
              <w:top w:val="double" w:sz="4" w:space="0" w:color="auto"/>
              <w:left w:val="double" w:sz="4" w:space="0" w:color="auto"/>
              <w:bottom w:val="double" w:sz="4" w:space="0" w:color="auto"/>
              <w:right w:val="single" w:sz="4" w:space="0" w:color="auto"/>
            </w:tcBorders>
            <w:vAlign w:val="center"/>
          </w:tcPr>
          <w:p w14:paraId="262CD05F" w14:textId="77777777" w:rsidR="00EF2ED1" w:rsidRPr="00111DC0" w:rsidRDefault="00EF2ED1" w:rsidP="00C97AB0">
            <w:pPr>
              <w:widowControl w:val="0"/>
              <w:spacing w:before="0" w:after="0" w:line="240" w:lineRule="auto"/>
              <w:jc w:val="center"/>
              <w:rPr>
                <w:rFonts w:cs="Arial"/>
                <w:b/>
                <w:bCs/>
                <w:szCs w:val="20"/>
              </w:rPr>
            </w:pPr>
            <w:r w:rsidRPr="00111DC0">
              <w:rPr>
                <w:rFonts w:cs="Arial"/>
                <w:b/>
                <w:bCs/>
                <w:szCs w:val="20"/>
              </w:rPr>
              <w:t>M</w:t>
            </w:r>
          </w:p>
        </w:tc>
        <w:tc>
          <w:tcPr>
            <w:tcW w:w="423" w:type="pct"/>
            <w:tcBorders>
              <w:top w:val="double" w:sz="4" w:space="0" w:color="auto"/>
              <w:left w:val="nil"/>
              <w:bottom w:val="double" w:sz="4" w:space="0" w:color="auto"/>
              <w:right w:val="double" w:sz="4" w:space="0" w:color="auto"/>
            </w:tcBorders>
            <w:vAlign w:val="center"/>
          </w:tcPr>
          <w:p w14:paraId="2042987E" w14:textId="77777777" w:rsidR="00EF2ED1" w:rsidRPr="00111DC0" w:rsidRDefault="00EF2ED1" w:rsidP="00C97AB0">
            <w:pPr>
              <w:widowControl w:val="0"/>
              <w:spacing w:before="0" w:after="0" w:line="240" w:lineRule="auto"/>
              <w:jc w:val="center"/>
              <w:rPr>
                <w:rFonts w:cs="Arial"/>
                <w:b/>
                <w:bCs/>
                <w:szCs w:val="20"/>
              </w:rPr>
            </w:pPr>
            <w:r w:rsidRPr="00111DC0">
              <w:rPr>
                <w:rFonts w:cs="Arial"/>
                <w:b/>
                <w:bCs/>
                <w:szCs w:val="20"/>
              </w:rPr>
              <w:t>H</w:t>
            </w:r>
          </w:p>
        </w:tc>
      </w:tr>
      <w:tr w:rsidR="00C911EF" w:rsidRPr="00111DC0" w14:paraId="29337D9A" w14:textId="77777777" w:rsidTr="00C97AB0">
        <w:trPr>
          <w:trHeight w:val="170"/>
        </w:trPr>
        <w:tc>
          <w:tcPr>
            <w:tcW w:w="992" w:type="pct"/>
            <w:tcBorders>
              <w:top w:val="double" w:sz="4" w:space="0" w:color="auto"/>
              <w:left w:val="double" w:sz="4" w:space="0" w:color="auto"/>
              <w:bottom w:val="single" w:sz="4" w:space="0" w:color="auto"/>
              <w:right w:val="double" w:sz="4" w:space="0" w:color="auto"/>
            </w:tcBorders>
            <w:vAlign w:val="center"/>
          </w:tcPr>
          <w:p w14:paraId="0D3D15C5" w14:textId="3F27C870" w:rsidR="00C911EF" w:rsidRPr="00EF2ED1" w:rsidRDefault="00C911EF" w:rsidP="00C97AB0">
            <w:pPr>
              <w:widowControl w:val="0"/>
              <w:spacing w:before="0" w:after="0" w:line="240" w:lineRule="auto"/>
              <w:jc w:val="right"/>
              <w:rPr>
                <w:rFonts w:cs="Arial"/>
                <w:sz w:val="18"/>
                <w:szCs w:val="16"/>
              </w:rPr>
            </w:pPr>
            <w:proofErr w:type="spellStart"/>
            <w:r w:rsidRPr="00EF2ED1">
              <w:rPr>
                <w:rFonts w:cs="Arial"/>
                <w:sz w:val="18"/>
                <w:szCs w:val="16"/>
              </w:rPr>
              <w:t>Func</w:t>
            </w:r>
            <w:proofErr w:type="spellEnd"/>
            <w:r w:rsidRPr="00EF2ED1">
              <w:rPr>
                <w:rFonts w:cs="Arial"/>
                <w:sz w:val="18"/>
                <w:szCs w:val="16"/>
              </w:rPr>
              <w:t xml:space="preserve">. de </w:t>
            </w:r>
            <w:r w:rsidR="003070B4" w:rsidRPr="00EF2ED1">
              <w:rPr>
                <w:rFonts w:cs="Arial"/>
                <w:sz w:val="18"/>
                <w:szCs w:val="16"/>
              </w:rPr>
              <w:t>c</w:t>
            </w:r>
            <w:r w:rsidRPr="00EF2ED1">
              <w:rPr>
                <w:rFonts w:cs="Arial"/>
                <w:sz w:val="18"/>
                <w:szCs w:val="16"/>
              </w:rPr>
              <w:t>arrera</w:t>
            </w:r>
          </w:p>
        </w:tc>
        <w:tc>
          <w:tcPr>
            <w:tcW w:w="176" w:type="pct"/>
            <w:tcBorders>
              <w:top w:val="double" w:sz="4" w:space="0" w:color="auto"/>
              <w:left w:val="double" w:sz="4" w:space="0" w:color="auto"/>
              <w:bottom w:val="single" w:sz="4" w:space="0" w:color="auto"/>
              <w:right w:val="single" w:sz="4" w:space="0" w:color="auto"/>
            </w:tcBorders>
            <w:shd w:val="clear" w:color="auto" w:fill="auto"/>
            <w:noWrap/>
            <w:vAlign w:val="center"/>
          </w:tcPr>
          <w:p w14:paraId="7B78D5D8" w14:textId="4307BA66"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58%</w:t>
            </w:r>
          </w:p>
        </w:tc>
        <w:tc>
          <w:tcPr>
            <w:tcW w:w="426" w:type="pct"/>
            <w:tcBorders>
              <w:top w:val="double" w:sz="4" w:space="0" w:color="auto"/>
              <w:left w:val="nil"/>
              <w:bottom w:val="single" w:sz="4" w:space="0" w:color="auto"/>
              <w:right w:val="double" w:sz="4" w:space="0" w:color="auto"/>
            </w:tcBorders>
            <w:vAlign w:val="center"/>
          </w:tcPr>
          <w:p w14:paraId="65B0B0E9" w14:textId="54CF4A5F"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59%</w:t>
            </w:r>
          </w:p>
        </w:tc>
        <w:tc>
          <w:tcPr>
            <w:tcW w:w="426" w:type="pct"/>
            <w:tcBorders>
              <w:top w:val="double" w:sz="4" w:space="0" w:color="auto"/>
              <w:left w:val="double" w:sz="4" w:space="0" w:color="auto"/>
              <w:bottom w:val="single" w:sz="4" w:space="0" w:color="auto"/>
              <w:right w:val="single" w:sz="4" w:space="0" w:color="auto"/>
            </w:tcBorders>
            <w:vAlign w:val="center"/>
          </w:tcPr>
          <w:p w14:paraId="467FB4C8" w14:textId="6AF7F7B9"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57%</w:t>
            </w:r>
          </w:p>
        </w:tc>
        <w:tc>
          <w:tcPr>
            <w:tcW w:w="426" w:type="pct"/>
            <w:tcBorders>
              <w:top w:val="double" w:sz="4" w:space="0" w:color="auto"/>
              <w:left w:val="nil"/>
              <w:bottom w:val="single" w:sz="4" w:space="0" w:color="auto"/>
              <w:right w:val="double" w:sz="4" w:space="0" w:color="auto"/>
            </w:tcBorders>
            <w:vAlign w:val="center"/>
          </w:tcPr>
          <w:p w14:paraId="2C474A34" w14:textId="6200DDDD"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57%</w:t>
            </w:r>
          </w:p>
        </w:tc>
        <w:tc>
          <w:tcPr>
            <w:tcW w:w="426" w:type="pct"/>
            <w:tcBorders>
              <w:top w:val="double" w:sz="4" w:space="0" w:color="auto"/>
              <w:left w:val="double" w:sz="4" w:space="0" w:color="auto"/>
              <w:bottom w:val="single" w:sz="4" w:space="0" w:color="auto"/>
              <w:right w:val="single" w:sz="4" w:space="0" w:color="auto"/>
            </w:tcBorders>
            <w:vAlign w:val="center"/>
          </w:tcPr>
          <w:p w14:paraId="45F675CC" w14:textId="2DD740F8"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53%</w:t>
            </w:r>
          </w:p>
        </w:tc>
        <w:tc>
          <w:tcPr>
            <w:tcW w:w="426" w:type="pct"/>
            <w:tcBorders>
              <w:top w:val="double" w:sz="4" w:space="0" w:color="auto"/>
              <w:left w:val="nil"/>
              <w:bottom w:val="single" w:sz="4" w:space="0" w:color="auto"/>
              <w:right w:val="double" w:sz="4" w:space="0" w:color="auto"/>
            </w:tcBorders>
            <w:vAlign w:val="center"/>
          </w:tcPr>
          <w:p w14:paraId="1B11E2D6" w14:textId="7708D8D8"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54%</w:t>
            </w:r>
          </w:p>
        </w:tc>
        <w:tc>
          <w:tcPr>
            <w:tcW w:w="426" w:type="pct"/>
            <w:tcBorders>
              <w:top w:val="double" w:sz="4" w:space="0" w:color="auto"/>
              <w:left w:val="double" w:sz="4" w:space="0" w:color="auto"/>
              <w:bottom w:val="single" w:sz="4" w:space="0" w:color="auto"/>
              <w:right w:val="single" w:sz="4" w:space="0" w:color="auto"/>
            </w:tcBorders>
            <w:vAlign w:val="center"/>
          </w:tcPr>
          <w:p w14:paraId="1837E969" w14:textId="09A3309E"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52%</w:t>
            </w:r>
          </w:p>
        </w:tc>
        <w:tc>
          <w:tcPr>
            <w:tcW w:w="426" w:type="pct"/>
            <w:tcBorders>
              <w:top w:val="double" w:sz="4" w:space="0" w:color="auto"/>
              <w:left w:val="nil"/>
              <w:bottom w:val="single" w:sz="4" w:space="0" w:color="auto"/>
              <w:right w:val="double" w:sz="4" w:space="0" w:color="auto"/>
            </w:tcBorders>
            <w:vAlign w:val="center"/>
          </w:tcPr>
          <w:p w14:paraId="3402276E" w14:textId="5F472EA3"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53%</w:t>
            </w:r>
          </w:p>
        </w:tc>
        <w:tc>
          <w:tcPr>
            <w:tcW w:w="426" w:type="pct"/>
            <w:tcBorders>
              <w:top w:val="double" w:sz="4" w:space="0" w:color="auto"/>
              <w:left w:val="double" w:sz="4" w:space="0" w:color="auto"/>
              <w:bottom w:val="single" w:sz="4" w:space="0" w:color="auto"/>
              <w:right w:val="single" w:sz="4" w:space="0" w:color="auto"/>
            </w:tcBorders>
            <w:vAlign w:val="center"/>
          </w:tcPr>
          <w:p w14:paraId="51AF68F9" w14:textId="2F7138D0"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54%</w:t>
            </w:r>
          </w:p>
        </w:tc>
        <w:tc>
          <w:tcPr>
            <w:tcW w:w="423" w:type="pct"/>
            <w:tcBorders>
              <w:top w:val="double" w:sz="4" w:space="0" w:color="auto"/>
              <w:left w:val="nil"/>
              <w:bottom w:val="single" w:sz="4" w:space="0" w:color="auto"/>
              <w:right w:val="double" w:sz="4" w:space="0" w:color="auto"/>
            </w:tcBorders>
            <w:vAlign w:val="center"/>
          </w:tcPr>
          <w:p w14:paraId="515AF345" w14:textId="4DC507B9"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50%</w:t>
            </w:r>
          </w:p>
        </w:tc>
      </w:tr>
      <w:tr w:rsidR="00C911EF" w:rsidRPr="00111DC0" w14:paraId="0F991287" w14:textId="77777777" w:rsidTr="00C97AB0">
        <w:trPr>
          <w:trHeight w:val="170"/>
        </w:trPr>
        <w:tc>
          <w:tcPr>
            <w:tcW w:w="992" w:type="pct"/>
            <w:tcBorders>
              <w:top w:val="single" w:sz="4" w:space="0" w:color="auto"/>
              <w:left w:val="double" w:sz="4" w:space="0" w:color="auto"/>
              <w:bottom w:val="single" w:sz="4" w:space="0" w:color="auto"/>
              <w:right w:val="double" w:sz="4" w:space="0" w:color="auto"/>
            </w:tcBorders>
            <w:vAlign w:val="center"/>
          </w:tcPr>
          <w:p w14:paraId="37664720" w14:textId="77777777" w:rsidR="00C911EF" w:rsidRPr="00EF2ED1" w:rsidRDefault="00C911EF" w:rsidP="00C97AB0">
            <w:pPr>
              <w:widowControl w:val="0"/>
              <w:spacing w:before="0" w:after="0" w:line="240" w:lineRule="auto"/>
              <w:jc w:val="right"/>
              <w:rPr>
                <w:rFonts w:cs="Arial"/>
                <w:sz w:val="18"/>
                <w:szCs w:val="16"/>
              </w:rPr>
            </w:pPr>
            <w:proofErr w:type="spellStart"/>
            <w:r w:rsidRPr="00EF2ED1">
              <w:rPr>
                <w:rFonts w:cs="Arial"/>
                <w:sz w:val="18"/>
                <w:szCs w:val="16"/>
              </w:rPr>
              <w:t>Func</w:t>
            </w:r>
            <w:proofErr w:type="spellEnd"/>
            <w:r w:rsidRPr="00EF2ED1">
              <w:rPr>
                <w:rFonts w:cs="Arial"/>
                <w:sz w:val="18"/>
                <w:szCs w:val="16"/>
              </w:rPr>
              <w:t>. Interino</w:t>
            </w:r>
          </w:p>
        </w:tc>
        <w:tc>
          <w:tcPr>
            <w:tcW w:w="176" w:type="pct"/>
            <w:tcBorders>
              <w:top w:val="single" w:sz="4" w:space="0" w:color="auto"/>
              <w:left w:val="double" w:sz="4" w:space="0" w:color="auto"/>
              <w:bottom w:val="single" w:sz="4" w:space="0" w:color="auto"/>
              <w:right w:val="single" w:sz="4" w:space="0" w:color="auto"/>
            </w:tcBorders>
            <w:shd w:val="clear" w:color="auto" w:fill="auto"/>
            <w:noWrap/>
            <w:vAlign w:val="center"/>
          </w:tcPr>
          <w:p w14:paraId="69C369B8" w14:textId="1F17931B"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37%</w:t>
            </w:r>
          </w:p>
        </w:tc>
        <w:tc>
          <w:tcPr>
            <w:tcW w:w="426" w:type="pct"/>
            <w:tcBorders>
              <w:top w:val="single" w:sz="4" w:space="0" w:color="auto"/>
              <w:left w:val="nil"/>
              <w:bottom w:val="single" w:sz="4" w:space="0" w:color="auto"/>
              <w:right w:val="double" w:sz="4" w:space="0" w:color="auto"/>
            </w:tcBorders>
            <w:vAlign w:val="center"/>
          </w:tcPr>
          <w:p w14:paraId="08BBA28C" w14:textId="1CC23312"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36%</w:t>
            </w:r>
          </w:p>
        </w:tc>
        <w:tc>
          <w:tcPr>
            <w:tcW w:w="426" w:type="pct"/>
            <w:tcBorders>
              <w:top w:val="single" w:sz="4" w:space="0" w:color="auto"/>
              <w:left w:val="double" w:sz="4" w:space="0" w:color="auto"/>
              <w:bottom w:val="single" w:sz="4" w:space="0" w:color="auto"/>
              <w:right w:val="single" w:sz="4" w:space="0" w:color="auto"/>
            </w:tcBorders>
            <w:vAlign w:val="center"/>
          </w:tcPr>
          <w:p w14:paraId="21577B26" w14:textId="1ACB1016"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41%</w:t>
            </w:r>
          </w:p>
        </w:tc>
        <w:tc>
          <w:tcPr>
            <w:tcW w:w="426" w:type="pct"/>
            <w:tcBorders>
              <w:top w:val="single" w:sz="4" w:space="0" w:color="auto"/>
              <w:left w:val="nil"/>
              <w:bottom w:val="single" w:sz="4" w:space="0" w:color="auto"/>
              <w:right w:val="double" w:sz="4" w:space="0" w:color="auto"/>
            </w:tcBorders>
            <w:vAlign w:val="center"/>
          </w:tcPr>
          <w:p w14:paraId="341C33AD" w14:textId="4B6BB7AA"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39%</w:t>
            </w:r>
          </w:p>
        </w:tc>
        <w:tc>
          <w:tcPr>
            <w:tcW w:w="426" w:type="pct"/>
            <w:tcBorders>
              <w:top w:val="single" w:sz="4" w:space="0" w:color="auto"/>
              <w:left w:val="double" w:sz="4" w:space="0" w:color="auto"/>
              <w:bottom w:val="single" w:sz="4" w:space="0" w:color="auto"/>
              <w:right w:val="single" w:sz="4" w:space="0" w:color="auto"/>
            </w:tcBorders>
            <w:vAlign w:val="center"/>
          </w:tcPr>
          <w:p w14:paraId="38F749A4" w14:textId="1E902A5D"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42%</w:t>
            </w:r>
          </w:p>
        </w:tc>
        <w:tc>
          <w:tcPr>
            <w:tcW w:w="426" w:type="pct"/>
            <w:tcBorders>
              <w:top w:val="single" w:sz="4" w:space="0" w:color="auto"/>
              <w:left w:val="nil"/>
              <w:bottom w:val="single" w:sz="4" w:space="0" w:color="auto"/>
              <w:right w:val="double" w:sz="4" w:space="0" w:color="auto"/>
            </w:tcBorders>
            <w:vAlign w:val="center"/>
          </w:tcPr>
          <w:p w14:paraId="01D0F199" w14:textId="49EB9238"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40%</w:t>
            </w:r>
          </w:p>
        </w:tc>
        <w:tc>
          <w:tcPr>
            <w:tcW w:w="426" w:type="pct"/>
            <w:tcBorders>
              <w:top w:val="single" w:sz="4" w:space="0" w:color="auto"/>
              <w:left w:val="double" w:sz="4" w:space="0" w:color="auto"/>
              <w:bottom w:val="single" w:sz="4" w:space="0" w:color="auto"/>
              <w:right w:val="single" w:sz="4" w:space="0" w:color="auto"/>
            </w:tcBorders>
            <w:vAlign w:val="center"/>
          </w:tcPr>
          <w:p w14:paraId="47D125F7" w14:textId="3A9A6303"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36%</w:t>
            </w:r>
          </w:p>
        </w:tc>
        <w:tc>
          <w:tcPr>
            <w:tcW w:w="426" w:type="pct"/>
            <w:tcBorders>
              <w:top w:val="single" w:sz="4" w:space="0" w:color="auto"/>
              <w:left w:val="nil"/>
              <w:bottom w:val="single" w:sz="4" w:space="0" w:color="auto"/>
              <w:right w:val="double" w:sz="4" w:space="0" w:color="auto"/>
            </w:tcBorders>
            <w:vAlign w:val="center"/>
          </w:tcPr>
          <w:p w14:paraId="3DAA5517" w14:textId="30EDF1E0"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38%</w:t>
            </w:r>
          </w:p>
        </w:tc>
        <w:tc>
          <w:tcPr>
            <w:tcW w:w="426" w:type="pct"/>
            <w:tcBorders>
              <w:top w:val="single" w:sz="4" w:space="0" w:color="auto"/>
              <w:left w:val="double" w:sz="4" w:space="0" w:color="auto"/>
              <w:bottom w:val="single" w:sz="4" w:space="0" w:color="auto"/>
              <w:right w:val="single" w:sz="4" w:space="0" w:color="auto"/>
            </w:tcBorders>
            <w:vAlign w:val="center"/>
          </w:tcPr>
          <w:p w14:paraId="4A8F3476" w14:textId="47872CA4"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43%</w:t>
            </w:r>
          </w:p>
        </w:tc>
        <w:tc>
          <w:tcPr>
            <w:tcW w:w="423" w:type="pct"/>
            <w:tcBorders>
              <w:top w:val="single" w:sz="4" w:space="0" w:color="auto"/>
              <w:left w:val="nil"/>
              <w:bottom w:val="single" w:sz="4" w:space="0" w:color="auto"/>
              <w:right w:val="double" w:sz="4" w:space="0" w:color="auto"/>
            </w:tcBorders>
            <w:vAlign w:val="center"/>
          </w:tcPr>
          <w:p w14:paraId="72DC7C4A" w14:textId="3E8C18B8"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47%</w:t>
            </w:r>
          </w:p>
        </w:tc>
      </w:tr>
      <w:tr w:rsidR="00C911EF" w:rsidRPr="00111DC0" w14:paraId="6DCE45BF" w14:textId="77777777" w:rsidTr="00C97AB0">
        <w:trPr>
          <w:trHeight w:val="170"/>
        </w:trPr>
        <w:tc>
          <w:tcPr>
            <w:tcW w:w="992" w:type="pct"/>
            <w:tcBorders>
              <w:top w:val="single" w:sz="4" w:space="0" w:color="auto"/>
              <w:left w:val="double" w:sz="4" w:space="0" w:color="auto"/>
              <w:bottom w:val="single" w:sz="4" w:space="0" w:color="auto"/>
              <w:right w:val="double" w:sz="4" w:space="0" w:color="auto"/>
            </w:tcBorders>
            <w:vAlign w:val="center"/>
          </w:tcPr>
          <w:p w14:paraId="7E689164" w14:textId="77777777" w:rsidR="00C911EF" w:rsidRPr="00EF2ED1" w:rsidRDefault="00C911EF" w:rsidP="00C97AB0">
            <w:pPr>
              <w:widowControl w:val="0"/>
              <w:spacing w:before="0" w:after="0" w:line="240" w:lineRule="auto"/>
              <w:jc w:val="right"/>
              <w:rPr>
                <w:rFonts w:cs="Arial"/>
                <w:sz w:val="18"/>
                <w:szCs w:val="16"/>
              </w:rPr>
            </w:pPr>
            <w:r w:rsidRPr="00EF2ED1">
              <w:rPr>
                <w:rFonts w:cs="Arial"/>
                <w:sz w:val="18"/>
                <w:szCs w:val="16"/>
              </w:rPr>
              <w:t>Laboral Fijo</w:t>
            </w:r>
          </w:p>
        </w:tc>
        <w:tc>
          <w:tcPr>
            <w:tcW w:w="176" w:type="pct"/>
            <w:tcBorders>
              <w:top w:val="single" w:sz="4" w:space="0" w:color="auto"/>
              <w:left w:val="double" w:sz="4" w:space="0" w:color="auto"/>
              <w:bottom w:val="single" w:sz="4" w:space="0" w:color="auto"/>
              <w:right w:val="single" w:sz="4" w:space="0" w:color="auto"/>
            </w:tcBorders>
            <w:shd w:val="clear" w:color="auto" w:fill="auto"/>
            <w:noWrap/>
            <w:vAlign w:val="center"/>
          </w:tcPr>
          <w:p w14:paraId="0C9EAD0E" w14:textId="6F113C54"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2%</w:t>
            </w:r>
          </w:p>
        </w:tc>
        <w:tc>
          <w:tcPr>
            <w:tcW w:w="426" w:type="pct"/>
            <w:tcBorders>
              <w:top w:val="single" w:sz="4" w:space="0" w:color="auto"/>
              <w:left w:val="nil"/>
              <w:bottom w:val="single" w:sz="4" w:space="0" w:color="auto"/>
              <w:right w:val="double" w:sz="4" w:space="0" w:color="auto"/>
            </w:tcBorders>
            <w:vAlign w:val="center"/>
          </w:tcPr>
          <w:p w14:paraId="3E61B226" w14:textId="612E0284"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2%</w:t>
            </w:r>
          </w:p>
        </w:tc>
        <w:tc>
          <w:tcPr>
            <w:tcW w:w="426" w:type="pct"/>
            <w:tcBorders>
              <w:top w:val="single" w:sz="4" w:space="0" w:color="auto"/>
              <w:left w:val="double" w:sz="4" w:space="0" w:color="auto"/>
              <w:bottom w:val="single" w:sz="4" w:space="0" w:color="auto"/>
              <w:right w:val="single" w:sz="4" w:space="0" w:color="auto"/>
            </w:tcBorders>
            <w:vAlign w:val="center"/>
          </w:tcPr>
          <w:p w14:paraId="44FC4142" w14:textId="38B3CA78"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2%</w:t>
            </w:r>
          </w:p>
        </w:tc>
        <w:tc>
          <w:tcPr>
            <w:tcW w:w="426" w:type="pct"/>
            <w:tcBorders>
              <w:top w:val="single" w:sz="4" w:space="0" w:color="auto"/>
              <w:left w:val="nil"/>
              <w:bottom w:val="single" w:sz="4" w:space="0" w:color="auto"/>
              <w:right w:val="double" w:sz="4" w:space="0" w:color="auto"/>
            </w:tcBorders>
            <w:vAlign w:val="center"/>
          </w:tcPr>
          <w:p w14:paraId="1C605892" w14:textId="7E71D3EA"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2%</w:t>
            </w:r>
          </w:p>
        </w:tc>
        <w:tc>
          <w:tcPr>
            <w:tcW w:w="426" w:type="pct"/>
            <w:tcBorders>
              <w:top w:val="single" w:sz="4" w:space="0" w:color="auto"/>
              <w:left w:val="double" w:sz="4" w:space="0" w:color="auto"/>
              <w:bottom w:val="single" w:sz="4" w:space="0" w:color="auto"/>
              <w:right w:val="single" w:sz="4" w:space="0" w:color="auto"/>
            </w:tcBorders>
            <w:vAlign w:val="center"/>
          </w:tcPr>
          <w:p w14:paraId="3732997A" w14:textId="2F6D8761"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2%</w:t>
            </w:r>
          </w:p>
        </w:tc>
        <w:tc>
          <w:tcPr>
            <w:tcW w:w="426" w:type="pct"/>
            <w:tcBorders>
              <w:top w:val="single" w:sz="4" w:space="0" w:color="auto"/>
              <w:left w:val="nil"/>
              <w:bottom w:val="single" w:sz="4" w:space="0" w:color="auto"/>
              <w:right w:val="double" w:sz="4" w:space="0" w:color="auto"/>
            </w:tcBorders>
            <w:vAlign w:val="center"/>
          </w:tcPr>
          <w:p w14:paraId="2B36BF41" w14:textId="7A1B57A0"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23%</w:t>
            </w:r>
          </w:p>
        </w:tc>
        <w:tc>
          <w:tcPr>
            <w:tcW w:w="426" w:type="pct"/>
            <w:tcBorders>
              <w:top w:val="single" w:sz="4" w:space="0" w:color="auto"/>
              <w:left w:val="double" w:sz="4" w:space="0" w:color="auto"/>
              <w:bottom w:val="single" w:sz="4" w:space="0" w:color="auto"/>
              <w:right w:val="single" w:sz="4" w:space="0" w:color="auto"/>
            </w:tcBorders>
            <w:vAlign w:val="center"/>
          </w:tcPr>
          <w:p w14:paraId="6E53E399" w14:textId="41B3291E"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2%</w:t>
            </w:r>
          </w:p>
        </w:tc>
        <w:tc>
          <w:tcPr>
            <w:tcW w:w="426" w:type="pct"/>
            <w:tcBorders>
              <w:top w:val="single" w:sz="4" w:space="0" w:color="auto"/>
              <w:left w:val="nil"/>
              <w:bottom w:val="single" w:sz="4" w:space="0" w:color="auto"/>
              <w:right w:val="double" w:sz="4" w:space="0" w:color="auto"/>
            </w:tcBorders>
            <w:vAlign w:val="center"/>
          </w:tcPr>
          <w:p w14:paraId="234F4D42" w14:textId="42AD3200"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3%</w:t>
            </w:r>
          </w:p>
        </w:tc>
        <w:tc>
          <w:tcPr>
            <w:tcW w:w="426" w:type="pct"/>
            <w:tcBorders>
              <w:top w:val="single" w:sz="4" w:space="0" w:color="auto"/>
              <w:left w:val="double" w:sz="4" w:space="0" w:color="auto"/>
              <w:bottom w:val="single" w:sz="4" w:space="0" w:color="auto"/>
              <w:right w:val="single" w:sz="4" w:space="0" w:color="auto"/>
            </w:tcBorders>
            <w:vAlign w:val="center"/>
          </w:tcPr>
          <w:p w14:paraId="3453AD60" w14:textId="50330C04"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2%</w:t>
            </w:r>
          </w:p>
        </w:tc>
        <w:tc>
          <w:tcPr>
            <w:tcW w:w="423" w:type="pct"/>
            <w:tcBorders>
              <w:top w:val="single" w:sz="4" w:space="0" w:color="auto"/>
              <w:left w:val="nil"/>
              <w:bottom w:val="single" w:sz="4" w:space="0" w:color="auto"/>
              <w:right w:val="double" w:sz="4" w:space="0" w:color="auto"/>
            </w:tcBorders>
            <w:vAlign w:val="center"/>
          </w:tcPr>
          <w:p w14:paraId="092F11E5" w14:textId="6BB49250"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3%</w:t>
            </w:r>
          </w:p>
        </w:tc>
      </w:tr>
      <w:tr w:rsidR="00C911EF" w:rsidRPr="00111DC0" w14:paraId="3386EF63" w14:textId="77777777" w:rsidTr="00C97AB0">
        <w:trPr>
          <w:trHeight w:val="170"/>
        </w:trPr>
        <w:tc>
          <w:tcPr>
            <w:tcW w:w="992" w:type="pct"/>
            <w:tcBorders>
              <w:top w:val="single" w:sz="4" w:space="0" w:color="auto"/>
              <w:left w:val="double" w:sz="4" w:space="0" w:color="auto"/>
              <w:bottom w:val="single" w:sz="4" w:space="0" w:color="auto"/>
              <w:right w:val="double" w:sz="4" w:space="0" w:color="auto"/>
            </w:tcBorders>
            <w:vAlign w:val="center"/>
          </w:tcPr>
          <w:p w14:paraId="1D569C23" w14:textId="1A0407DD" w:rsidR="00C911EF" w:rsidRPr="00EF2ED1" w:rsidRDefault="00C911EF" w:rsidP="00C97AB0">
            <w:pPr>
              <w:widowControl w:val="0"/>
              <w:spacing w:before="0" w:after="0" w:line="240" w:lineRule="auto"/>
              <w:jc w:val="right"/>
              <w:rPr>
                <w:rFonts w:cs="Arial"/>
                <w:sz w:val="18"/>
                <w:szCs w:val="16"/>
              </w:rPr>
            </w:pPr>
            <w:r w:rsidRPr="00EF2ED1">
              <w:rPr>
                <w:rFonts w:cs="Arial"/>
                <w:sz w:val="18"/>
                <w:szCs w:val="16"/>
              </w:rPr>
              <w:t xml:space="preserve">Laboral Temporal </w:t>
            </w:r>
          </w:p>
        </w:tc>
        <w:tc>
          <w:tcPr>
            <w:tcW w:w="176" w:type="pct"/>
            <w:tcBorders>
              <w:top w:val="single" w:sz="4" w:space="0" w:color="auto"/>
              <w:left w:val="double" w:sz="4" w:space="0" w:color="auto"/>
              <w:bottom w:val="single" w:sz="4" w:space="0" w:color="auto"/>
              <w:right w:val="single" w:sz="4" w:space="0" w:color="auto"/>
            </w:tcBorders>
            <w:shd w:val="clear" w:color="auto" w:fill="auto"/>
            <w:noWrap/>
            <w:vAlign w:val="center"/>
          </w:tcPr>
          <w:p w14:paraId="1EB0A5FC" w14:textId="710AA47C"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0%</w:t>
            </w:r>
          </w:p>
        </w:tc>
        <w:tc>
          <w:tcPr>
            <w:tcW w:w="426" w:type="pct"/>
            <w:tcBorders>
              <w:top w:val="single" w:sz="4" w:space="0" w:color="auto"/>
              <w:left w:val="nil"/>
              <w:bottom w:val="single" w:sz="4" w:space="0" w:color="auto"/>
              <w:right w:val="double" w:sz="4" w:space="0" w:color="auto"/>
            </w:tcBorders>
            <w:vAlign w:val="center"/>
          </w:tcPr>
          <w:p w14:paraId="79DC8205" w14:textId="77777777"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0%</w:t>
            </w:r>
          </w:p>
        </w:tc>
        <w:tc>
          <w:tcPr>
            <w:tcW w:w="426" w:type="pct"/>
            <w:tcBorders>
              <w:top w:val="single" w:sz="4" w:space="0" w:color="auto"/>
              <w:left w:val="double" w:sz="4" w:space="0" w:color="auto"/>
              <w:bottom w:val="single" w:sz="4" w:space="0" w:color="auto"/>
              <w:right w:val="single" w:sz="4" w:space="0" w:color="auto"/>
            </w:tcBorders>
            <w:vAlign w:val="center"/>
          </w:tcPr>
          <w:p w14:paraId="1B74F2FA" w14:textId="77777777"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1%</w:t>
            </w:r>
          </w:p>
        </w:tc>
        <w:tc>
          <w:tcPr>
            <w:tcW w:w="426" w:type="pct"/>
            <w:tcBorders>
              <w:top w:val="single" w:sz="4" w:space="0" w:color="auto"/>
              <w:left w:val="nil"/>
              <w:bottom w:val="single" w:sz="4" w:space="0" w:color="auto"/>
              <w:right w:val="double" w:sz="4" w:space="0" w:color="auto"/>
            </w:tcBorders>
            <w:vAlign w:val="center"/>
          </w:tcPr>
          <w:p w14:paraId="709A2FB8" w14:textId="77777777"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0%</w:t>
            </w:r>
          </w:p>
        </w:tc>
        <w:tc>
          <w:tcPr>
            <w:tcW w:w="426" w:type="pct"/>
            <w:tcBorders>
              <w:top w:val="single" w:sz="4" w:space="0" w:color="auto"/>
              <w:left w:val="double" w:sz="4" w:space="0" w:color="auto"/>
              <w:bottom w:val="single" w:sz="4" w:space="0" w:color="auto"/>
              <w:right w:val="single" w:sz="4" w:space="0" w:color="auto"/>
            </w:tcBorders>
            <w:vAlign w:val="center"/>
          </w:tcPr>
          <w:p w14:paraId="662589F2" w14:textId="55CF38EA"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0%</w:t>
            </w:r>
          </w:p>
        </w:tc>
        <w:tc>
          <w:tcPr>
            <w:tcW w:w="426" w:type="pct"/>
            <w:tcBorders>
              <w:top w:val="single" w:sz="4" w:space="0" w:color="auto"/>
              <w:left w:val="nil"/>
              <w:bottom w:val="single" w:sz="4" w:space="0" w:color="auto"/>
              <w:right w:val="double" w:sz="4" w:space="0" w:color="auto"/>
            </w:tcBorders>
            <w:vAlign w:val="center"/>
          </w:tcPr>
          <w:p w14:paraId="4929FC87" w14:textId="77777777"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0%</w:t>
            </w:r>
          </w:p>
        </w:tc>
        <w:tc>
          <w:tcPr>
            <w:tcW w:w="426" w:type="pct"/>
            <w:tcBorders>
              <w:top w:val="single" w:sz="4" w:space="0" w:color="auto"/>
              <w:left w:val="double" w:sz="4" w:space="0" w:color="auto"/>
              <w:bottom w:val="single" w:sz="4" w:space="0" w:color="auto"/>
              <w:right w:val="single" w:sz="4" w:space="0" w:color="auto"/>
            </w:tcBorders>
            <w:vAlign w:val="center"/>
          </w:tcPr>
          <w:p w14:paraId="6AC9AB4B" w14:textId="76E63CC6"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0%</w:t>
            </w:r>
          </w:p>
        </w:tc>
        <w:tc>
          <w:tcPr>
            <w:tcW w:w="426" w:type="pct"/>
            <w:tcBorders>
              <w:top w:val="single" w:sz="4" w:space="0" w:color="auto"/>
              <w:left w:val="nil"/>
              <w:bottom w:val="single" w:sz="4" w:space="0" w:color="auto"/>
              <w:right w:val="double" w:sz="4" w:space="0" w:color="auto"/>
            </w:tcBorders>
            <w:vAlign w:val="center"/>
          </w:tcPr>
          <w:p w14:paraId="55BD5DCC" w14:textId="77777777"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0%</w:t>
            </w:r>
          </w:p>
        </w:tc>
        <w:tc>
          <w:tcPr>
            <w:tcW w:w="426" w:type="pct"/>
            <w:tcBorders>
              <w:top w:val="single" w:sz="4" w:space="0" w:color="auto"/>
              <w:left w:val="double" w:sz="4" w:space="0" w:color="auto"/>
              <w:bottom w:val="single" w:sz="4" w:space="0" w:color="auto"/>
              <w:right w:val="single" w:sz="4" w:space="0" w:color="auto"/>
            </w:tcBorders>
            <w:vAlign w:val="center"/>
          </w:tcPr>
          <w:p w14:paraId="5CC43732" w14:textId="08A73150"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0%</w:t>
            </w:r>
          </w:p>
        </w:tc>
        <w:tc>
          <w:tcPr>
            <w:tcW w:w="423" w:type="pct"/>
            <w:tcBorders>
              <w:top w:val="single" w:sz="4" w:space="0" w:color="auto"/>
              <w:left w:val="nil"/>
              <w:bottom w:val="single" w:sz="4" w:space="0" w:color="auto"/>
              <w:right w:val="double" w:sz="4" w:space="0" w:color="auto"/>
            </w:tcBorders>
            <w:vAlign w:val="center"/>
          </w:tcPr>
          <w:p w14:paraId="6E865C11" w14:textId="77777777"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0%</w:t>
            </w:r>
          </w:p>
        </w:tc>
      </w:tr>
      <w:tr w:rsidR="00C911EF" w:rsidRPr="00111DC0" w14:paraId="5E8A72A6" w14:textId="77777777" w:rsidTr="00C97AB0">
        <w:trPr>
          <w:trHeight w:val="170"/>
        </w:trPr>
        <w:tc>
          <w:tcPr>
            <w:tcW w:w="992" w:type="pct"/>
            <w:tcBorders>
              <w:top w:val="single" w:sz="4" w:space="0" w:color="auto"/>
              <w:left w:val="double" w:sz="4" w:space="0" w:color="auto"/>
              <w:bottom w:val="single" w:sz="4" w:space="0" w:color="auto"/>
              <w:right w:val="double" w:sz="4" w:space="0" w:color="auto"/>
            </w:tcBorders>
            <w:vAlign w:val="center"/>
          </w:tcPr>
          <w:p w14:paraId="5A9A8281" w14:textId="7D327F3C" w:rsidR="00C911EF" w:rsidRPr="00EF2ED1" w:rsidRDefault="00C911EF" w:rsidP="00C97AB0">
            <w:pPr>
              <w:widowControl w:val="0"/>
              <w:spacing w:before="0" w:after="0" w:line="240" w:lineRule="auto"/>
              <w:jc w:val="right"/>
              <w:rPr>
                <w:rFonts w:cs="Arial"/>
                <w:sz w:val="18"/>
                <w:szCs w:val="16"/>
              </w:rPr>
            </w:pPr>
            <w:r w:rsidRPr="00EF2ED1">
              <w:rPr>
                <w:rFonts w:cs="Arial"/>
                <w:sz w:val="18"/>
                <w:szCs w:val="16"/>
              </w:rPr>
              <w:t>Otros docentes</w:t>
            </w:r>
          </w:p>
        </w:tc>
        <w:tc>
          <w:tcPr>
            <w:tcW w:w="176" w:type="pct"/>
            <w:tcBorders>
              <w:top w:val="single" w:sz="4" w:space="0" w:color="auto"/>
              <w:left w:val="double" w:sz="4" w:space="0" w:color="auto"/>
              <w:bottom w:val="single" w:sz="4" w:space="0" w:color="auto"/>
              <w:right w:val="single" w:sz="4" w:space="0" w:color="auto"/>
            </w:tcBorders>
            <w:shd w:val="clear" w:color="auto" w:fill="auto"/>
            <w:noWrap/>
            <w:vAlign w:val="center"/>
          </w:tcPr>
          <w:p w14:paraId="748D6B06" w14:textId="196DBAEE"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0%</w:t>
            </w:r>
          </w:p>
        </w:tc>
        <w:tc>
          <w:tcPr>
            <w:tcW w:w="426" w:type="pct"/>
            <w:tcBorders>
              <w:top w:val="single" w:sz="4" w:space="0" w:color="auto"/>
              <w:left w:val="nil"/>
              <w:bottom w:val="single" w:sz="4" w:space="0" w:color="auto"/>
              <w:right w:val="double" w:sz="4" w:space="0" w:color="auto"/>
            </w:tcBorders>
            <w:vAlign w:val="center"/>
          </w:tcPr>
          <w:p w14:paraId="704FAF0D" w14:textId="7C3B1D08"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0%</w:t>
            </w:r>
          </w:p>
        </w:tc>
        <w:tc>
          <w:tcPr>
            <w:tcW w:w="426" w:type="pct"/>
            <w:tcBorders>
              <w:top w:val="single" w:sz="4" w:space="0" w:color="auto"/>
              <w:left w:val="double" w:sz="4" w:space="0" w:color="auto"/>
              <w:bottom w:val="single" w:sz="4" w:space="0" w:color="auto"/>
              <w:right w:val="single" w:sz="4" w:space="0" w:color="auto"/>
            </w:tcBorders>
            <w:vAlign w:val="center"/>
          </w:tcPr>
          <w:p w14:paraId="3BFB78E3" w14:textId="77777777"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6%</w:t>
            </w:r>
          </w:p>
        </w:tc>
        <w:tc>
          <w:tcPr>
            <w:tcW w:w="426" w:type="pct"/>
            <w:tcBorders>
              <w:top w:val="single" w:sz="4" w:space="0" w:color="auto"/>
              <w:left w:val="nil"/>
              <w:bottom w:val="single" w:sz="4" w:space="0" w:color="auto"/>
              <w:right w:val="double" w:sz="4" w:space="0" w:color="auto"/>
            </w:tcBorders>
            <w:vAlign w:val="center"/>
          </w:tcPr>
          <w:p w14:paraId="39597D59" w14:textId="6FDBAC12"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1%</w:t>
            </w:r>
          </w:p>
        </w:tc>
        <w:tc>
          <w:tcPr>
            <w:tcW w:w="426" w:type="pct"/>
            <w:tcBorders>
              <w:top w:val="single" w:sz="4" w:space="0" w:color="auto"/>
              <w:left w:val="double" w:sz="4" w:space="0" w:color="auto"/>
              <w:bottom w:val="single" w:sz="4" w:space="0" w:color="auto"/>
              <w:right w:val="single" w:sz="4" w:space="0" w:color="auto"/>
            </w:tcBorders>
            <w:vAlign w:val="center"/>
          </w:tcPr>
          <w:p w14:paraId="392A93DA" w14:textId="3BE675CF"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0%</w:t>
            </w:r>
          </w:p>
        </w:tc>
        <w:tc>
          <w:tcPr>
            <w:tcW w:w="426" w:type="pct"/>
            <w:tcBorders>
              <w:top w:val="single" w:sz="4" w:space="0" w:color="auto"/>
              <w:left w:val="nil"/>
              <w:bottom w:val="single" w:sz="4" w:space="0" w:color="auto"/>
              <w:right w:val="double" w:sz="4" w:space="0" w:color="auto"/>
            </w:tcBorders>
            <w:vAlign w:val="center"/>
          </w:tcPr>
          <w:p w14:paraId="3176E7D7" w14:textId="05FD88BE"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1%</w:t>
            </w:r>
          </w:p>
        </w:tc>
        <w:tc>
          <w:tcPr>
            <w:tcW w:w="426" w:type="pct"/>
            <w:tcBorders>
              <w:top w:val="single" w:sz="4" w:space="0" w:color="auto"/>
              <w:left w:val="double" w:sz="4" w:space="0" w:color="auto"/>
              <w:bottom w:val="single" w:sz="4" w:space="0" w:color="auto"/>
              <w:right w:val="single" w:sz="4" w:space="0" w:color="auto"/>
            </w:tcBorders>
            <w:vAlign w:val="center"/>
          </w:tcPr>
          <w:p w14:paraId="39A8EE2F" w14:textId="698A3252"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0%</w:t>
            </w:r>
          </w:p>
        </w:tc>
        <w:tc>
          <w:tcPr>
            <w:tcW w:w="426" w:type="pct"/>
            <w:tcBorders>
              <w:top w:val="single" w:sz="4" w:space="0" w:color="auto"/>
              <w:left w:val="nil"/>
              <w:bottom w:val="single" w:sz="4" w:space="0" w:color="auto"/>
              <w:right w:val="double" w:sz="4" w:space="0" w:color="auto"/>
            </w:tcBorders>
            <w:vAlign w:val="center"/>
          </w:tcPr>
          <w:p w14:paraId="20C65B11" w14:textId="5A8CFC74"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1%</w:t>
            </w:r>
          </w:p>
        </w:tc>
        <w:tc>
          <w:tcPr>
            <w:tcW w:w="426" w:type="pct"/>
            <w:tcBorders>
              <w:top w:val="single" w:sz="4" w:space="0" w:color="auto"/>
              <w:left w:val="double" w:sz="4" w:space="0" w:color="auto"/>
              <w:bottom w:val="single" w:sz="4" w:space="0" w:color="auto"/>
              <w:right w:val="single" w:sz="4" w:space="0" w:color="auto"/>
            </w:tcBorders>
            <w:vAlign w:val="center"/>
          </w:tcPr>
          <w:p w14:paraId="74A0546B" w14:textId="655B97EF"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0%</w:t>
            </w:r>
          </w:p>
        </w:tc>
        <w:tc>
          <w:tcPr>
            <w:tcW w:w="423" w:type="pct"/>
            <w:tcBorders>
              <w:top w:val="single" w:sz="4" w:space="0" w:color="auto"/>
              <w:left w:val="nil"/>
              <w:bottom w:val="single" w:sz="4" w:space="0" w:color="auto"/>
              <w:right w:val="double" w:sz="4" w:space="0" w:color="auto"/>
            </w:tcBorders>
            <w:vAlign w:val="center"/>
          </w:tcPr>
          <w:p w14:paraId="45D38462" w14:textId="72F3FF5E" w:rsidR="00C911EF" w:rsidRPr="00C97AB0" w:rsidRDefault="00C911EF" w:rsidP="00C97AB0">
            <w:pPr>
              <w:widowControl w:val="0"/>
              <w:spacing w:before="0" w:after="0" w:line="240" w:lineRule="auto"/>
              <w:jc w:val="center"/>
              <w:rPr>
                <w:rFonts w:cs="Arial"/>
                <w:sz w:val="18"/>
                <w:szCs w:val="16"/>
              </w:rPr>
            </w:pPr>
            <w:r w:rsidRPr="00C97AB0">
              <w:rPr>
                <w:rFonts w:cs="Arial"/>
                <w:sz w:val="18"/>
                <w:szCs w:val="16"/>
              </w:rPr>
              <w:t>0%</w:t>
            </w:r>
          </w:p>
        </w:tc>
      </w:tr>
      <w:tr w:rsidR="000C0DBF" w:rsidRPr="00111DC0" w14:paraId="105A9764" w14:textId="77777777" w:rsidTr="00C97AB0">
        <w:trPr>
          <w:trHeight w:val="170"/>
        </w:trPr>
        <w:tc>
          <w:tcPr>
            <w:tcW w:w="992" w:type="pct"/>
            <w:tcBorders>
              <w:top w:val="single" w:sz="4" w:space="0" w:color="auto"/>
              <w:left w:val="double" w:sz="4" w:space="0" w:color="auto"/>
              <w:bottom w:val="double" w:sz="4" w:space="0" w:color="auto"/>
              <w:right w:val="double" w:sz="4" w:space="0" w:color="000000"/>
            </w:tcBorders>
            <w:vAlign w:val="center"/>
          </w:tcPr>
          <w:p w14:paraId="300E6F74" w14:textId="3FAFAB18" w:rsidR="000C0DBF" w:rsidRPr="00EF2ED1" w:rsidRDefault="000C0DBF" w:rsidP="00C97AB0">
            <w:pPr>
              <w:widowControl w:val="0"/>
              <w:spacing w:before="0" w:after="0" w:line="240" w:lineRule="auto"/>
              <w:jc w:val="right"/>
              <w:rPr>
                <w:rFonts w:cs="Arial"/>
                <w:sz w:val="18"/>
                <w:szCs w:val="16"/>
              </w:rPr>
            </w:pPr>
            <w:r w:rsidRPr="00EF2ED1">
              <w:rPr>
                <w:rFonts w:cs="Arial"/>
                <w:sz w:val="18"/>
                <w:szCs w:val="16"/>
              </w:rPr>
              <w:t>Formación-</w:t>
            </w:r>
            <w:proofErr w:type="spellStart"/>
            <w:r w:rsidRPr="00EF2ED1">
              <w:rPr>
                <w:rFonts w:cs="Arial"/>
                <w:sz w:val="18"/>
                <w:szCs w:val="16"/>
              </w:rPr>
              <w:t>práct</w:t>
            </w:r>
            <w:proofErr w:type="spellEnd"/>
            <w:r w:rsidR="00C97AB0">
              <w:rPr>
                <w:rFonts w:cs="Arial"/>
                <w:sz w:val="18"/>
                <w:szCs w:val="16"/>
              </w:rPr>
              <w:t>.</w:t>
            </w:r>
          </w:p>
        </w:tc>
        <w:tc>
          <w:tcPr>
            <w:tcW w:w="176" w:type="pct"/>
            <w:tcBorders>
              <w:top w:val="single" w:sz="4" w:space="0" w:color="auto"/>
              <w:left w:val="double" w:sz="4" w:space="0" w:color="000000"/>
              <w:bottom w:val="double" w:sz="4" w:space="0" w:color="auto"/>
              <w:right w:val="single" w:sz="4" w:space="0" w:color="auto"/>
            </w:tcBorders>
            <w:shd w:val="clear" w:color="auto" w:fill="auto"/>
            <w:noWrap/>
            <w:vAlign w:val="center"/>
          </w:tcPr>
          <w:p w14:paraId="34D68A1C" w14:textId="44451C07" w:rsidR="000C0DBF" w:rsidRPr="00C97AB0" w:rsidRDefault="000C0DBF" w:rsidP="00C97AB0">
            <w:pPr>
              <w:widowControl w:val="0"/>
              <w:spacing w:before="0" w:after="0" w:line="240" w:lineRule="auto"/>
              <w:jc w:val="center"/>
              <w:rPr>
                <w:rFonts w:cs="Arial"/>
                <w:sz w:val="18"/>
                <w:szCs w:val="16"/>
              </w:rPr>
            </w:pPr>
            <w:r w:rsidRPr="00C97AB0">
              <w:rPr>
                <w:rFonts w:cs="Arial"/>
                <w:sz w:val="18"/>
                <w:szCs w:val="16"/>
              </w:rPr>
              <w:t>3%</w:t>
            </w:r>
          </w:p>
        </w:tc>
        <w:tc>
          <w:tcPr>
            <w:tcW w:w="426" w:type="pct"/>
            <w:tcBorders>
              <w:top w:val="single" w:sz="4" w:space="0" w:color="auto"/>
              <w:left w:val="nil"/>
              <w:bottom w:val="double" w:sz="4" w:space="0" w:color="auto"/>
              <w:right w:val="double" w:sz="4" w:space="0" w:color="auto"/>
            </w:tcBorders>
            <w:vAlign w:val="center"/>
          </w:tcPr>
          <w:p w14:paraId="257D2D43" w14:textId="2A511F1F" w:rsidR="000C0DBF" w:rsidRPr="00C97AB0" w:rsidRDefault="000C0DBF" w:rsidP="00C97AB0">
            <w:pPr>
              <w:widowControl w:val="0"/>
              <w:spacing w:before="0" w:after="0" w:line="240" w:lineRule="auto"/>
              <w:jc w:val="center"/>
              <w:rPr>
                <w:rFonts w:cs="Arial"/>
                <w:sz w:val="18"/>
                <w:szCs w:val="16"/>
              </w:rPr>
            </w:pPr>
            <w:r w:rsidRPr="00C97AB0">
              <w:rPr>
                <w:rFonts w:cs="Arial"/>
                <w:sz w:val="18"/>
                <w:szCs w:val="16"/>
              </w:rPr>
              <w:t>0%</w:t>
            </w:r>
          </w:p>
        </w:tc>
        <w:tc>
          <w:tcPr>
            <w:tcW w:w="426" w:type="pct"/>
            <w:tcBorders>
              <w:top w:val="single" w:sz="4" w:space="0" w:color="auto"/>
              <w:left w:val="double" w:sz="4" w:space="0" w:color="auto"/>
              <w:bottom w:val="double" w:sz="4" w:space="0" w:color="auto"/>
              <w:right w:val="single" w:sz="4" w:space="0" w:color="auto"/>
            </w:tcBorders>
            <w:vAlign w:val="center"/>
          </w:tcPr>
          <w:p w14:paraId="4E3E3C0E" w14:textId="0523B54B" w:rsidR="000C0DBF" w:rsidRPr="00C97AB0" w:rsidRDefault="000C0DBF" w:rsidP="00C97AB0">
            <w:pPr>
              <w:widowControl w:val="0"/>
              <w:spacing w:before="0" w:after="0" w:line="240" w:lineRule="auto"/>
              <w:jc w:val="center"/>
              <w:rPr>
                <w:rFonts w:cs="Arial"/>
                <w:sz w:val="18"/>
                <w:szCs w:val="16"/>
              </w:rPr>
            </w:pPr>
            <w:r w:rsidRPr="00C97AB0">
              <w:rPr>
                <w:rFonts w:cs="Arial"/>
                <w:sz w:val="18"/>
                <w:szCs w:val="16"/>
              </w:rPr>
              <w:t>1%</w:t>
            </w:r>
          </w:p>
        </w:tc>
        <w:tc>
          <w:tcPr>
            <w:tcW w:w="426" w:type="pct"/>
            <w:tcBorders>
              <w:top w:val="single" w:sz="4" w:space="0" w:color="auto"/>
              <w:left w:val="nil"/>
              <w:bottom w:val="double" w:sz="4" w:space="0" w:color="auto"/>
              <w:right w:val="double" w:sz="4" w:space="0" w:color="auto"/>
            </w:tcBorders>
            <w:vAlign w:val="center"/>
          </w:tcPr>
          <w:p w14:paraId="4492C153" w14:textId="45EEA73B" w:rsidR="000C0DBF" w:rsidRPr="00C97AB0" w:rsidRDefault="000C0DBF" w:rsidP="00C97AB0">
            <w:pPr>
              <w:widowControl w:val="0"/>
              <w:spacing w:before="0" w:after="0" w:line="240" w:lineRule="auto"/>
              <w:jc w:val="center"/>
              <w:rPr>
                <w:rFonts w:cs="Arial"/>
                <w:sz w:val="18"/>
                <w:szCs w:val="16"/>
              </w:rPr>
            </w:pPr>
            <w:r w:rsidRPr="00C97AB0">
              <w:rPr>
                <w:rFonts w:cs="Arial"/>
                <w:sz w:val="18"/>
                <w:szCs w:val="16"/>
              </w:rPr>
              <w:t>0%</w:t>
            </w:r>
          </w:p>
        </w:tc>
        <w:tc>
          <w:tcPr>
            <w:tcW w:w="426" w:type="pct"/>
            <w:tcBorders>
              <w:top w:val="single" w:sz="4" w:space="0" w:color="auto"/>
              <w:left w:val="double" w:sz="4" w:space="0" w:color="auto"/>
              <w:bottom w:val="double" w:sz="4" w:space="0" w:color="auto"/>
              <w:right w:val="single" w:sz="4" w:space="0" w:color="auto"/>
            </w:tcBorders>
            <w:vAlign w:val="center"/>
          </w:tcPr>
          <w:p w14:paraId="4D0F57A1" w14:textId="6F9269FB" w:rsidR="000C0DBF" w:rsidRPr="00C97AB0" w:rsidRDefault="000C0DBF" w:rsidP="00C97AB0">
            <w:pPr>
              <w:widowControl w:val="0"/>
              <w:spacing w:before="0" w:after="0" w:line="240" w:lineRule="auto"/>
              <w:jc w:val="center"/>
              <w:rPr>
                <w:rFonts w:cs="Arial"/>
                <w:sz w:val="18"/>
                <w:szCs w:val="16"/>
              </w:rPr>
            </w:pPr>
            <w:r w:rsidRPr="00C97AB0">
              <w:rPr>
                <w:rFonts w:cs="Arial"/>
                <w:sz w:val="18"/>
                <w:szCs w:val="16"/>
              </w:rPr>
              <w:t>2%</w:t>
            </w:r>
          </w:p>
        </w:tc>
        <w:tc>
          <w:tcPr>
            <w:tcW w:w="426" w:type="pct"/>
            <w:tcBorders>
              <w:top w:val="single" w:sz="4" w:space="0" w:color="auto"/>
              <w:left w:val="nil"/>
              <w:bottom w:val="double" w:sz="4" w:space="0" w:color="auto"/>
              <w:right w:val="double" w:sz="4" w:space="0" w:color="auto"/>
            </w:tcBorders>
            <w:vAlign w:val="center"/>
          </w:tcPr>
          <w:p w14:paraId="60A1AA75" w14:textId="5EF8C36F" w:rsidR="000C0DBF" w:rsidRPr="00C97AB0" w:rsidRDefault="000C0DBF" w:rsidP="00C97AB0">
            <w:pPr>
              <w:widowControl w:val="0"/>
              <w:spacing w:before="0" w:after="0" w:line="240" w:lineRule="auto"/>
              <w:jc w:val="center"/>
              <w:rPr>
                <w:rFonts w:cs="Arial"/>
                <w:sz w:val="18"/>
                <w:szCs w:val="16"/>
              </w:rPr>
            </w:pPr>
            <w:r w:rsidRPr="00C97AB0">
              <w:rPr>
                <w:rFonts w:cs="Arial"/>
                <w:sz w:val="18"/>
                <w:szCs w:val="16"/>
              </w:rPr>
              <w:t>2%</w:t>
            </w:r>
          </w:p>
        </w:tc>
        <w:tc>
          <w:tcPr>
            <w:tcW w:w="426" w:type="pct"/>
            <w:tcBorders>
              <w:top w:val="single" w:sz="4" w:space="0" w:color="auto"/>
              <w:left w:val="double" w:sz="4" w:space="0" w:color="auto"/>
              <w:bottom w:val="double" w:sz="4" w:space="0" w:color="auto"/>
              <w:right w:val="single" w:sz="4" w:space="0" w:color="auto"/>
            </w:tcBorders>
            <w:vAlign w:val="center"/>
          </w:tcPr>
          <w:p w14:paraId="351524B8" w14:textId="086E5FE8" w:rsidR="000C0DBF" w:rsidRPr="00C97AB0" w:rsidRDefault="000C0DBF" w:rsidP="00C97AB0">
            <w:pPr>
              <w:widowControl w:val="0"/>
              <w:spacing w:before="0" w:after="0" w:line="240" w:lineRule="auto"/>
              <w:jc w:val="center"/>
              <w:rPr>
                <w:rFonts w:cs="Arial"/>
                <w:sz w:val="18"/>
                <w:szCs w:val="16"/>
              </w:rPr>
            </w:pPr>
            <w:r w:rsidRPr="00C97AB0">
              <w:rPr>
                <w:rFonts w:cs="Arial"/>
                <w:sz w:val="18"/>
                <w:szCs w:val="16"/>
              </w:rPr>
              <w:t>9%</w:t>
            </w:r>
          </w:p>
        </w:tc>
        <w:tc>
          <w:tcPr>
            <w:tcW w:w="426" w:type="pct"/>
            <w:tcBorders>
              <w:top w:val="single" w:sz="4" w:space="0" w:color="auto"/>
              <w:left w:val="nil"/>
              <w:bottom w:val="double" w:sz="4" w:space="0" w:color="auto"/>
              <w:right w:val="double" w:sz="4" w:space="0" w:color="auto"/>
            </w:tcBorders>
            <w:vAlign w:val="center"/>
          </w:tcPr>
          <w:p w14:paraId="072E74FF" w14:textId="0D61EDF3" w:rsidR="000C0DBF" w:rsidRPr="00C97AB0" w:rsidRDefault="000C0DBF" w:rsidP="00C97AB0">
            <w:pPr>
              <w:widowControl w:val="0"/>
              <w:spacing w:before="0" w:after="0" w:line="240" w:lineRule="auto"/>
              <w:jc w:val="center"/>
              <w:rPr>
                <w:rFonts w:cs="Arial"/>
                <w:sz w:val="18"/>
                <w:szCs w:val="16"/>
              </w:rPr>
            </w:pPr>
            <w:r w:rsidRPr="00C97AB0">
              <w:rPr>
                <w:rFonts w:cs="Arial"/>
                <w:sz w:val="18"/>
                <w:szCs w:val="16"/>
              </w:rPr>
              <w:t>5%</w:t>
            </w:r>
          </w:p>
        </w:tc>
        <w:tc>
          <w:tcPr>
            <w:tcW w:w="426" w:type="pct"/>
            <w:tcBorders>
              <w:top w:val="single" w:sz="4" w:space="0" w:color="auto"/>
              <w:left w:val="double" w:sz="4" w:space="0" w:color="auto"/>
              <w:bottom w:val="double" w:sz="4" w:space="0" w:color="auto"/>
              <w:right w:val="single" w:sz="4" w:space="0" w:color="auto"/>
            </w:tcBorders>
            <w:vAlign w:val="center"/>
          </w:tcPr>
          <w:p w14:paraId="1C4B1F6C" w14:textId="00F22C44" w:rsidR="000C0DBF" w:rsidRPr="00C97AB0" w:rsidRDefault="000C0DBF" w:rsidP="00C97AB0">
            <w:pPr>
              <w:widowControl w:val="0"/>
              <w:spacing w:before="0" w:after="0" w:line="240" w:lineRule="auto"/>
              <w:jc w:val="center"/>
              <w:rPr>
                <w:rFonts w:cs="Arial"/>
                <w:sz w:val="18"/>
                <w:szCs w:val="16"/>
              </w:rPr>
            </w:pPr>
            <w:r w:rsidRPr="00C97AB0">
              <w:rPr>
                <w:rFonts w:cs="Arial"/>
                <w:sz w:val="18"/>
                <w:szCs w:val="16"/>
              </w:rPr>
              <w:t>0%</w:t>
            </w:r>
          </w:p>
        </w:tc>
        <w:tc>
          <w:tcPr>
            <w:tcW w:w="423" w:type="pct"/>
            <w:tcBorders>
              <w:top w:val="single" w:sz="4" w:space="0" w:color="auto"/>
              <w:left w:val="nil"/>
              <w:bottom w:val="double" w:sz="4" w:space="0" w:color="auto"/>
              <w:right w:val="double" w:sz="4" w:space="0" w:color="auto"/>
            </w:tcBorders>
            <w:vAlign w:val="center"/>
          </w:tcPr>
          <w:p w14:paraId="09014256" w14:textId="6598EDE4" w:rsidR="000C0DBF" w:rsidRPr="00C97AB0" w:rsidRDefault="000C0DBF" w:rsidP="00C97AB0">
            <w:pPr>
              <w:widowControl w:val="0"/>
              <w:spacing w:before="0" w:after="0" w:line="240" w:lineRule="auto"/>
              <w:jc w:val="center"/>
              <w:rPr>
                <w:rFonts w:cs="Arial"/>
                <w:sz w:val="18"/>
                <w:szCs w:val="16"/>
              </w:rPr>
            </w:pPr>
            <w:r w:rsidRPr="00C97AB0">
              <w:rPr>
                <w:rFonts w:cs="Arial"/>
                <w:sz w:val="18"/>
                <w:szCs w:val="16"/>
              </w:rPr>
              <w:t>0%</w:t>
            </w:r>
          </w:p>
        </w:tc>
      </w:tr>
    </w:tbl>
    <w:p w14:paraId="1B308137" w14:textId="2C2B753E" w:rsidR="00BE2902" w:rsidRDefault="00BE2902" w:rsidP="00A442AB"/>
    <w:p w14:paraId="1BC7B334" w14:textId="25E700C3" w:rsidR="00FA1B4B" w:rsidRDefault="00D71F16" w:rsidP="0055050E">
      <w:pPr>
        <w:rPr>
          <w:rFonts w:cs="Arial"/>
        </w:rPr>
      </w:pPr>
      <w:r w:rsidRPr="00500511">
        <w:rPr>
          <w:rFonts w:cs="Arial"/>
          <w:b/>
          <w:bCs/>
        </w:rPr>
        <w:t>Aplicar la perspectiva de género a las soluciones posibles implicaría que, a</w:t>
      </w:r>
      <w:r w:rsidR="0055050E" w:rsidRPr="00500511">
        <w:rPr>
          <w:rFonts w:cs="Arial"/>
          <w:b/>
          <w:bCs/>
        </w:rPr>
        <w:t xml:space="preserve">nte una </w:t>
      </w:r>
      <w:r w:rsidRPr="00500511">
        <w:rPr>
          <w:rFonts w:cs="Arial"/>
          <w:b/>
          <w:bCs/>
        </w:rPr>
        <w:t>mayor</w:t>
      </w:r>
      <w:r w:rsidR="0055050E" w:rsidRPr="00500511">
        <w:rPr>
          <w:rFonts w:cs="Arial"/>
          <w:b/>
          <w:bCs/>
        </w:rPr>
        <w:t xml:space="preserve"> inestabilidad laboral </w:t>
      </w:r>
      <w:r w:rsidRPr="00500511">
        <w:rPr>
          <w:rFonts w:cs="Arial"/>
          <w:b/>
          <w:bCs/>
        </w:rPr>
        <w:t>femenina</w:t>
      </w:r>
      <w:r w:rsidR="0059533B" w:rsidRPr="00500511">
        <w:rPr>
          <w:rFonts w:cs="Arial"/>
          <w:b/>
          <w:bCs/>
        </w:rPr>
        <w:t>,</w:t>
      </w:r>
      <w:r w:rsidRPr="00500511">
        <w:rPr>
          <w:rFonts w:cs="Arial"/>
          <w:b/>
          <w:bCs/>
        </w:rPr>
        <w:t xml:space="preserve"> </w:t>
      </w:r>
      <w:r w:rsidR="0055050E" w:rsidRPr="00500511">
        <w:rPr>
          <w:rFonts w:cs="Arial"/>
          <w:b/>
          <w:bCs/>
        </w:rPr>
        <w:t xml:space="preserve">es necesario aplicar medidas específicas de acción positiva </w:t>
      </w:r>
      <w:r w:rsidRPr="00500511">
        <w:rPr>
          <w:rFonts w:cs="Arial"/>
          <w:b/>
          <w:bCs/>
        </w:rPr>
        <w:t>que subviertan dicha situación</w:t>
      </w:r>
      <w:r w:rsidR="0055050E" w:rsidRPr="00500511">
        <w:rPr>
          <w:rFonts w:cs="Arial"/>
          <w:b/>
          <w:bCs/>
        </w:rPr>
        <w:t>.</w:t>
      </w:r>
      <w:r w:rsidR="0055050E" w:rsidRPr="00111DC0">
        <w:rPr>
          <w:rFonts w:cs="Arial"/>
        </w:rPr>
        <w:t xml:space="preserve"> </w:t>
      </w:r>
      <w:r w:rsidR="00FA1B4B">
        <w:rPr>
          <w:rFonts w:cs="Arial"/>
        </w:rPr>
        <w:t xml:space="preserve">Y esto es precisamente lo que persigue el </w:t>
      </w:r>
      <w:r w:rsidR="00FA1B4B" w:rsidRPr="009B2318">
        <w:rPr>
          <w:rStyle w:val="KursivaCar"/>
        </w:rPr>
        <w:t>Acuerdo para la aprobación de los criterios que han de regir en la Administración General de La Rioja relativos a los procesos de estabilización</w:t>
      </w:r>
      <w:r w:rsidR="00FA1B4B">
        <w:rPr>
          <w:rFonts w:cs="Arial"/>
        </w:rPr>
        <w:t xml:space="preserve"> </w:t>
      </w:r>
      <w:r w:rsidR="009B2318">
        <w:rPr>
          <w:rFonts w:cs="Arial"/>
        </w:rPr>
        <w:t xml:space="preserve">derivados de la ley anteriormente mencionada. Según los Criterios de desempate enumerados en el apartado 7 de este Acuerdo, se aplicará la acción positiva </w:t>
      </w:r>
      <w:r w:rsidR="006175E8">
        <w:rPr>
          <w:rFonts w:cs="Arial"/>
        </w:rPr>
        <w:t xml:space="preserve">en noveno orden </w:t>
      </w:r>
      <w:r w:rsidR="009B2318">
        <w:rPr>
          <w:rFonts w:cs="Arial"/>
        </w:rPr>
        <w:t>hacia las mujeres</w:t>
      </w:r>
      <w:r w:rsidR="009B2318" w:rsidRPr="009B2318">
        <w:rPr>
          <w:rFonts w:cs="Arial"/>
          <w:i/>
          <w:iCs/>
        </w:rPr>
        <w:t xml:space="preserve"> en caso de infrarrepresentación del sexo femenino en el Cuerpo, la Escala o la Categoría profesional de la plaza a la que se opta.</w:t>
      </w:r>
      <w:r w:rsidR="006175E8">
        <w:rPr>
          <w:rFonts w:cs="Arial"/>
          <w:i/>
          <w:iCs/>
        </w:rPr>
        <w:t xml:space="preserve"> </w:t>
      </w:r>
      <w:r w:rsidR="006175E8">
        <w:rPr>
          <w:rFonts w:cs="Arial"/>
        </w:rPr>
        <w:t xml:space="preserve">El décimo criterio desempate se dirige a las </w:t>
      </w:r>
      <w:r w:rsidR="006175E8" w:rsidRPr="004D1810">
        <w:rPr>
          <w:rFonts w:cs="Arial"/>
          <w:i/>
          <w:iCs/>
        </w:rPr>
        <w:t>personas víctimas de violencia de género</w:t>
      </w:r>
      <w:r w:rsidR="006175E8">
        <w:rPr>
          <w:rFonts w:cs="Arial"/>
        </w:rPr>
        <w:t xml:space="preserve">. </w:t>
      </w:r>
    </w:p>
    <w:p w14:paraId="240256F9" w14:textId="7A3F6FF7" w:rsidR="005B34C1" w:rsidRDefault="005B34C1" w:rsidP="00F053C8"/>
    <w:p w14:paraId="3EFA79E5" w14:textId="013687BF" w:rsidR="00BA61EC" w:rsidRPr="00111DC0" w:rsidRDefault="00BA61EC" w:rsidP="004B6A1B">
      <w:pPr>
        <w:pStyle w:val="Ttulo3"/>
        <w:rPr>
          <w:rFonts w:cs="Arial"/>
        </w:rPr>
      </w:pPr>
      <w:r w:rsidRPr="00111DC0">
        <w:rPr>
          <w:rFonts w:cs="Arial"/>
        </w:rPr>
        <w:t>Edad</w:t>
      </w:r>
    </w:p>
    <w:p w14:paraId="1ABA268D" w14:textId="503FC352" w:rsidR="00403455" w:rsidRDefault="00A63252" w:rsidP="00123972">
      <w:pPr>
        <w:rPr>
          <w:rFonts w:cs="Arial"/>
          <w:bCs/>
        </w:rPr>
      </w:pPr>
      <w:r>
        <w:rPr>
          <w:rFonts w:cs="Arial"/>
          <w:b/>
          <w:bCs/>
        </w:rPr>
        <w:t>L</w:t>
      </w:r>
      <w:r w:rsidR="00C742CF" w:rsidRPr="00500511">
        <w:rPr>
          <w:rFonts w:cs="Arial"/>
          <w:b/>
          <w:bCs/>
        </w:rPr>
        <w:t xml:space="preserve">a mayor </w:t>
      </w:r>
      <w:r w:rsidR="00C61ED6" w:rsidRPr="00500511">
        <w:rPr>
          <w:rFonts w:cs="Arial"/>
          <w:b/>
          <w:bCs/>
        </w:rPr>
        <w:t xml:space="preserve">parte </w:t>
      </w:r>
      <w:r w:rsidR="00C742CF" w:rsidRPr="00500511">
        <w:rPr>
          <w:rFonts w:cs="Arial"/>
          <w:b/>
          <w:bCs/>
        </w:rPr>
        <w:t>del personal de los Servicios Generales se sitúa en una edad media entre los 46 y 55 años</w:t>
      </w:r>
      <w:r w:rsidR="00500511">
        <w:rPr>
          <w:rFonts w:cs="Arial"/>
          <w:b/>
          <w:bCs/>
        </w:rPr>
        <w:t xml:space="preserve"> </w:t>
      </w:r>
      <w:r w:rsidR="00500511">
        <w:rPr>
          <w:rFonts w:cs="Arial"/>
        </w:rPr>
        <w:t>(</w:t>
      </w:r>
      <w:r w:rsidR="00C742CF" w:rsidRPr="00111DC0">
        <w:rPr>
          <w:rFonts w:cs="Arial"/>
        </w:rPr>
        <w:t>69% de la población estudiada</w:t>
      </w:r>
      <w:r w:rsidR="00500511">
        <w:rPr>
          <w:rFonts w:cs="Arial"/>
        </w:rPr>
        <w:t>)</w:t>
      </w:r>
      <w:r w:rsidR="00C742CF" w:rsidRPr="00111DC0">
        <w:rPr>
          <w:rFonts w:cs="Arial"/>
        </w:rPr>
        <w:t xml:space="preserve">. </w:t>
      </w:r>
      <w:r w:rsidR="00C742CF" w:rsidRPr="005B34C1">
        <w:rPr>
          <w:rFonts w:cs="Arial"/>
          <w:bCs/>
        </w:rPr>
        <w:t xml:space="preserve">Una continuidad evolutiva en estos términos derivará en un personal público envejecido, muy en sintonía con las características demográficas de la sociedad. </w:t>
      </w:r>
      <w:r w:rsidR="005B34C1">
        <w:rPr>
          <w:rFonts w:cs="Arial"/>
          <w:bCs/>
        </w:rPr>
        <w:t>Entre mujeres y hombres s</w:t>
      </w:r>
      <w:r w:rsidR="00E702B0" w:rsidRPr="00111DC0">
        <w:rPr>
          <w:rFonts w:cs="Arial"/>
          <w:bCs/>
        </w:rPr>
        <w:t>e identifican proporciones muy similares, en todo caso marcadas por un punto de inflexión a partir de los 45 años</w:t>
      </w:r>
      <w:r w:rsidR="008230DC" w:rsidRPr="00111DC0">
        <w:rPr>
          <w:rFonts w:cs="Arial"/>
          <w:bCs/>
        </w:rPr>
        <w:t xml:space="preserve">, a partir de </w:t>
      </w:r>
      <w:proofErr w:type="spellStart"/>
      <w:r w:rsidR="008230DC" w:rsidRPr="00111DC0">
        <w:rPr>
          <w:rFonts w:cs="Arial"/>
          <w:bCs/>
        </w:rPr>
        <w:t>cuando</w:t>
      </w:r>
      <w:proofErr w:type="spellEnd"/>
      <w:r w:rsidR="00E702B0" w:rsidRPr="00111DC0">
        <w:rPr>
          <w:rFonts w:cs="Arial"/>
          <w:bCs/>
        </w:rPr>
        <w:t xml:space="preserve"> se aprecia cierta masculinización</w:t>
      </w:r>
      <w:r w:rsidR="005B34C1">
        <w:rPr>
          <w:rFonts w:cs="Arial"/>
          <w:bCs/>
        </w:rPr>
        <w:t>:</w:t>
      </w:r>
      <w:r w:rsidR="00E702B0" w:rsidRPr="00111DC0">
        <w:rPr>
          <w:rFonts w:cs="Arial"/>
          <w:bCs/>
        </w:rPr>
        <w:t xml:space="preserve"> </w:t>
      </w:r>
      <w:r w:rsidR="00403455">
        <w:rPr>
          <w:rFonts w:cs="Arial"/>
          <w:bCs/>
        </w:rPr>
        <w:br w:type="page"/>
      </w:r>
    </w:p>
    <w:p w14:paraId="04A947E8" w14:textId="5BD424AA" w:rsidR="00BA61EC" w:rsidRPr="00111DC0" w:rsidRDefault="00BA61EC" w:rsidP="005B34C1">
      <w:pPr>
        <w:spacing w:after="0"/>
        <w:rPr>
          <w:rFonts w:eastAsiaTheme="majorEastAsia"/>
          <w:snapToGrid w:val="0"/>
          <w:color w:val="78BE20"/>
          <w:szCs w:val="26"/>
        </w:rPr>
      </w:pPr>
      <w:r w:rsidRPr="00111DC0">
        <w:rPr>
          <w:noProof/>
          <w:lang w:eastAsia="es-ES"/>
        </w:rPr>
        <w:drawing>
          <wp:inline distT="0" distB="0" distL="0" distR="0" wp14:anchorId="4BD98144" wp14:editId="759280C2">
            <wp:extent cx="5349240" cy="2766252"/>
            <wp:effectExtent l="0" t="0" r="0" b="0"/>
            <wp:docPr id="14" name="Gráfico 14"/>
            <wp:cNvGraphicFramePr/>
            <a:graphic xmlns:a="http://schemas.openxmlformats.org/drawingml/2006/main">
              <a:graphicData uri="http://schemas.openxmlformats.org/drawingml/2006/chart">
                <c:chart xmlns:c="http://schemas.openxmlformats.org/drawingml/2006/chart" r:id="rId22"/>
              </a:graphicData>
            </a:graphic>
          </wp:inline>
        </w:drawing>
      </w:r>
    </w:p>
    <w:p w14:paraId="44734B07" w14:textId="77777777" w:rsidR="0085367F" w:rsidRPr="00111DC0" w:rsidRDefault="0085367F" w:rsidP="00A442AB"/>
    <w:p w14:paraId="0C553085" w14:textId="5B37E755" w:rsidR="00FC09E5" w:rsidRPr="00111DC0" w:rsidRDefault="00FC09E5" w:rsidP="007455DD">
      <w:pPr>
        <w:rPr>
          <w:rFonts w:cs="Arial"/>
        </w:rPr>
      </w:pPr>
      <w:r w:rsidRPr="00A63252">
        <w:rPr>
          <w:rFonts w:cs="Arial"/>
          <w:b/>
          <w:bCs/>
        </w:rPr>
        <w:t xml:space="preserve">Entre el </w:t>
      </w:r>
      <w:r w:rsidR="00832653" w:rsidRPr="00A63252">
        <w:rPr>
          <w:rFonts w:cs="Arial"/>
          <w:b/>
          <w:bCs/>
        </w:rPr>
        <w:t>Personal Docente</w:t>
      </w:r>
      <w:r w:rsidR="004B2F10" w:rsidRPr="00A63252">
        <w:rPr>
          <w:rFonts w:cs="Arial"/>
          <w:b/>
          <w:bCs/>
        </w:rPr>
        <w:t xml:space="preserve"> </w:t>
      </w:r>
      <w:r w:rsidR="00A63252" w:rsidRPr="00A63252">
        <w:rPr>
          <w:rFonts w:cs="Arial"/>
          <w:b/>
          <w:bCs/>
        </w:rPr>
        <w:t>existe</w:t>
      </w:r>
      <w:r w:rsidR="004B2F10" w:rsidRPr="00A63252">
        <w:rPr>
          <w:rFonts w:cs="Arial"/>
          <w:b/>
          <w:bCs/>
        </w:rPr>
        <w:t xml:space="preserve"> </w:t>
      </w:r>
      <w:r w:rsidR="00FF7F73" w:rsidRPr="00A63252">
        <w:rPr>
          <w:rFonts w:cs="Arial"/>
          <w:b/>
          <w:bCs/>
        </w:rPr>
        <w:t xml:space="preserve">una </w:t>
      </w:r>
      <w:r w:rsidRPr="00A63252">
        <w:rPr>
          <w:rFonts w:cs="Arial"/>
          <w:b/>
          <w:bCs/>
        </w:rPr>
        <w:t>mayor concentración de personas jóvenes</w:t>
      </w:r>
      <w:r w:rsidR="00A63252">
        <w:rPr>
          <w:rFonts w:cs="Arial"/>
          <w:b/>
          <w:bCs/>
        </w:rPr>
        <w:t xml:space="preserve"> (</w:t>
      </w:r>
      <w:r w:rsidR="005B34C1" w:rsidRPr="00A63252">
        <w:rPr>
          <w:rFonts w:cs="Arial"/>
          <w:b/>
          <w:bCs/>
        </w:rPr>
        <w:t xml:space="preserve">58% </w:t>
      </w:r>
      <w:r w:rsidR="004B2F10" w:rsidRPr="00A63252">
        <w:rPr>
          <w:rFonts w:cs="Arial"/>
          <w:b/>
          <w:bCs/>
        </w:rPr>
        <w:t>de docentes entre los 18 y los 45 años</w:t>
      </w:r>
      <w:r w:rsidR="00A63252" w:rsidRPr="00A63252">
        <w:rPr>
          <w:rFonts w:cs="Arial"/>
          <w:b/>
          <w:bCs/>
        </w:rPr>
        <w:t>)</w:t>
      </w:r>
      <w:r w:rsidR="004B2F10" w:rsidRPr="00A63252">
        <w:rPr>
          <w:rFonts w:cs="Arial"/>
          <w:b/>
          <w:bCs/>
        </w:rPr>
        <w:t>.</w:t>
      </w:r>
      <w:r w:rsidR="004B2F10" w:rsidRPr="00111DC0">
        <w:rPr>
          <w:rFonts w:cs="Arial"/>
        </w:rPr>
        <w:t xml:space="preserve"> </w:t>
      </w:r>
      <w:r w:rsidR="007D4EFD" w:rsidRPr="00111DC0">
        <w:rPr>
          <w:rFonts w:cs="Arial"/>
        </w:rPr>
        <w:t xml:space="preserve">Probablemente, esta situación </w:t>
      </w:r>
      <w:r w:rsidR="007455DD">
        <w:rPr>
          <w:rFonts w:cs="Arial"/>
        </w:rPr>
        <w:t>es motivada también por</w:t>
      </w:r>
      <w:r w:rsidR="007D4EFD" w:rsidRPr="00111DC0">
        <w:rPr>
          <w:rFonts w:cs="Arial"/>
        </w:rPr>
        <w:t xml:space="preserve"> la incorporación de mujeres </w:t>
      </w:r>
      <w:r w:rsidR="004B2F10" w:rsidRPr="00111DC0">
        <w:rPr>
          <w:rFonts w:cs="Arial"/>
        </w:rPr>
        <w:t xml:space="preserve">jóvenes </w:t>
      </w:r>
      <w:r w:rsidR="007D4EFD" w:rsidRPr="00111DC0">
        <w:rPr>
          <w:rFonts w:cs="Arial"/>
        </w:rPr>
        <w:t>con contratos temporales durante el año 2021, todavía en unas circunstancias marcadas por las necesidades derivadas de la pandemia</w:t>
      </w:r>
      <w:r w:rsidR="00E46BD1" w:rsidRPr="00111DC0">
        <w:rPr>
          <w:rFonts w:cs="Arial"/>
        </w:rPr>
        <w:t xml:space="preserve">. </w:t>
      </w:r>
    </w:p>
    <w:p w14:paraId="17F3FFC2" w14:textId="0EB9B2E0" w:rsidR="00DD024A" w:rsidRDefault="00DD024A" w:rsidP="00350BA5">
      <w:pPr>
        <w:spacing w:after="0"/>
        <w:rPr>
          <w:rFonts w:cs="Arial"/>
        </w:rPr>
      </w:pPr>
    </w:p>
    <w:p w14:paraId="1EBE32BA" w14:textId="32E3939E" w:rsidR="00403455" w:rsidRDefault="00FC09E5" w:rsidP="0094389F">
      <w:r w:rsidRPr="00111DC0">
        <w:rPr>
          <w:noProof/>
          <w:lang w:eastAsia="es-ES"/>
        </w:rPr>
        <w:drawing>
          <wp:inline distT="0" distB="0" distL="0" distR="0" wp14:anchorId="2007D795" wp14:editId="40983331">
            <wp:extent cx="5349240" cy="2766252"/>
            <wp:effectExtent l="0" t="0" r="0" b="0"/>
            <wp:docPr id="17" name="Gráfico 17"/>
            <wp:cNvGraphicFramePr/>
            <a:graphic xmlns:a="http://schemas.openxmlformats.org/drawingml/2006/main">
              <a:graphicData uri="http://schemas.openxmlformats.org/drawingml/2006/chart">
                <c:chart xmlns:c="http://schemas.openxmlformats.org/drawingml/2006/chart" r:id="rId23"/>
              </a:graphicData>
            </a:graphic>
          </wp:inline>
        </w:drawing>
      </w:r>
      <w:r w:rsidR="00403455">
        <w:br w:type="page"/>
      </w:r>
    </w:p>
    <w:p w14:paraId="6F46CDF5" w14:textId="77777777" w:rsidR="00AD6FE3" w:rsidRPr="00111DC0" w:rsidRDefault="00AD6FE3" w:rsidP="004B6A1B">
      <w:pPr>
        <w:pStyle w:val="Ttulo3"/>
        <w:rPr>
          <w:rFonts w:cs="Arial"/>
        </w:rPr>
      </w:pPr>
      <w:r w:rsidRPr="00111DC0">
        <w:rPr>
          <w:rFonts w:cs="Arial"/>
        </w:rPr>
        <w:t>Antigüedad</w:t>
      </w:r>
    </w:p>
    <w:p w14:paraId="5326CCAA" w14:textId="76F5244F" w:rsidR="00DD024A" w:rsidRPr="007455DD" w:rsidRDefault="008A1B5D" w:rsidP="008613AE">
      <w:pPr>
        <w:rPr>
          <w:rFonts w:cs="Arial"/>
        </w:rPr>
      </w:pPr>
      <w:r w:rsidRPr="00111DC0">
        <w:rPr>
          <w:rFonts w:cs="Arial"/>
          <w:b/>
          <w:bCs/>
        </w:rPr>
        <w:t xml:space="preserve">Entre el </w:t>
      </w:r>
      <w:r w:rsidR="0091385C" w:rsidRPr="00111DC0">
        <w:rPr>
          <w:rFonts w:cs="Arial"/>
          <w:b/>
          <w:bCs/>
        </w:rPr>
        <w:t>personal de los Servicios Generales</w:t>
      </w:r>
      <w:r w:rsidRPr="00111DC0">
        <w:rPr>
          <w:rFonts w:cs="Arial"/>
          <w:b/>
          <w:bCs/>
        </w:rPr>
        <w:t xml:space="preserve">, las franjas que comprenden </w:t>
      </w:r>
      <w:r w:rsidR="006C2111" w:rsidRPr="00111DC0">
        <w:rPr>
          <w:rFonts w:cs="Arial"/>
          <w:b/>
          <w:bCs/>
        </w:rPr>
        <w:t xml:space="preserve">desde </w:t>
      </w:r>
      <w:r w:rsidRPr="00111DC0">
        <w:rPr>
          <w:rFonts w:cs="Arial"/>
          <w:b/>
          <w:bCs/>
        </w:rPr>
        <w:t xml:space="preserve">los </w:t>
      </w:r>
      <w:r w:rsidR="0091385C" w:rsidRPr="00111DC0">
        <w:rPr>
          <w:rFonts w:cs="Arial"/>
          <w:b/>
          <w:bCs/>
        </w:rPr>
        <w:t>11</w:t>
      </w:r>
      <w:r w:rsidR="007C56D5" w:rsidRPr="00111DC0">
        <w:rPr>
          <w:rFonts w:cs="Arial"/>
          <w:b/>
          <w:bCs/>
        </w:rPr>
        <w:t xml:space="preserve"> </w:t>
      </w:r>
      <w:r w:rsidR="006C2111" w:rsidRPr="00111DC0">
        <w:rPr>
          <w:rFonts w:cs="Arial"/>
          <w:b/>
          <w:bCs/>
        </w:rPr>
        <w:t xml:space="preserve">a </w:t>
      </w:r>
      <w:r w:rsidRPr="00111DC0">
        <w:rPr>
          <w:rFonts w:cs="Arial"/>
          <w:b/>
          <w:bCs/>
        </w:rPr>
        <w:t xml:space="preserve">los </w:t>
      </w:r>
      <w:r w:rsidR="0091385C" w:rsidRPr="00111DC0">
        <w:rPr>
          <w:rFonts w:cs="Arial"/>
          <w:b/>
          <w:bCs/>
        </w:rPr>
        <w:t xml:space="preserve">30 años de antigüedad </w:t>
      </w:r>
      <w:r w:rsidR="006C2111" w:rsidRPr="00111DC0">
        <w:rPr>
          <w:rFonts w:cs="Arial"/>
          <w:b/>
          <w:bCs/>
        </w:rPr>
        <w:t>aglutinan a</w:t>
      </w:r>
      <w:r w:rsidR="00A63252">
        <w:rPr>
          <w:rFonts w:cs="Arial"/>
          <w:b/>
          <w:bCs/>
        </w:rPr>
        <w:t>l</w:t>
      </w:r>
      <w:r w:rsidRPr="00111DC0">
        <w:rPr>
          <w:rFonts w:cs="Arial"/>
          <w:b/>
          <w:bCs/>
        </w:rPr>
        <w:t xml:space="preserve"> </w:t>
      </w:r>
      <w:r w:rsidR="0091385C" w:rsidRPr="00111DC0">
        <w:rPr>
          <w:rFonts w:cs="Arial"/>
          <w:b/>
          <w:bCs/>
        </w:rPr>
        <w:t>65%.</w:t>
      </w:r>
      <w:r w:rsidR="0091385C" w:rsidRPr="00111DC0">
        <w:rPr>
          <w:rFonts w:cs="Arial"/>
        </w:rPr>
        <w:t xml:space="preserve"> </w:t>
      </w:r>
      <w:r w:rsidR="008613AE" w:rsidRPr="00111DC0">
        <w:rPr>
          <w:rFonts w:cs="Arial"/>
        </w:rPr>
        <w:t>Entre mujeres y hombres</w:t>
      </w:r>
      <w:r w:rsidR="00E61D77" w:rsidRPr="00111DC0">
        <w:rPr>
          <w:rFonts w:cs="Arial"/>
        </w:rPr>
        <w:t xml:space="preserve"> es a partir de los 30 años de antigüedad cuando se produce la inversión de la relación</w:t>
      </w:r>
      <w:r w:rsidR="008F092B">
        <w:rPr>
          <w:rFonts w:cs="Arial"/>
        </w:rPr>
        <w:t>. Por ello, p</w:t>
      </w:r>
      <w:r w:rsidR="0076679D" w:rsidRPr="007455DD">
        <w:rPr>
          <w:rFonts w:cs="Arial"/>
        </w:rPr>
        <w:t>osiblemente</w:t>
      </w:r>
      <w:r w:rsidR="00E61D77" w:rsidRPr="007455DD">
        <w:rPr>
          <w:rFonts w:cs="Arial"/>
        </w:rPr>
        <w:t xml:space="preserve"> la tendencia de antigüedad sufrirá un cambio futuro </w:t>
      </w:r>
      <w:r w:rsidR="008613AE" w:rsidRPr="007455DD">
        <w:rPr>
          <w:rFonts w:cs="Arial"/>
        </w:rPr>
        <w:t xml:space="preserve">en términos de </w:t>
      </w:r>
      <w:r w:rsidR="00B5220B" w:rsidRPr="007455DD">
        <w:rPr>
          <w:rFonts w:cs="Arial"/>
        </w:rPr>
        <w:t>sexo</w:t>
      </w:r>
      <w:r w:rsidR="008613AE" w:rsidRPr="007455DD">
        <w:rPr>
          <w:rFonts w:cs="Arial"/>
        </w:rPr>
        <w:t xml:space="preserve"> </w:t>
      </w:r>
      <w:r w:rsidR="00E61D77" w:rsidRPr="007455DD">
        <w:rPr>
          <w:rFonts w:cs="Arial"/>
        </w:rPr>
        <w:t>en tanto que en la</w:t>
      </w:r>
      <w:r w:rsidR="0076679D" w:rsidRPr="007455DD">
        <w:rPr>
          <w:rFonts w:cs="Arial"/>
        </w:rPr>
        <w:t>s dos primeras</w:t>
      </w:r>
      <w:r w:rsidR="00E61D77" w:rsidRPr="007455DD">
        <w:rPr>
          <w:rFonts w:cs="Arial"/>
        </w:rPr>
        <w:t xml:space="preserve"> franja</w:t>
      </w:r>
      <w:r w:rsidR="0076679D" w:rsidRPr="007455DD">
        <w:rPr>
          <w:rFonts w:cs="Arial"/>
        </w:rPr>
        <w:t xml:space="preserve">s </w:t>
      </w:r>
      <w:r w:rsidR="00E61D77" w:rsidRPr="007455DD">
        <w:rPr>
          <w:rFonts w:cs="Arial"/>
        </w:rPr>
        <w:t>de antigüedad</w:t>
      </w:r>
      <w:r w:rsidR="0076679D" w:rsidRPr="007455DD">
        <w:rPr>
          <w:rFonts w:cs="Arial"/>
        </w:rPr>
        <w:t xml:space="preserve"> </w:t>
      </w:r>
      <w:r w:rsidR="00E61D77" w:rsidRPr="007455DD">
        <w:rPr>
          <w:rFonts w:cs="Arial"/>
        </w:rPr>
        <w:t xml:space="preserve"> la proporción de mujeres es mayor</w:t>
      </w:r>
      <w:r w:rsidR="008F092B">
        <w:rPr>
          <w:rFonts w:cs="Arial"/>
        </w:rPr>
        <w:t>:</w:t>
      </w:r>
    </w:p>
    <w:p w14:paraId="7339CED6" w14:textId="77777777" w:rsidR="001C27E6" w:rsidRPr="00111DC0" w:rsidRDefault="0091385C" w:rsidP="00350BA5">
      <w:pPr>
        <w:spacing w:after="0" w:line="259" w:lineRule="auto"/>
        <w:jc w:val="left"/>
        <w:rPr>
          <w:rFonts w:cs="Arial"/>
        </w:rPr>
      </w:pPr>
      <w:r w:rsidRPr="00111DC0">
        <w:rPr>
          <w:rFonts w:cs="Arial"/>
          <w:noProof/>
          <w:lang w:eastAsia="es-ES"/>
        </w:rPr>
        <w:drawing>
          <wp:inline distT="0" distB="0" distL="0" distR="0" wp14:anchorId="56BF901A" wp14:editId="407EAF81">
            <wp:extent cx="5244860" cy="2035834"/>
            <wp:effectExtent l="0" t="0" r="0" b="0"/>
            <wp:docPr id="12" name="Gráfico 12"/>
            <wp:cNvGraphicFramePr/>
            <a:graphic xmlns:a="http://schemas.openxmlformats.org/drawingml/2006/main">
              <a:graphicData uri="http://schemas.openxmlformats.org/drawingml/2006/chart">
                <c:chart xmlns:c="http://schemas.openxmlformats.org/drawingml/2006/chart" r:id="rId24"/>
              </a:graphicData>
            </a:graphic>
          </wp:inline>
        </w:drawing>
      </w:r>
    </w:p>
    <w:p w14:paraId="039D3482" w14:textId="77777777" w:rsidR="001C27E6" w:rsidRPr="00111DC0" w:rsidRDefault="001C27E6" w:rsidP="00A442AB"/>
    <w:p w14:paraId="26899C75" w14:textId="0E6F4994" w:rsidR="00314792" w:rsidRDefault="001547EF" w:rsidP="007455DD">
      <w:pPr>
        <w:rPr>
          <w:rFonts w:cs="Arial"/>
        </w:rPr>
      </w:pPr>
      <w:r w:rsidRPr="00111DC0">
        <w:rPr>
          <w:rFonts w:cs="Arial"/>
          <w:b/>
          <w:bCs/>
        </w:rPr>
        <w:t xml:space="preserve">En relación con el </w:t>
      </w:r>
      <w:r w:rsidR="00832653" w:rsidRPr="00111DC0">
        <w:rPr>
          <w:rFonts w:cs="Arial"/>
          <w:b/>
          <w:bCs/>
        </w:rPr>
        <w:t>Personal Docente</w:t>
      </w:r>
      <w:r w:rsidRPr="00111DC0">
        <w:rPr>
          <w:rFonts w:cs="Arial"/>
          <w:b/>
          <w:bCs/>
        </w:rPr>
        <w:t>, el 86% del total cuenta con una antigüedad de</w:t>
      </w:r>
      <w:r w:rsidR="00F12263" w:rsidRPr="00111DC0">
        <w:rPr>
          <w:rFonts w:cs="Arial"/>
          <w:b/>
          <w:bCs/>
        </w:rPr>
        <w:t xml:space="preserve"> 20 o menos años</w:t>
      </w:r>
      <w:r w:rsidR="00505EFF" w:rsidRPr="00111DC0">
        <w:rPr>
          <w:rFonts w:cs="Arial"/>
        </w:rPr>
        <w:t xml:space="preserve">, lo que se corresponde con </w:t>
      </w:r>
      <w:r w:rsidR="00B40063" w:rsidRPr="00111DC0">
        <w:rPr>
          <w:rFonts w:cs="Arial"/>
        </w:rPr>
        <w:t>lo anotado anteriormente</w:t>
      </w:r>
      <w:r w:rsidR="00505EFF" w:rsidRPr="00111DC0">
        <w:rPr>
          <w:rFonts w:cs="Arial"/>
        </w:rPr>
        <w:t xml:space="preserve"> </w:t>
      </w:r>
      <w:r w:rsidR="00D2566B" w:rsidRPr="00111DC0">
        <w:rPr>
          <w:rFonts w:cs="Arial"/>
        </w:rPr>
        <w:t>sobre la</w:t>
      </w:r>
      <w:r w:rsidR="00B40063" w:rsidRPr="00111DC0">
        <w:rPr>
          <w:rFonts w:cs="Arial"/>
        </w:rPr>
        <w:t xml:space="preserve"> edad media de este personal. </w:t>
      </w:r>
      <w:r w:rsidR="00D2566B" w:rsidRPr="00111DC0">
        <w:rPr>
          <w:rFonts w:cs="Arial"/>
        </w:rPr>
        <w:t xml:space="preserve">La </w:t>
      </w:r>
      <w:r w:rsidR="00B40063" w:rsidRPr="00111DC0">
        <w:rPr>
          <w:rFonts w:cs="Arial"/>
        </w:rPr>
        <w:t>situación puede ser debida</w:t>
      </w:r>
      <w:r w:rsidR="007455DD">
        <w:rPr>
          <w:rFonts w:cs="Arial"/>
        </w:rPr>
        <w:t xml:space="preserve">, entre otras cosas, </w:t>
      </w:r>
      <w:r w:rsidR="00B40063" w:rsidRPr="00111DC0">
        <w:rPr>
          <w:rFonts w:cs="Arial"/>
        </w:rPr>
        <w:t xml:space="preserve">a </w:t>
      </w:r>
      <w:r w:rsidR="00B40063" w:rsidRPr="00111DC0">
        <w:rPr>
          <w:rFonts w:cs="Arial"/>
          <w:lang w:eastAsia="es-ES"/>
        </w:rPr>
        <w:t xml:space="preserve">la situación creada a partir de la COVID-19, </w:t>
      </w:r>
      <w:r w:rsidR="007455DD">
        <w:rPr>
          <w:rFonts w:cs="Arial"/>
          <w:lang w:eastAsia="es-ES"/>
        </w:rPr>
        <w:t xml:space="preserve">que </w:t>
      </w:r>
      <w:r w:rsidR="00B40063" w:rsidRPr="00111DC0">
        <w:rPr>
          <w:rFonts w:cs="Arial"/>
        </w:rPr>
        <w:t xml:space="preserve">ha requerido </w:t>
      </w:r>
      <w:r w:rsidR="00B40063" w:rsidRPr="00111DC0">
        <w:rPr>
          <w:rFonts w:cs="Arial"/>
          <w:lang w:eastAsia="es-ES"/>
        </w:rPr>
        <w:t>contrataciones de carácter temporal en diversos ámbitos,</w:t>
      </w:r>
      <w:r w:rsidR="00D2566B" w:rsidRPr="00111DC0">
        <w:rPr>
          <w:rFonts w:cs="Arial"/>
          <w:lang w:eastAsia="es-ES"/>
        </w:rPr>
        <w:t xml:space="preserve"> como el sanitario y </w:t>
      </w:r>
      <w:r w:rsidR="00B40063" w:rsidRPr="00111DC0">
        <w:rPr>
          <w:rFonts w:cs="Arial"/>
          <w:lang w:eastAsia="es-ES"/>
        </w:rPr>
        <w:t>el educativo, para poder hacer frente a las necesidades circunstanciales</w:t>
      </w:r>
      <w:r w:rsidR="00505EFF" w:rsidRPr="00111DC0">
        <w:rPr>
          <w:rFonts w:cs="Arial"/>
          <w:lang w:eastAsia="es-ES"/>
        </w:rPr>
        <w:t xml:space="preserve"> ocasionadas</w:t>
      </w:r>
      <w:r w:rsidR="00B40063" w:rsidRPr="00111DC0">
        <w:rPr>
          <w:rFonts w:cs="Arial"/>
          <w:lang w:eastAsia="es-ES"/>
        </w:rPr>
        <w:t xml:space="preserve">. </w:t>
      </w:r>
      <w:r w:rsidR="007455DD">
        <w:rPr>
          <w:rFonts w:cs="Arial"/>
          <w:lang w:eastAsia="es-ES"/>
        </w:rPr>
        <w:t>O también a</w:t>
      </w:r>
      <w:r w:rsidR="00F12263" w:rsidRPr="00111DC0">
        <w:rPr>
          <w:rFonts w:cs="Arial"/>
        </w:rPr>
        <w:t xml:space="preserve"> los parámetros establecidos para ejercer el derecho de jubilación voluntaria, en concreto por </w:t>
      </w:r>
      <w:r w:rsidR="00846642" w:rsidRPr="00111DC0">
        <w:rPr>
          <w:rFonts w:cs="Arial"/>
        </w:rPr>
        <w:t xml:space="preserve">la </w:t>
      </w:r>
      <w:r w:rsidR="00F12263" w:rsidRPr="00111DC0">
        <w:rPr>
          <w:rFonts w:cs="Arial"/>
        </w:rPr>
        <w:t xml:space="preserve">pertenencia </w:t>
      </w:r>
      <w:r w:rsidR="00D2566B" w:rsidRPr="00111DC0">
        <w:rPr>
          <w:rFonts w:cs="Arial"/>
        </w:rPr>
        <w:t>d</w:t>
      </w:r>
      <w:r w:rsidR="00846642" w:rsidRPr="00111DC0">
        <w:rPr>
          <w:rFonts w:cs="Arial"/>
        </w:rPr>
        <w:t xml:space="preserve">el Personal Docente </w:t>
      </w:r>
      <w:r w:rsidR="00F12263" w:rsidRPr="00111DC0">
        <w:rPr>
          <w:rFonts w:cs="Arial"/>
        </w:rPr>
        <w:t>al régimen especial de clases pasivas, que exigen tener 60 años de edad y 30 años de servicios efectivos.</w:t>
      </w:r>
    </w:p>
    <w:p w14:paraId="028A28D0" w14:textId="23BC2711" w:rsidR="004810DF" w:rsidRPr="00111DC0" w:rsidRDefault="001F2200" w:rsidP="0094389F">
      <w:pPr>
        <w:rPr>
          <w:rFonts w:eastAsiaTheme="majorEastAsia"/>
          <w:snapToGrid w:val="0"/>
          <w:color w:val="78BE20"/>
          <w:sz w:val="24"/>
          <w:szCs w:val="26"/>
        </w:rPr>
      </w:pPr>
      <w:r w:rsidRPr="00111DC0">
        <w:rPr>
          <w:noProof/>
          <w:lang w:eastAsia="es-ES"/>
        </w:rPr>
        <w:drawing>
          <wp:inline distT="0" distB="0" distL="0" distR="0" wp14:anchorId="7750854B" wp14:editId="7402FEB2">
            <wp:extent cx="5262113" cy="2009583"/>
            <wp:effectExtent l="0" t="0" r="0" b="0"/>
            <wp:docPr id="19" name="Gráfico 19"/>
            <wp:cNvGraphicFramePr/>
            <a:graphic xmlns:a="http://schemas.openxmlformats.org/drawingml/2006/main">
              <a:graphicData uri="http://schemas.openxmlformats.org/drawingml/2006/chart">
                <c:chart xmlns:c="http://schemas.openxmlformats.org/drawingml/2006/chart" r:id="rId25"/>
              </a:graphicData>
            </a:graphic>
          </wp:inline>
        </w:drawing>
      </w:r>
    </w:p>
    <w:p w14:paraId="39A6CA57" w14:textId="12D4C391" w:rsidR="0093719B" w:rsidRPr="00111DC0" w:rsidRDefault="00091737" w:rsidP="004B6A1B">
      <w:pPr>
        <w:pStyle w:val="Ttulo3"/>
        <w:rPr>
          <w:rFonts w:cs="Arial"/>
        </w:rPr>
      </w:pPr>
      <w:r w:rsidRPr="00111DC0">
        <w:rPr>
          <w:rFonts w:cs="Arial"/>
        </w:rPr>
        <w:t xml:space="preserve">Representación </w:t>
      </w:r>
      <w:r w:rsidR="00534C6B">
        <w:rPr>
          <w:rFonts w:cs="Arial"/>
        </w:rPr>
        <w:t xml:space="preserve">Legal </w:t>
      </w:r>
      <w:r w:rsidRPr="00111DC0">
        <w:rPr>
          <w:rFonts w:cs="Arial"/>
        </w:rPr>
        <w:t xml:space="preserve">de </w:t>
      </w:r>
      <w:r w:rsidR="004A41D7" w:rsidRPr="00111DC0">
        <w:rPr>
          <w:rFonts w:cs="Arial"/>
        </w:rPr>
        <w:t xml:space="preserve">las </w:t>
      </w:r>
      <w:r w:rsidR="00534C6B">
        <w:rPr>
          <w:rFonts w:cs="Arial"/>
        </w:rPr>
        <w:t>P</w:t>
      </w:r>
      <w:r w:rsidRPr="00111DC0">
        <w:rPr>
          <w:rFonts w:cs="Arial"/>
        </w:rPr>
        <w:t xml:space="preserve">ersonas </w:t>
      </w:r>
      <w:r w:rsidR="00534C6B">
        <w:rPr>
          <w:rFonts w:cs="Arial"/>
        </w:rPr>
        <w:t>T</w:t>
      </w:r>
      <w:r w:rsidRPr="00111DC0">
        <w:rPr>
          <w:rFonts w:cs="Arial"/>
        </w:rPr>
        <w:t>rabajadoras</w:t>
      </w:r>
    </w:p>
    <w:p w14:paraId="29A6DFB6" w14:textId="77777777" w:rsidR="00D940ED" w:rsidRPr="00111DC0" w:rsidRDefault="009841EB" w:rsidP="001B625B">
      <w:pPr>
        <w:rPr>
          <w:rFonts w:cs="Arial"/>
          <w:b/>
          <w:bCs/>
        </w:rPr>
      </w:pPr>
      <w:r w:rsidRPr="00111DC0">
        <w:rPr>
          <w:rFonts w:cs="Arial"/>
          <w:b/>
          <w:bCs/>
        </w:rPr>
        <w:t xml:space="preserve">Tanto en el Comité de Empresa de la </w:t>
      </w:r>
      <w:r w:rsidR="00D940ED" w:rsidRPr="00111DC0">
        <w:rPr>
          <w:rFonts w:cs="Arial"/>
          <w:b/>
          <w:bCs/>
        </w:rPr>
        <w:t>Administración</w:t>
      </w:r>
      <w:r w:rsidRPr="00111DC0">
        <w:rPr>
          <w:rFonts w:cs="Arial"/>
          <w:b/>
          <w:bCs/>
        </w:rPr>
        <w:t xml:space="preserve"> </w:t>
      </w:r>
      <w:r w:rsidR="00D940ED" w:rsidRPr="00111DC0">
        <w:rPr>
          <w:rFonts w:cs="Arial"/>
          <w:b/>
          <w:bCs/>
        </w:rPr>
        <w:t>General</w:t>
      </w:r>
      <w:r w:rsidRPr="00111DC0">
        <w:rPr>
          <w:rFonts w:cs="Arial"/>
          <w:b/>
          <w:bCs/>
        </w:rPr>
        <w:t xml:space="preserve"> de La </w:t>
      </w:r>
      <w:r w:rsidR="00D940ED" w:rsidRPr="00111DC0">
        <w:rPr>
          <w:rFonts w:cs="Arial"/>
          <w:b/>
          <w:bCs/>
        </w:rPr>
        <w:t>R</w:t>
      </w:r>
      <w:r w:rsidRPr="00111DC0">
        <w:rPr>
          <w:rFonts w:cs="Arial"/>
          <w:b/>
          <w:bCs/>
        </w:rPr>
        <w:t xml:space="preserve">ioja como en la Junta de Personal, la presencia de hombres es superior a la de mujeres. </w:t>
      </w:r>
    </w:p>
    <w:p w14:paraId="3F4FBDBA" w14:textId="41319895" w:rsidR="009F67A0" w:rsidRDefault="009F67A0" w:rsidP="001B625B">
      <w:pPr>
        <w:rPr>
          <w:rFonts w:cs="Arial"/>
        </w:rPr>
      </w:pPr>
      <w:r w:rsidRPr="00111DC0">
        <w:rPr>
          <w:rFonts w:cs="Arial"/>
        </w:rPr>
        <w:t xml:space="preserve">En el </w:t>
      </w:r>
      <w:r w:rsidR="00963CBF" w:rsidRPr="00111DC0">
        <w:rPr>
          <w:rFonts w:cs="Arial"/>
        </w:rPr>
        <w:t>Comité de Empresa</w:t>
      </w:r>
      <w:r w:rsidRPr="00111DC0">
        <w:rPr>
          <w:rFonts w:cs="Arial"/>
        </w:rPr>
        <w:t xml:space="preserve">, la </w:t>
      </w:r>
      <w:r w:rsidR="00D2566B" w:rsidRPr="00111DC0">
        <w:rPr>
          <w:rFonts w:cs="Arial"/>
        </w:rPr>
        <w:t xml:space="preserve">presencia </w:t>
      </w:r>
      <w:r w:rsidR="009F5103" w:rsidRPr="00111DC0">
        <w:rPr>
          <w:rFonts w:cs="Arial"/>
        </w:rPr>
        <w:t>de mujeres y hombres</w:t>
      </w:r>
      <w:r w:rsidR="006C6A45" w:rsidRPr="00111DC0">
        <w:rPr>
          <w:rFonts w:cs="Arial"/>
        </w:rPr>
        <w:t xml:space="preserve"> </w:t>
      </w:r>
      <w:r w:rsidRPr="00111DC0">
        <w:rPr>
          <w:rFonts w:cs="Arial"/>
        </w:rPr>
        <w:t>es del 29%</w:t>
      </w:r>
      <w:r w:rsidR="009F5103" w:rsidRPr="00111DC0">
        <w:rPr>
          <w:rFonts w:cs="Arial"/>
        </w:rPr>
        <w:t xml:space="preserve"> - 71%</w:t>
      </w:r>
      <w:r w:rsidRPr="00111DC0">
        <w:rPr>
          <w:rFonts w:cs="Arial"/>
        </w:rPr>
        <w:t xml:space="preserve">. En </w:t>
      </w:r>
      <w:r w:rsidR="00963CBF" w:rsidRPr="00111DC0">
        <w:rPr>
          <w:rFonts w:cs="Arial"/>
        </w:rPr>
        <w:t>la Junta de Personal</w:t>
      </w:r>
      <w:r w:rsidRPr="00111DC0">
        <w:rPr>
          <w:rFonts w:cs="Arial"/>
        </w:rPr>
        <w:t xml:space="preserve">, </w:t>
      </w:r>
      <w:r w:rsidR="00D2566B" w:rsidRPr="00111DC0">
        <w:rPr>
          <w:rFonts w:cs="Arial"/>
        </w:rPr>
        <w:t xml:space="preserve">aunque la participación de mujeres es menor, no existe masculinización pues </w:t>
      </w:r>
      <w:r w:rsidRPr="00111DC0">
        <w:rPr>
          <w:rFonts w:cs="Arial"/>
        </w:rPr>
        <w:t xml:space="preserve">la </w:t>
      </w:r>
      <w:r w:rsidR="004B696B" w:rsidRPr="00111DC0">
        <w:rPr>
          <w:rFonts w:cs="Arial"/>
        </w:rPr>
        <w:t>distribución por sexo</w:t>
      </w:r>
      <w:r w:rsidR="00D2566B" w:rsidRPr="00111DC0">
        <w:rPr>
          <w:rFonts w:cs="Arial"/>
        </w:rPr>
        <w:t xml:space="preserve"> se encuentra en los límites exactos de la horquilla de la </w:t>
      </w:r>
      <w:r w:rsidR="00C96BA8" w:rsidRPr="00111DC0">
        <w:rPr>
          <w:rFonts w:cs="Arial"/>
        </w:rPr>
        <w:t>composición</w:t>
      </w:r>
      <w:r w:rsidR="00D2566B" w:rsidRPr="00111DC0">
        <w:rPr>
          <w:rFonts w:cs="Arial"/>
        </w:rPr>
        <w:t xml:space="preserve"> </w:t>
      </w:r>
      <w:r w:rsidRPr="00111DC0">
        <w:rPr>
          <w:rFonts w:cs="Arial"/>
        </w:rPr>
        <w:t>equilibrada</w:t>
      </w:r>
      <w:r w:rsidR="00D2566B" w:rsidRPr="00111DC0">
        <w:rPr>
          <w:rFonts w:cs="Arial"/>
        </w:rPr>
        <w:t xml:space="preserve"> (</w:t>
      </w:r>
      <w:r w:rsidRPr="00111DC0">
        <w:rPr>
          <w:rFonts w:cs="Arial"/>
        </w:rPr>
        <w:t>40%</w:t>
      </w:r>
      <w:r w:rsidR="00F51638" w:rsidRPr="00111DC0">
        <w:rPr>
          <w:rFonts w:cs="Arial"/>
        </w:rPr>
        <w:t xml:space="preserve"> </w:t>
      </w:r>
      <w:r w:rsidR="00D2566B" w:rsidRPr="00111DC0">
        <w:rPr>
          <w:rFonts w:cs="Arial"/>
        </w:rPr>
        <w:t>-</w:t>
      </w:r>
      <w:r w:rsidR="00F51638" w:rsidRPr="00111DC0">
        <w:rPr>
          <w:rFonts w:cs="Arial"/>
        </w:rPr>
        <w:t xml:space="preserve"> 60%</w:t>
      </w:r>
      <w:r w:rsidR="00D2566B" w:rsidRPr="00111DC0">
        <w:rPr>
          <w:rFonts w:cs="Arial"/>
        </w:rPr>
        <w:t>)</w:t>
      </w:r>
      <w:r w:rsidRPr="00111DC0">
        <w:rPr>
          <w:rFonts w:cs="Arial"/>
        </w:rPr>
        <w:t xml:space="preserve">. </w:t>
      </w:r>
    </w:p>
    <w:p w14:paraId="1CACB6EB" w14:textId="2C748CAA" w:rsidR="008C53F4" w:rsidRDefault="008C53F4" w:rsidP="001B625B">
      <w:pPr>
        <w:rPr>
          <w:rFonts w:cs="Arial"/>
        </w:rPr>
      </w:pPr>
    </w:p>
    <w:p w14:paraId="0E452556" w14:textId="50B95CDE" w:rsidR="008C53F4" w:rsidRDefault="008C53F4" w:rsidP="001B625B">
      <w:pPr>
        <w:rPr>
          <w:rFonts w:cs="Arial"/>
        </w:rPr>
      </w:pPr>
      <w:r w:rsidRPr="00111DC0">
        <w:rPr>
          <w:rFonts w:cs="Arial"/>
          <w:noProof/>
          <w:lang w:eastAsia="es-ES"/>
        </w:rPr>
        <w:drawing>
          <wp:inline distT="0" distB="0" distL="0" distR="0" wp14:anchorId="1AC335FC" wp14:editId="4DFAC5CF">
            <wp:extent cx="5349240" cy="2766252"/>
            <wp:effectExtent l="0" t="0" r="0" b="0"/>
            <wp:docPr id="32" name="Gráfico 32"/>
            <wp:cNvGraphicFramePr/>
            <a:graphic xmlns:a="http://schemas.openxmlformats.org/drawingml/2006/main">
              <a:graphicData uri="http://schemas.openxmlformats.org/drawingml/2006/chart">
                <c:chart xmlns:c="http://schemas.openxmlformats.org/drawingml/2006/chart" r:id="rId26"/>
              </a:graphicData>
            </a:graphic>
          </wp:inline>
        </w:drawing>
      </w:r>
    </w:p>
    <w:p w14:paraId="722C9BF1" w14:textId="26B77362" w:rsidR="008C53F4" w:rsidRDefault="008C53F4" w:rsidP="001B625B">
      <w:pPr>
        <w:rPr>
          <w:rFonts w:cs="Arial"/>
        </w:rPr>
      </w:pPr>
    </w:p>
    <w:p w14:paraId="255ADEF9" w14:textId="77777777" w:rsidR="00CC1C48" w:rsidRDefault="00CC1C48" w:rsidP="004B6A1B">
      <w:pPr>
        <w:pStyle w:val="Ttulo3"/>
        <w:rPr>
          <w:rFonts w:cs="Arial"/>
        </w:rPr>
      </w:pPr>
      <w:r>
        <w:rPr>
          <w:rFonts w:cs="Arial"/>
        </w:rPr>
        <w:br w:type="page"/>
      </w:r>
    </w:p>
    <w:p w14:paraId="260E1CEE" w14:textId="4DFE06E2" w:rsidR="0097355B" w:rsidRPr="00111DC0" w:rsidRDefault="00F10288" w:rsidP="004B6A1B">
      <w:pPr>
        <w:pStyle w:val="Ttulo3"/>
        <w:rPr>
          <w:rFonts w:cs="Arial"/>
        </w:rPr>
      </w:pPr>
      <w:r w:rsidRPr="00111DC0">
        <w:rPr>
          <w:rFonts w:cs="Arial"/>
        </w:rPr>
        <w:t>Conclusiones</w:t>
      </w:r>
    </w:p>
    <w:p w14:paraId="75ED16A7" w14:textId="73287B2C" w:rsidR="00F10288" w:rsidRPr="00111DC0" w:rsidRDefault="00F10288" w:rsidP="00DE69A1">
      <w:pPr>
        <w:pStyle w:val="Ttulo4"/>
        <w:rPr>
          <w:rFonts w:cs="Arial"/>
        </w:rPr>
      </w:pPr>
      <w:r w:rsidRPr="00111DC0">
        <w:rPr>
          <w:rFonts w:cs="Arial"/>
        </w:rPr>
        <w:t>Fortalezas</w:t>
      </w:r>
    </w:p>
    <w:p w14:paraId="730A4503" w14:textId="487F6FEC" w:rsidR="00F10288" w:rsidRPr="00111DC0" w:rsidRDefault="00F10288" w:rsidP="00F10288">
      <w:pPr>
        <w:rPr>
          <w:rFonts w:cs="Arial"/>
        </w:rPr>
      </w:pPr>
      <w:r w:rsidRPr="00111DC0">
        <w:rPr>
          <w:rFonts w:cs="Arial"/>
          <w:noProof/>
          <w:sz w:val="20"/>
          <w:szCs w:val="18"/>
          <w:lang w:eastAsia="es-ES"/>
        </w:rPr>
        <w:drawing>
          <wp:inline distT="0" distB="0" distL="0" distR="0" wp14:anchorId="2857AD4C" wp14:editId="469FF34F">
            <wp:extent cx="299923" cy="299923"/>
            <wp:effectExtent l="0" t="0" r="0" b="0"/>
            <wp:docPr id="89" name="Gráfico 89"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DE41E0">
        <w:rPr>
          <w:rFonts w:cs="Arial"/>
          <w:b/>
          <w:bCs/>
        </w:rPr>
        <w:t>La Administración General se presenta para las mujeres riojanas como un nicho de empleo accesible</w:t>
      </w:r>
      <w:r w:rsidRPr="00111DC0">
        <w:rPr>
          <w:rFonts w:cs="Arial"/>
        </w:rPr>
        <w:t>: el 68% de la plantilla de los Servicios Generales y del Personal Docente es femenino.</w:t>
      </w:r>
    </w:p>
    <w:p w14:paraId="5BF59091" w14:textId="5C18B27E" w:rsidR="00F10288" w:rsidRPr="00111DC0" w:rsidRDefault="00F10288" w:rsidP="00F10288">
      <w:pPr>
        <w:rPr>
          <w:rFonts w:cs="Arial"/>
        </w:rPr>
      </w:pPr>
      <w:r w:rsidRPr="00111DC0">
        <w:rPr>
          <w:rFonts w:cs="Arial"/>
          <w:noProof/>
          <w:sz w:val="20"/>
          <w:szCs w:val="18"/>
          <w:lang w:eastAsia="es-ES"/>
        </w:rPr>
        <w:drawing>
          <wp:inline distT="0" distB="0" distL="0" distR="0" wp14:anchorId="5CDD258A" wp14:editId="2AF60B2E">
            <wp:extent cx="299923" cy="299923"/>
            <wp:effectExtent l="0" t="0" r="0" b="0"/>
            <wp:docPr id="90" name="Gráfico 90"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DE41E0">
        <w:rPr>
          <w:rFonts w:cs="Arial"/>
          <w:b/>
          <w:bCs/>
        </w:rPr>
        <w:t>La mayor parte del personal público considera que no existe discriminación</w:t>
      </w:r>
      <w:r w:rsidRPr="00111DC0">
        <w:rPr>
          <w:rFonts w:cs="Arial"/>
        </w:rPr>
        <w:t xml:space="preserve"> en la Administración General de La Rioja. Aunque de esta percepción no se pueda extraer la inexistencia de desigualdad, sí habla de un clima laboral estable y de una aceptación generalizada de los valores y formas de funcionamiento básicas de la entidad.</w:t>
      </w:r>
    </w:p>
    <w:p w14:paraId="020EB38B" w14:textId="002FB8A0" w:rsidR="00F10288" w:rsidRPr="00111DC0" w:rsidRDefault="00F10288" w:rsidP="00F10288">
      <w:pPr>
        <w:rPr>
          <w:rFonts w:cs="Arial"/>
        </w:rPr>
      </w:pPr>
      <w:r w:rsidRPr="00111DC0">
        <w:rPr>
          <w:rFonts w:cs="Arial"/>
          <w:noProof/>
          <w:sz w:val="20"/>
          <w:szCs w:val="18"/>
          <w:lang w:eastAsia="es-ES"/>
        </w:rPr>
        <w:drawing>
          <wp:inline distT="0" distB="0" distL="0" distR="0" wp14:anchorId="63DBF83D" wp14:editId="08CF353F">
            <wp:extent cx="299923" cy="299923"/>
            <wp:effectExtent l="0" t="0" r="0" b="0"/>
            <wp:docPr id="91" name="Gráfico 91"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DE41E0">
        <w:rPr>
          <w:rFonts w:cs="Arial"/>
          <w:b/>
          <w:bCs/>
        </w:rPr>
        <w:t>El funcionariado de carrera es el que ofrece mayor estabilidad en el empleo</w:t>
      </w:r>
      <w:r w:rsidRPr="00111DC0">
        <w:rPr>
          <w:rFonts w:cs="Arial"/>
        </w:rPr>
        <w:t>: entre las empleadas públicas de los Servicios Generales, el 51% son funcionarias de carrera y entre el Personal Docente esta proporción asciende al 54%.</w:t>
      </w:r>
    </w:p>
    <w:p w14:paraId="41CA7784" w14:textId="014690B4" w:rsidR="00F10288" w:rsidRPr="00111DC0" w:rsidRDefault="00F10288" w:rsidP="00F10288">
      <w:pPr>
        <w:rPr>
          <w:rFonts w:cs="Arial"/>
        </w:rPr>
      </w:pPr>
      <w:r w:rsidRPr="00111DC0">
        <w:rPr>
          <w:rFonts w:cs="Arial"/>
          <w:noProof/>
          <w:sz w:val="20"/>
          <w:szCs w:val="18"/>
          <w:lang w:eastAsia="es-ES"/>
        </w:rPr>
        <w:drawing>
          <wp:inline distT="0" distB="0" distL="0" distR="0" wp14:anchorId="67D9D94D" wp14:editId="2B724ADF">
            <wp:extent cx="299923" cy="299923"/>
            <wp:effectExtent l="0" t="0" r="0" b="0"/>
            <wp:docPr id="92" name="Gráfico 92"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DE41E0">
        <w:rPr>
          <w:rFonts w:cs="Arial"/>
          <w:b/>
          <w:bCs/>
        </w:rPr>
        <w:t xml:space="preserve">Para la población joven, y en particular para las mujeres, la docencia se presenta como un sector profesional atractivo: </w:t>
      </w:r>
      <w:r w:rsidRPr="00111DC0">
        <w:rPr>
          <w:rFonts w:cs="Arial"/>
        </w:rPr>
        <w:t>el 58% de las docentes tiene 45 años o menos.</w:t>
      </w:r>
    </w:p>
    <w:p w14:paraId="40155A57" w14:textId="470A1E52" w:rsidR="00D37AC1" w:rsidRPr="00111DC0" w:rsidRDefault="00D37AC1">
      <w:pPr>
        <w:spacing w:before="0" w:after="160" w:line="259" w:lineRule="auto"/>
        <w:jc w:val="left"/>
        <w:rPr>
          <w:rFonts w:cs="Arial"/>
          <w:color w:val="78BE20"/>
          <w:szCs w:val="24"/>
        </w:rPr>
      </w:pPr>
    </w:p>
    <w:p w14:paraId="7C26EC34" w14:textId="77777777" w:rsidR="00F053C8" w:rsidRDefault="00F053C8" w:rsidP="00DE69A1">
      <w:pPr>
        <w:pStyle w:val="Ttulo4"/>
        <w:rPr>
          <w:rFonts w:cs="Arial"/>
        </w:rPr>
      </w:pPr>
      <w:r>
        <w:rPr>
          <w:rFonts w:cs="Arial"/>
        </w:rPr>
        <w:br w:type="page"/>
      </w:r>
    </w:p>
    <w:p w14:paraId="71A4FF88" w14:textId="361C70FA" w:rsidR="00F10288" w:rsidRPr="00111DC0" w:rsidRDefault="00F10288" w:rsidP="00DE69A1">
      <w:pPr>
        <w:pStyle w:val="Ttulo4"/>
        <w:rPr>
          <w:rFonts w:cs="Arial"/>
        </w:rPr>
      </w:pPr>
      <w:r w:rsidRPr="00111DC0">
        <w:rPr>
          <w:rFonts w:cs="Arial"/>
        </w:rPr>
        <w:t>Áreas de mejora</w:t>
      </w:r>
    </w:p>
    <w:p w14:paraId="15C5243A" w14:textId="3A846DDB" w:rsidR="00153F38" w:rsidRPr="00111DC0" w:rsidRDefault="00F10288" w:rsidP="00350BA5">
      <w:pPr>
        <w:spacing w:after="0"/>
        <w:rPr>
          <w:rFonts w:cs="Arial"/>
        </w:rPr>
      </w:pPr>
      <w:r w:rsidRPr="00111DC0">
        <w:rPr>
          <w:rFonts w:cs="Arial"/>
          <w:noProof/>
          <w:sz w:val="20"/>
          <w:szCs w:val="18"/>
          <w:lang w:eastAsia="es-ES"/>
        </w:rPr>
        <w:drawing>
          <wp:inline distT="0" distB="0" distL="0" distR="0" wp14:anchorId="49C724DC" wp14:editId="77DDF08C">
            <wp:extent cx="277978" cy="277978"/>
            <wp:effectExtent l="0" t="0" r="0" b="0"/>
            <wp:docPr id="93" name="Gráfico 93"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00D37AC1" w:rsidRPr="00111DC0">
        <w:rPr>
          <w:rFonts w:cs="Arial"/>
        </w:rPr>
        <w:t xml:space="preserve"> </w:t>
      </w:r>
      <w:r w:rsidRPr="00111DC0">
        <w:rPr>
          <w:rFonts w:cs="Arial"/>
        </w:rPr>
        <w:t>1</w:t>
      </w:r>
      <w:r w:rsidR="00D37AC1" w:rsidRPr="00111DC0">
        <w:rPr>
          <w:rFonts w:cs="Arial"/>
        </w:rPr>
        <w:t xml:space="preserve"> </w:t>
      </w:r>
      <w:r w:rsidR="00D37AC1" w:rsidRPr="00DE41E0">
        <w:rPr>
          <w:rFonts w:cs="Arial"/>
          <w:b/>
          <w:bCs/>
        </w:rPr>
        <w:t>-</w:t>
      </w:r>
      <w:r w:rsidRPr="00DE41E0">
        <w:rPr>
          <w:rFonts w:cs="Arial"/>
          <w:b/>
          <w:bCs/>
        </w:rPr>
        <w:t xml:space="preserve"> Emerge la necesidad de extender la sensibilización, conciencia y pensamiento crítico del personal público</w:t>
      </w:r>
      <w:r w:rsidRPr="00111DC0">
        <w:rPr>
          <w:rFonts w:cs="Arial"/>
        </w:rPr>
        <w:t xml:space="preserve"> en relación con las formas en que se expresa la desigualdad de género en la Administración Pública, particularmente entre los empleados.</w:t>
      </w:r>
    </w:p>
    <w:p w14:paraId="0F7E5887" w14:textId="4A31BE1E" w:rsidR="00F10288" w:rsidRPr="00111DC0" w:rsidRDefault="00F10288" w:rsidP="00350BA5">
      <w:pPr>
        <w:spacing w:after="0"/>
        <w:rPr>
          <w:rFonts w:cs="Arial"/>
          <w:lang w:eastAsia="es-ES"/>
        </w:rPr>
      </w:pPr>
      <w:r w:rsidRPr="00111DC0">
        <w:rPr>
          <w:rFonts w:cs="Arial"/>
          <w:noProof/>
          <w:sz w:val="20"/>
          <w:szCs w:val="18"/>
          <w:lang w:eastAsia="es-ES"/>
        </w:rPr>
        <w:drawing>
          <wp:inline distT="0" distB="0" distL="0" distR="0" wp14:anchorId="75330B4B" wp14:editId="4245200D">
            <wp:extent cx="277978" cy="277978"/>
            <wp:effectExtent l="0" t="0" r="0" b="0"/>
            <wp:docPr id="94" name="Gráfico 94"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00D37AC1" w:rsidRPr="00111DC0">
        <w:rPr>
          <w:rFonts w:cs="Arial"/>
        </w:rPr>
        <w:t xml:space="preserve"> </w:t>
      </w:r>
      <w:r w:rsidRPr="00111DC0">
        <w:rPr>
          <w:rFonts w:cs="Arial"/>
        </w:rPr>
        <w:t xml:space="preserve">2 </w:t>
      </w:r>
      <w:r w:rsidRPr="00DE41E0">
        <w:rPr>
          <w:rFonts w:cs="Arial"/>
          <w:b/>
          <w:bCs/>
        </w:rPr>
        <w:t>- A lo largo de los años de evolución estudiados (2017 – 2021), se ha incrementado la proporcionalidad de plantilla interina</w:t>
      </w:r>
      <w:r w:rsidRPr="00111DC0">
        <w:rPr>
          <w:rFonts w:cs="Arial"/>
        </w:rPr>
        <w:t xml:space="preserve"> tanto en los Servicios Generales como en el Personal Docente</w:t>
      </w:r>
      <w:r w:rsidRPr="00111DC0">
        <w:rPr>
          <w:rFonts w:cs="Arial"/>
          <w:lang w:eastAsia="es-ES"/>
        </w:rPr>
        <w:t>.</w:t>
      </w:r>
    </w:p>
    <w:p w14:paraId="5E96A495" w14:textId="54AADE00" w:rsidR="00D37AC1" w:rsidRPr="00111DC0" w:rsidRDefault="00D37AC1" w:rsidP="00350BA5">
      <w:pPr>
        <w:spacing w:after="0"/>
        <w:rPr>
          <w:rFonts w:cs="Arial"/>
        </w:rPr>
      </w:pPr>
      <w:r w:rsidRPr="00111DC0">
        <w:rPr>
          <w:rFonts w:cs="Arial"/>
          <w:noProof/>
          <w:sz w:val="20"/>
          <w:szCs w:val="18"/>
          <w:lang w:eastAsia="es-ES"/>
        </w:rPr>
        <w:drawing>
          <wp:inline distT="0" distB="0" distL="0" distR="0" wp14:anchorId="33A5806C" wp14:editId="6F3C7C8F">
            <wp:extent cx="277978" cy="277978"/>
            <wp:effectExtent l="0" t="0" r="0" b="0"/>
            <wp:docPr id="95" name="Gráfico 95"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lang w:eastAsia="es-ES"/>
        </w:rPr>
        <w:t xml:space="preserve"> </w:t>
      </w:r>
      <w:r w:rsidRPr="00111DC0">
        <w:rPr>
          <w:rFonts w:cs="Arial"/>
        </w:rPr>
        <w:t xml:space="preserve">3 </w:t>
      </w:r>
      <w:r w:rsidRPr="00DE41E0">
        <w:rPr>
          <w:rFonts w:cs="Arial"/>
          <w:b/>
          <w:bCs/>
        </w:rPr>
        <w:t>– Entre la plantilla de los Servicios Generales la inestabilidad laboral es mayor ente las mujeres,</w:t>
      </w:r>
      <w:r w:rsidRPr="00111DC0">
        <w:rPr>
          <w:rFonts w:cs="Arial"/>
        </w:rPr>
        <w:t xml:space="preserve"> como consecuencia de una mayor proporcionalidad de empleadas interinas (35% del total de empleadas frente al 19% del total de empleados).</w:t>
      </w:r>
    </w:p>
    <w:p w14:paraId="6732DAE8" w14:textId="19E19061" w:rsidR="00D37AC1" w:rsidRPr="00111DC0" w:rsidRDefault="00D37AC1" w:rsidP="00350BA5">
      <w:pPr>
        <w:spacing w:after="0"/>
        <w:rPr>
          <w:rFonts w:cs="Arial"/>
        </w:rPr>
      </w:pPr>
      <w:r w:rsidRPr="00111DC0">
        <w:rPr>
          <w:rFonts w:cs="Arial"/>
          <w:noProof/>
          <w:sz w:val="20"/>
          <w:szCs w:val="18"/>
          <w:lang w:eastAsia="es-ES"/>
        </w:rPr>
        <w:drawing>
          <wp:inline distT="0" distB="0" distL="0" distR="0" wp14:anchorId="14580B37" wp14:editId="10B30597">
            <wp:extent cx="277978" cy="277978"/>
            <wp:effectExtent l="0" t="0" r="0" b="0"/>
            <wp:docPr id="96" name="Gráfico 96"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lang w:eastAsia="es-ES"/>
        </w:rPr>
        <w:t xml:space="preserve"> </w:t>
      </w:r>
      <w:r w:rsidRPr="00111DC0">
        <w:rPr>
          <w:rFonts w:cs="Arial"/>
        </w:rPr>
        <w:t xml:space="preserve">4 </w:t>
      </w:r>
      <w:r w:rsidRPr="00DE41E0">
        <w:rPr>
          <w:rFonts w:cs="Arial"/>
          <w:b/>
          <w:bCs/>
        </w:rPr>
        <w:t>- En sintonía con las características demográficas de la sociedad, existe una presencia minoritaria de personal público joven</w:t>
      </w:r>
      <w:r w:rsidRPr="00111DC0">
        <w:rPr>
          <w:rFonts w:cs="Arial"/>
        </w:rPr>
        <w:t xml:space="preserve"> en la Administración General que apuntala un progresivo envejecimiento de la plantilla si no se revierte la tendencia en el acceso y en las contrataciones.</w:t>
      </w:r>
    </w:p>
    <w:p w14:paraId="0F9FC6D3" w14:textId="03C7D8E8" w:rsidR="00D37AC1" w:rsidRPr="00111DC0" w:rsidRDefault="00D37AC1" w:rsidP="00350BA5">
      <w:pPr>
        <w:spacing w:after="0"/>
        <w:rPr>
          <w:rFonts w:cs="Arial"/>
        </w:rPr>
      </w:pPr>
      <w:r w:rsidRPr="00111DC0">
        <w:rPr>
          <w:rFonts w:cs="Arial"/>
          <w:noProof/>
          <w:sz w:val="20"/>
          <w:szCs w:val="18"/>
          <w:lang w:eastAsia="es-ES"/>
        </w:rPr>
        <w:drawing>
          <wp:inline distT="0" distB="0" distL="0" distR="0" wp14:anchorId="551BD540" wp14:editId="27D0D277">
            <wp:extent cx="277978" cy="277978"/>
            <wp:effectExtent l="0" t="0" r="0" b="0"/>
            <wp:docPr id="97" name="Gráfico 97"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5 </w:t>
      </w:r>
      <w:r w:rsidRPr="00DE41E0">
        <w:rPr>
          <w:rFonts w:cs="Arial"/>
          <w:b/>
          <w:bCs/>
        </w:rPr>
        <w:t>- Existe una menor presencia femenina en los órganos de representación sindical,</w:t>
      </w:r>
      <w:r w:rsidRPr="00111DC0">
        <w:rPr>
          <w:rFonts w:cs="Arial"/>
        </w:rPr>
        <w:t xml:space="preserve"> en particular en el Comité de Empresa, en donde su proporción es apenas del 29%.</w:t>
      </w:r>
    </w:p>
    <w:p w14:paraId="24D8F3F4" w14:textId="4375DE72" w:rsidR="00D37AC1" w:rsidRPr="00111DC0" w:rsidRDefault="00D37AC1" w:rsidP="00350BA5">
      <w:pPr>
        <w:spacing w:after="0"/>
        <w:rPr>
          <w:rFonts w:cs="Arial"/>
          <w:lang w:eastAsia="es-ES"/>
        </w:rPr>
      </w:pPr>
    </w:p>
    <w:p w14:paraId="316817DC" w14:textId="566CC100" w:rsidR="00D37AC1" w:rsidRPr="00111DC0" w:rsidRDefault="00D37AC1" w:rsidP="00350BA5">
      <w:pPr>
        <w:spacing w:after="0"/>
        <w:rPr>
          <w:rFonts w:cs="Arial"/>
          <w:lang w:eastAsia="es-ES"/>
        </w:rPr>
      </w:pPr>
    </w:p>
    <w:p w14:paraId="25351018" w14:textId="77777777" w:rsidR="00D37AC1" w:rsidRPr="00111DC0" w:rsidRDefault="00D37AC1" w:rsidP="00350BA5">
      <w:pPr>
        <w:spacing w:after="0"/>
        <w:rPr>
          <w:rFonts w:cs="Arial"/>
        </w:rPr>
      </w:pPr>
    </w:p>
    <w:p w14:paraId="689F53A1" w14:textId="74471353" w:rsidR="001B625B" w:rsidRPr="00111DC0" w:rsidRDefault="001B625B" w:rsidP="00350BA5">
      <w:pPr>
        <w:spacing w:after="0"/>
        <w:rPr>
          <w:rFonts w:cs="Arial"/>
        </w:rPr>
      </w:pPr>
    </w:p>
    <w:p w14:paraId="65BD4D89" w14:textId="77777777" w:rsidR="001B625B" w:rsidRPr="00111DC0" w:rsidRDefault="001B625B">
      <w:pPr>
        <w:spacing w:before="0" w:after="160" w:line="259" w:lineRule="auto"/>
        <w:jc w:val="left"/>
        <w:rPr>
          <w:rFonts w:cs="Arial"/>
        </w:rPr>
      </w:pPr>
      <w:r w:rsidRPr="00111DC0">
        <w:rPr>
          <w:rFonts w:cs="Arial"/>
        </w:rPr>
        <w:br w:type="page"/>
      </w:r>
    </w:p>
    <w:p w14:paraId="78887D70" w14:textId="546E4675" w:rsidR="00BC373E" w:rsidRPr="00111DC0" w:rsidRDefault="00BC373E" w:rsidP="00024B4E">
      <w:pPr>
        <w:pStyle w:val="Ttulo2"/>
      </w:pPr>
      <w:bookmarkStart w:id="15" w:name="_Toc122080790"/>
      <w:r w:rsidRPr="00111DC0">
        <w:t>Clasificación profesional</w:t>
      </w:r>
      <w:bookmarkEnd w:id="15"/>
    </w:p>
    <w:p w14:paraId="695CC63B" w14:textId="17CBCD5D" w:rsidR="00AD291E" w:rsidRPr="00111DC0" w:rsidRDefault="000548A4" w:rsidP="007D6E4D">
      <w:r w:rsidRPr="00111DC0">
        <w:t>En este apartado se persigue centralizar la información sobre el lugar en el que mujeres y hombres se sitúan dentro de la estructura de la Administración General, de modo que se pueda conocer si existe segregación horizontal o vertical por razón de</w:t>
      </w:r>
      <w:r w:rsidR="00243D9E" w:rsidRPr="00111DC0">
        <w:t xml:space="preserve"> </w:t>
      </w:r>
      <w:r w:rsidR="00B5220B">
        <w:t>sexo</w:t>
      </w:r>
      <w:r w:rsidRPr="00111DC0">
        <w:t>.</w:t>
      </w:r>
    </w:p>
    <w:p w14:paraId="55AC391D" w14:textId="77777777" w:rsidR="001B625B" w:rsidRPr="00111DC0" w:rsidRDefault="001B625B" w:rsidP="002A47E6"/>
    <w:p w14:paraId="6F4D9BFA" w14:textId="4ABC0B28" w:rsidR="00B12AB7" w:rsidRPr="00111DC0" w:rsidRDefault="00E127DD" w:rsidP="004B6A1B">
      <w:pPr>
        <w:pStyle w:val="Ttulo3"/>
        <w:rPr>
          <w:rFonts w:cs="Arial"/>
        </w:rPr>
      </w:pPr>
      <w:r w:rsidRPr="00111DC0">
        <w:rPr>
          <w:rFonts w:cs="Arial"/>
        </w:rPr>
        <w:t xml:space="preserve">Consejerías </w:t>
      </w:r>
    </w:p>
    <w:p w14:paraId="221518FE" w14:textId="0BB7C737" w:rsidR="00F741F2" w:rsidRPr="00111DC0" w:rsidRDefault="00DE245E" w:rsidP="001B625B">
      <w:pPr>
        <w:rPr>
          <w:rFonts w:cs="Arial"/>
        </w:rPr>
      </w:pPr>
      <w:r w:rsidRPr="00D25507">
        <w:rPr>
          <w:rFonts w:cs="Arial"/>
          <w:b/>
          <w:bCs/>
        </w:rPr>
        <w:t xml:space="preserve">De todas las Consejerías, solo dos cuentan con </w:t>
      </w:r>
      <w:r w:rsidR="000A0ABE" w:rsidRPr="00D25507">
        <w:rPr>
          <w:rFonts w:cs="Arial"/>
          <w:b/>
          <w:bCs/>
        </w:rPr>
        <w:t xml:space="preserve">composición </w:t>
      </w:r>
      <w:r w:rsidRPr="00D25507">
        <w:rPr>
          <w:rFonts w:cs="Arial"/>
          <w:b/>
          <w:bCs/>
        </w:rPr>
        <w:t xml:space="preserve">equilibrada </w:t>
      </w:r>
      <w:r w:rsidR="000A0ABE" w:rsidRPr="00D25507">
        <w:rPr>
          <w:rFonts w:cs="Arial"/>
          <w:b/>
          <w:bCs/>
        </w:rPr>
        <w:t>de</w:t>
      </w:r>
      <w:r w:rsidR="006C6A45" w:rsidRPr="00D25507">
        <w:rPr>
          <w:rFonts w:cs="Arial"/>
          <w:b/>
          <w:bCs/>
        </w:rPr>
        <w:t xml:space="preserve"> mujeres y hombres</w:t>
      </w:r>
      <w:r w:rsidR="00D25507">
        <w:rPr>
          <w:rFonts w:cs="Arial"/>
          <w:b/>
          <w:bCs/>
        </w:rPr>
        <w:t xml:space="preserve"> (60% - 40%)</w:t>
      </w:r>
      <w:r w:rsidRPr="00D25507">
        <w:rPr>
          <w:rFonts w:cs="Arial"/>
          <w:b/>
          <w:bCs/>
        </w:rPr>
        <w:t>:</w:t>
      </w:r>
      <w:r w:rsidRPr="00111DC0">
        <w:rPr>
          <w:rFonts w:cs="Arial"/>
        </w:rPr>
        <w:t xml:space="preserve"> la de </w:t>
      </w:r>
      <w:r w:rsidRPr="00111DC0">
        <w:rPr>
          <w:rFonts w:cs="Arial"/>
          <w:i/>
          <w:iCs/>
        </w:rPr>
        <w:t xml:space="preserve">Agricultura, </w:t>
      </w:r>
      <w:r w:rsidR="0022705E" w:rsidRPr="00111DC0">
        <w:rPr>
          <w:rFonts w:cs="Arial"/>
          <w:i/>
          <w:iCs/>
        </w:rPr>
        <w:t>G</w:t>
      </w:r>
      <w:r w:rsidRPr="00111DC0">
        <w:rPr>
          <w:rFonts w:cs="Arial"/>
          <w:i/>
          <w:iCs/>
        </w:rPr>
        <w:t>anadería, Mundo Rural, Territorio y Población</w:t>
      </w:r>
      <w:r w:rsidRPr="00111DC0">
        <w:rPr>
          <w:rFonts w:cs="Arial"/>
        </w:rPr>
        <w:t xml:space="preserve">, y la de </w:t>
      </w:r>
      <w:r w:rsidRPr="00111DC0">
        <w:rPr>
          <w:rFonts w:cs="Arial"/>
          <w:i/>
          <w:iCs/>
        </w:rPr>
        <w:t>Desarrollo Autonómico</w:t>
      </w:r>
      <w:r w:rsidR="00D25507">
        <w:rPr>
          <w:rFonts w:cs="Arial"/>
        </w:rPr>
        <w:t xml:space="preserve">, aunque </w:t>
      </w:r>
      <w:r w:rsidR="000A0ABE" w:rsidRPr="00111DC0">
        <w:rPr>
          <w:rFonts w:cs="Arial"/>
        </w:rPr>
        <w:t>e</w:t>
      </w:r>
      <w:r w:rsidR="00F741F2" w:rsidRPr="00111DC0">
        <w:rPr>
          <w:rFonts w:cs="Arial"/>
        </w:rPr>
        <w:t xml:space="preserve">n términos comparativos con los datos de referencia global (32% </w:t>
      </w:r>
      <w:r w:rsidR="00874F00" w:rsidRPr="00111DC0">
        <w:rPr>
          <w:rFonts w:cs="Arial"/>
        </w:rPr>
        <w:t xml:space="preserve">de </w:t>
      </w:r>
      <w:r w:rsidR="00F741F2" w:rsidRPr="00111DC0">
        <w:rPr>
          <w:rFonts w:cs="Arial"/>
        </w:rPr>
        <w:t xml:space="preserve">empleados y 68% </w:t>
      </w:r>
      <w:r w:rsidR="00874F00" w:rsidRPr="00111DC0">
        <w:rPr>
          <w:rFonts w:cs="Arial"/>
        </w:rPr>
        <w:t xml:space="preserve">de </w:t>
      </w:r>
      <w:r w:rsidR="00F741F2" w:rsidRPr="00111DC0">
        <w:rPr>
          <w:rFonts w:cs="Arial"/>
        </w:rPr>
        <w:t>empleadas), estas dos Consejerías tienen una</w:t>
      </w:r>
      <w:r w:rsidR="00314AB7" w:rsidRPr="00111DC0">
        <w:rPr>
          <w:rFonts w:cs="Arial"/>
        </w:rPr>
        <w:t xml:space="preserve"> mayor</w:t>
      </w:r>
      <w:r w:rsidR="00F741F2" w:rsidRPr="00111DC0">
        <w:rPr>
          <w:rFonts w:cs="Arial"/>
        </w:rPr>
        <w:t xml:space="preserve"> presencia relativa de </w:t>
      </w:r>
      <w:r w:rsidR="00314AB7" w:rsidRPr="00111DC0">
        <w:rPr>
          <w:rFonts w:cs="Arial"/>
        </w:rPr>
        <w:t>hombres</w:t>
      </w:r>
      <w:r w:rsidR="00F741F2" w:rsidRPr="00111DC0">
        <w:rPr>
          <w:rFonts w:cs="Arial"/>
        </w:rPr>
        <w:t xml:space="preserve">. </w:t>
      </w:r>
    </w:p>
    <w:p w14:paraId="57F6701A" w14:textId="6AA1848C" w:rsidR="0043219D" w:rsidRPr="00D25507" w:rsidRDefault="00874F00" w:rsidP="001B625B">
      <w:pPr>
        <w:rPr>
          <w:rFonts w:cs="Arial"/>
        </w:rPr>
      </w:pPr>
      <w:r w:rsidRPr="00D25507">
        <w:rPr>
          <w:rFonts w:cs="Arial"/>
        </w:rPr>
        <w:t xml:space="preserve">La </w:t>
      </w:r>
      <w:r w:rsidR="00F741F2" w:rsidRPr="00D25507">
        <w:rPr>
          <w:rFonts w:cs="Arial"/>
        </w:rPr>
        <w:t xml:space="preserve">mayor presencia relativa de hombres es particularmente llamativa en la Consejería de </w:t>
      </w:r>
      <w:r w:rsidR="00F741F2" w:rsidRPr="00D25507">
        <w:rPr>
          <w:rFonts w:cs="Arial"/>
          <w:i/>
          <w:iCs/>
        </w:rPr>
        <w:t>Sostenibil</w:t>
      </w:r>
      <w:r w:rsidR="0022705E" w:rsidRPr="00D25507">
        <w:rPr>
          <w:rFonts w:cs="Arial"/>
          <w:i/>
          <w:iCs/>
        </w:rPr>
        <w:t xml:space="preserve">idad, </w:t>
      </w:r>
      <w:r w:rsidR="00F741F2" w:rsidRPr="00D25507">
        <w:rPr>
          <w:rFonts w:cs="Arial"/>
          <w:i/>
          <w:iCs/>
        </w:rPr>
        <w:t xml:space="preserve">Transición Ecológica </w:t>
      </w:r>
      <w:r w:rsidR="0022705E" w:rsidRPr="00D25507">
        <w:rPr>
          <w:rFonts w:cs="Arial"/>
          <w:i/>
          <w:iCs/>
        </w:rPr>
        <w:t xml:space="preserve">y </w:t>
      </w:r>
      <w:proofErr w:type="spellStart"/>
      <w:r w:rsidR="0022705E" w:rsidRPr="00D25507">
        <w:rPr>
          <w:rFonts w:cs="Arial"/>
          <w:i/>
          <w:iCs/>
        </w:rPr>
        <w:t>Portavocía</w:t>
      </w:r>
      <w:proofErr w:type="spellEnd"/>
      <w:r w:rsidR="0022705E" w:rsidRPr="00D25507">
        <w:rPr>
          <w:rFonts w:cs="Arial"/>
          <w:i/>
          <w:iCs/>
        </w:rPr>
        <w:t xml:space="preserve"> de</w:t>
      </w:r>
      <w:r w:rsidR="00534C6B" w:rsidRPr="00D25507">
        <w:rPr>
          <w:rFonts w:cs="Arial"/>
          <w:i/>
          <w:iCs/>
        </w:rPr>
        <w:t>l</w:t>
      </w:r>
      <w:r w:rsidR="0022705E" w:rsidRPr="00D25507">
        <w:rPr>
          <w:rFonts w:cs="Arial"/>
          <w:i/>
          <w:iCs/>
        </w:rPr>
        <w:t xml:space="preserve"> Gobierno</w:t>
      </w:r>
      <w:r w:rsidR="0022705E" w:rsidRPr="00D25507">
        <w:rPr>
          <w:rFonts w:cs="Arial"/>
          <w:color w:val="FF0000"/>
        </w:rPr>
        <w:t xml:space="preserve"> </w:t>
      </w:r>
      <w:r w:rsidR="00F741F2" w:rsidRPr="00D25507">
        <w:rPr>
          <w:rFonts w:cs="Arial"/>
        </w:rPr>
        <w:t>(75% de empleados)</w:t>
      </w:r>
      <w:r w:rsidRPr="00D25507">
        <w:rPr>
          <w:rFonts w:cs="Arial"/>
        </w:rPr>
        <w:t>.</w:t>
      </w:r>
      <w:r w:rsidRPr="00111DC0">
        <w:rPr>
          <w:rFonts w:cs="Arial"/>
        </w:rPr>
        <w:t xml:space="preserve"> </w:t>
      </w:r>
      <w:r w:rsidR="00F741F2" w:rsidRPr="00111DC0">
        <w:rPr>
          <w:rFonts w:cs="Arial"/>
        </w:rPr>
        <w:t xml:space="preserve">Es la única </w:t>
      </w:r>
      <w:r w:rsidR="00314AB7" w:rsidRPr="00111DC0">
        <w:rPr>
          <w:rFonts w:cs="Arial"/>
        </w:rPr>
        <w:t xml:space="preserve">Consejería </w:t>
      </w:r>
      <w:r w:rsidRPr="00111DC0">
        <w:rPr>
          <w:rFonts w:cs="Arial"/>
        </w:rPr>
        <w:t>que cuenta con una plantilla masculinizada</w:t>
      </w:r>
      <w:r w:rsidR="00F741F2" w:rsidRPr="00111DC0">
        <w:rPr>
          <w:rFonts w:cs="Arial"/>
        </w:rPr>
        <w:t>.</w:t>
      </w:r>
      <w:r w:rsidR="00D25507">
        <w:rPr>
          <w:rFonts w:cs="Arial"/>
        </w:rPr>
        <w:t xml:space="preserve"> </w:t>
      </w:r>
      <w:r w:rsidR="007D6E4D">
        <w:rPr>
          <w:rFonts w:cs="Arial"/>
        </w:rPr>
        <w:t>E</w:t>
      </w:r>
      <w:r w:rsidR="00F741F2" w:rsidRPr="00111DC0">
        <w:rPr>
          <w:rFonts w:cs="Arial"/>
        </w:rPr>
        <w:t>l resto de</w:t>
      </w:r>
      <w:r w:rsidR="00DE245E" w:rsidRPr="00111DC0">
        <w:rPr>
          <w:rFonts w:cs="Arial"/>
        </w:rPr>
        <w:t xml:space="preserve"> </w:t>
      </w:r>
      <w:r w:rsidR="00294107" w:rsidRPr="00111DC0">
        <w:rPr>
          <w:rFonts w:cs="Arial"/>
        </w:rPr>
        <w:t xml:space="preserve">las </w:t>
      </w:r>
      <w:r w:rsidR="00DE245E" w:rsidRPr="00111DC0">
        <w:rPr>
          <w:rFonts w:cs="Arial"/>
        </w:rPr>
        <w:t xml:space="preserve">Consejerías </w:t>
      </w:r>
      <w:r w:rsidR="00294107" w:rsidRPr="00111DC0">
        <w:rPr>
          <w:rFonts w:cs="Arial"/>
        </w:rPr>
        <w:t xml:space="preserve">cuentan con </w:t>
      </w:r>
      <w:r w:rsidR="00DE245E" w:rsidRPr="00111DC0">
        <w:rPr>
          <w:rFonts w:cs="Arial"/>
        </w:rPr>
        <w:t xml:space="preserve">una </w:t>
      </w:r>
      <w:r w:rsidR="00DE245E" w:rsidRPr="00D25507">
        <w:rPr>
          <w:rFonts w:cs="Arial"/>
        </w:rPr>
        <w:t>presencia de empleadas por encima del 60%.</w:t>
      </w:r>
      <w:r w:rsidR="00DE245E" w:rsidRPr="00111DC0">
        <w:rPr>
          <w:rFonts w:cs="Arial"/>
          <w:b/>
          <w:bCs/>
        </w:rPr>
        <w:t xml:space="preserve"> </w:t>
      </w:r>
      <w:r w:rsidR="00294107" w:rsidRPr="00D25507">
        <w:rPr>
          <w:rFonts w:cs="Arial"/>
        </w:rPr>
        <w:t>L</w:t>
      </w:r>
      <w:r w:rsidR="00DE245E" w:rsidRPr="00D25507">
        <w:rPr>
          <w:rFonts w:cs="Arial"/>
        </w:rPr>
        <w:t xml:space="preserve">os casos </w:t>
      </w:r>
      <w:r w:rsidR="00294107" w:rsidRPr="00D25507">
        <w:rPr>
          <w:rFonts w:cs="Arial"/>
        </w:rPr>
        <w:t xml:space="preserve">más llamativos son los </w:t>
      </w:r>
      <w:r w:rsidR="00DE245E" w:rsidRPr="00D25507">
        <w:rPr>
          <w:rFonts w:cs="Arial"/>
        </w:rPr>
        <w:t xml:space="preserve">de </w:t>
      </w:r>
      <w:r w:rsidR="00DE245E" w:rsidRPr="00D25507">
        <w:rPr>
          <w:rFonts w:cs="Arial"/>
          <w:i/>
          <w:iCs/>
        </w:rPr>
        <w:t>Servicios Sociales y Gobernanza Pública</w:t>
      </w:r>
      <w:r w:rsidR="00DE245E" w:rsidRPr="00D25507">
        <w:rPr>
          <w:rFonts w:cs="Arial"/>
        </w:rPr>
        <w:t xml:space="preserve"> (81%), </w:t>
      </w:r>
      <w:r w:rsidR="00DE245E" w:rsidRPr="00D25507">
        <w:rPr>
          <w:rFonts w:cs="Arial"/>
          <w:i/>
          <w:iCs/>
        </w:rPr>
        <w:t>Educación, Cultura, Deporte y Juventud</w:t>
      </w:r>
      <w:r w:rsidR="00DE245E" w:rsidRPr="00D25507">
        <w:rPr>
          <w:rFonts w:cs="Arial"/>
        </w:rPr>
        <w:t xml:space="preserve"> (74%)</w:t>
      </w:r>
      <w:r w:rsidR="0043219D" w:rsidRPr="00D25507">
        <w:rPr>
          <w:rFonts w:cs="Arial"/>
        </w:rPr>
        <w:t xml:space="preserve"> e </w:t>
      </w:r>
      <w:r w:rsidR="0043219D" w:rsidRPr="00D25507">
        <w:rPr>
          <w:rFonts w:cs="Arial"/>
          <w:i/>
          <w:iCs/>
        </w:rPr>
        <w:t>Igualdad, Participación y Agenda 2030</w:t>
      </w:r>
      <w:r w:rsidR="0043219D" w:rsidRPr="00D25507">
        <w:rPr>
          <w:rFonts w:cs="Arial"/>
        </w:rPr>
        <w:t xml:space="preserve"> (73%). </w:t>
      </w:r>
    </w:p>
    <w:p w14:paraId="34EC89F0" w14:textId="1EDD0A5C" w:rsidR="00DD024A" w:rsidRDefault="0043219D" w:rsidP="001B625B">
      <w:pPr>
        <w:rPr>
          <w:rFonts w:cs="Arial"/>
        </w:rPr>
      </w:pPr>
      <w:r w:rsidRPr="00D25507">
        <w:rPr>
          <w:rFonts w:cs="Arial"/>
          <w:b/>
          <w:bCs/>
        </w:rPr>
        <w:t>E</w:t>
      </w:r>
      <w:r w:rsidR="00F741F2" w:rsidRPr="00D25507">
        <w:rPr>
          <w:rFonts w:cs="Arial"/>
          <w:b/>
          <w:bCs/>
        </w:rPr>
        <w:t xml:space="preserve">n definitiva, </w:t>
      </w:r>
      <w:r w:rsidR="00294107" w:rsidRPr="00D25507">
        <w:rPr>
          <w:rFonts w:cs="Arial"/>
          <w:b/>
          <w:bCs/>
        </w:rPr>
        <w:t xml:space="preserve">la </w:t>
      </w:r>
      <w:r w:rsidRPr="00D25507">
        <w:rPr>
          <w:rFonts w:cs="Arial"/>
          <w:b/>
          <w:bCs/>
        </w:rPr>
        <w:t xml:space="preserve">distribución </w:t>
      </w:r>
      <w:r w:rsidR="00294107" w:rsidRPr="00D25507">
        <w:rPr>
          <w:rFonts w:cs="Arial"/>
          <w:b/>
          <w:bCs/>
        </w:rPr>
        <w:t>de</w:t>
      </w:r>
      <w:r w:rsidR="006C6A45" w:rsidRPr="00D25507">
        <w:rPr>
          <w:rFonts w:cs="Arial"/>
          <w:b/>
          <w:bCs/>
        </w:rPr>
        <w:t xml:space="preserve"> mujeres y hombres </w:t>
      </w:r>
      <w:r w:rsidR="00294107" w:rsidRPr="00D25507">
        <w:rPr>
          <w:rFonts w:cs="Arial"/>
          <w:b/>
          <w:bCs/>
        </w:rPr>
        <w:t xml:space="preserve">en las </w:t>
      </w:r>
      <w:r w:rsidR="00F741F2" w:rsidRPr="00D25507">
        <w:rPr>
          <w:rFonts w:cs="Arial"/>
          <w:b/>
          <w:bCs/>
        </w:rPr>
        <w:t>Consejería</w:t>
      </w:r>
      <w:r w:rsidR="00294107" w:rsidRPr="00D25507">
        <w:rPr>
          <w:rFonts w:cs="Arial"/>
          <w:b/>
          <w:bCs/>
        </w:rPr>
        <w:t>s</w:t>
      </w:r>
      <w:r w:rsidR="00F741F2" w:rsidRPr="00D25507">
        <w:rPr>
          <w:rFonts w:cs="Arial"/>
          <w:b/>
          <w:bCs/>
        </w:rPr>
        <w:t xml:space="preserve"> </w:t>
      </w:r>
      <w:r w:rsidRPr="00D25507">
        <w:rPr>
          <w:rFonts w:cs="Arial"/>
          <w:b/>
          <w:bCs/>
        </w:rPr>
        <w:t xml:space="preserve">refleja la pauta de segregación por </w:t>
      </w:r>
      <w:r w:rsidR="00B5220B" w:rsidRPr="00D25507">
        <w:rPr>
          <w:rFonts w:cs="Arial"/>
          <w:b/>
          <w:bCs/>
        </w:rPr>
        <w:t>sexo</w:t>
      </w:r>
      <w:r w:rsidR="00FD21BE" w:rsidRPr="00D25507">
        <w:rPr>
          <w:rFonts w:cs="Arial"/>
          <w:b/>
          <w:bCs/>
        </w:rPr>
        <w:t xml:space="preserve"> existente a nivel </w:t>
      </w:r>
      <w:proofErr w:type="spellStart"/>
      <w:r w:rsidR="00FD21BE" w:rsidRPr="00D25507">
        <w:rPr>
          <w:rFonts w:cs="Arial"/>
          <w:b/>
          <w:bCs/>
        </w:rPr>
        <w:t>soci</w:t>
      </w:r>
      <w:r w:rsidR="00294107" w:rsidRPr="00D25507">
        <w:rPr>
          <w:rFonts w:cs="Arial"/>
          <w:b/>
          <w:bCs/>
        </w:rPr>
        <w:t>olaboral</w:t>
      </w:r>
      <w:proofErr w:type="spellEnd"/>
      <w:r w:rsidR="00294107" w:rsidRPr="00D25507">
        <w:rPr>
          <w:rFonts w:cs="Arial"/>
          <w:b/>
          <w:bCs/>
        </w:rPr>
        <w:t xml:space="preserve">. </w:t>
      </w:r>
      <w:r w:rsidR="004F0F22" w:rsidRPr="00111DC0">
        <w:rPr>
          <w:rFonts w:cs="Arial"/>
        </w:rPr>
        <w:t>Según esta pauta,</w:t>
      </w:r>
      <w:r w:rsidRPr="00111DC0">
        <w:rPr>
          <w:rFonts w:cs="Arial"/>
        </w:rPr>
        <w:t xml:space="preserve"> las mujeres tienden a concentrarse mayoritariamente en las áreas vinculadas con los cuidados</w:t>
      </w:r>
      <w:r w:rsidR="00C07F60" w:rsidRPr="00111DC0">
        <w:rPr>
          <w:rFonts w:cs="Arial"/>
        </w:rPr>
        <w:t>, mientras que</w:t>
      </w:r>
      <w:r w:rsidRPr="00111DC0">
        <w:rPr>
          <w:rFonts w:cs="Arial"/>
        </w:rPr>
        <w:t xml:space="preserve"> los hombres </w:t>
      </w:r>
      <w:r w:rsidR="00C07F60" w:rsidRPr="00111DC0">
        <w:rPr>
          <w:rFonts w:cs="Arial"/>
        </w:rPr>
        <w:t xml:space="preserve">tienden a concentrarse en ámbitos </w:t>
      </w:r>
      <w:r w:rsidR="00054331" w:rsidRPr="00111DC0">
        <w:rPr>
          <w:rFonts w:cs="Arial"/>
        </w:rPr>
        <w:t>orientados</w:t>
      </w:r>
      <w:r w:rsidR="00C07F60" w:rsidRPr="00111DC0">
        <w:rPr>
          <w:rFonts w:cs="Arial"/>
        </w:rPr>
        <w:t xml:space="preserve"> a </w:t>
      </w:r>
      <w:r w:rsidRPr="00111DC0">
        <w:rPr>
          <w:rFonts w:cs="Arial"/>
        </w:rPr>
        <w:t xml:space="preserve">conocimientos </w:t>
      </w:r>
      <w:r w:rsidR="00054331" w:rsidRPr="00111DC0">
        <w:rPr>
          <w:rFonts w:cs="Arial"/>
        </w:rPr>
        <w:t>y</w:t>
      </w:r>
      <w:r w:rsidRPr="00111DC0">
        <w:rPr>
          <w:rFonts w:cs="Arial"/>
        </w:rPr>
        <w:t xml:space="preserve"> desarrollo tecnológico</w:t>
      </w:r>
      <w:r w:rsidR="00054331" w:rsidRPr="00111DC0">
        <w:rPr>
          <w:rFonts w:cs="Arial"/>
        </w:rPr>
        <w:t>s</w:t>
      </w:r>
      <w:r w:rsidR="008972E8" w:rsidRPr="00111DC0">
        <w:rPr>
          <w:rFonts w:cs="Arial"/>
        </w:rPr>
        <w:t>, entre los que se encuentra el sector energético</w:t>
      </w:r>
      <w:r w:rsidR="00D25507">
        <w:rPr>
          <w:rFonts w:cs="Arial"/>
        </w:rPr>
        <w:t>:</w:t>
      </w:r>
    </w:p>
    <w:p w14:paraId="528296E3" w14:textId="5F423B35" w:rsidR="00F741F2" w:rsidRPr="00111DC0" w:rsidRDefault="00F741F2" w:rsidP="00A442AB">
      <w:r w:rsidRPr="00111DC0">
        <w:rPr>
          <w:noProof/>
          <w:lang w:eastAsia="es-ES"/>
        </w:rPr>
        <w:drawing>
          <wp:inline distT="0" distB="0" distL="0" distR="0" wp14:anchorId="0AE63EE4" wp14:editId="740D0DF3">
            <wp:extent cx="5244860" cy="2631056"/>
            <wp:effectExtent l="0" t="0" r="0" b="0"/>
            <wp:docPr id="31" name="Gráfico 31"/>
            <wp:cNvGraphicFramePr/>
            <a:graphic xmlns:a="http://schemas.openxmlformats.org/drawingml/2006/main">
              <a:graphicData uri="http://schemas.openxmlformats.org/drawingml/2006/chart">
                <c:chart xmlns:c="http://schemas.openxmlformats.org/drawingml/2006/chart" r:id="rId27"/>
              </a:graphicData>
            </a:graphic>
          </wp:inline>
        </w:drawing>
      </w:r>
    </w:p>
    <w:p w14:paraId="7DDB0B06" w14:textId="308F4037" w:rsidR="00DD024A" w:rsidRDefault="00A04D9D" w:rsidP="00087078">
      <w:pPr>
        <w:rPr>
          <w:rFonts w:cs="Arial"/>
        </w:rPr>
      </w:pPr>
      <w:r>
        <w:rPr>
          <w:rFonts w:cs="Arial"/>
        </w:rPr>
        <w:t>L</w:t>
      </w:r>
      <w:r w:rsidR="00F76AB8" w:rsidRPr="00111DC0">
        <w:rPr>
          <w:rFonts w:cs="Arial"/>
        </w:rPr>
        <w:t xml:space="preserve">a concentración de empleadas y empleados en cada una de las Consejerías sigue una pauta bastante semejante, a excepción de dos </w:t>
      </w:r>
      <w:r w:rsidR="00D25507">
        <w:rPr>
          <w:rFonts w:cs="Arial"/>
        </w:rPr>
        <w:t xml:space="preserve">casos, el de </w:t>
      </w:r>
      <w:r w:rsidR="00D25507" w:rsidRPr="00D25507">
        <w:rPr>
          <w:rFonts w:cs="Arial"/>
          <w:i/>
          <w:iCs/>
        </w:rPr>
        <w:t>Educación, Cultura, Deporte y Juventud</w:t>
      </w:r>
      <w:r w:rsidR="00D25507">
        <w:rPr>
          <w:rFonts w:cs="Arial"/>
          <w:i/>
          <w:iCs/>
        </w:rPr>
        <w:t xml:space="preserve"> </w:t>
      </w:r>
      <w:r w:rsidR="00D25507">
        <w:rPr>
          <w:rFonts w:cs="Arial"/>
        </w:rPr>
        <w:t xml:space="preserve">y el de </w:t>
      </w:r>
      <w:r w:rsidR="00D25507" w:rsidRPr="00D25507">
        <w:rPr>
          <w:rFonts w:cs="Arial"/>
          <w:i/>
          <w:iCs/>
        </w:rPr>
        <w:t xml:space="preserve">Sostenibilidad, Transición Ecológica y </w:t>
      </w:r>
      <w:proofErr w:type="spellStart"/>
      <w:r w:rsidR="00D25507" w:rsidRPr="00D25507">
        <w:rPr>
          <w:rFonts w:cs="Arial"/>
          <w:i/>
          <w:iCs/>
        </w:rPr>
        <w:t>Portavocía</w:t>
      </w:r>
      <w:proofErr w:type="spellEnd"/>
      <w:r w:rsidR="00D25507" w:rsidRPr="00D25507">
        <w:rPr>
          <w:rFonts w:cs="Arial"/>
          <w:i/>
          <w:iCs/>
        </w:rPr>
        <w:t xml:space="preserve"> del Gobierno</w:t>
      </w:r>
      <w:r w:rsidR="00D25507">
        <w:rPr>
          <w:rFonts w:cs="Arial"/>
          <w:i/>
          <w:iCs/>
        </w:rPr>
        <w:t xml:space="preserve">, </w:t>
      </w:r>
      <w:r w:rsidR="00D25507">
        <w:rPr>
          <w:rFonts w:cs="Arial"/>
        </w:rPr>
        <w:t>anteriormente mencionados</w:t>
      </w:r>
      <w:r>
        <w:rPr>
          <w:rFonts w:cs="Arial"/>
        </w:rPr>
        <w:t>:</w:t>
      </w:r>
    </w:p>
    <w:p w14:paraId="086AB838" w14:textId="05A8C940" w:rsidR="00087078" w:rsidRPr="00111DC0" w:rsidRDefault="00B95524" w:rsidP="00A442AB">
      <w:r w:rsidRPr="00111DC0">
        <w:rPr>
          <w:noProof/>
          <w:lang w:eastAsia="es-ES"/>
        </w:rPr>
        <w:drawing>
          <wp:inline distT="0" distB="0" distL="0" distR="0" wp14:anchorId="4297094E" wp14:editId="6703AC40">
            <wp:extent cx="5400040" cy="3150235"/>
            <wp:effectExtent l="0" t="0" r="0" b="0"/>
            <wp:docPr id="24" name="Gráfico 24"/>
            <wp:cNvGraphicFramePr/>
            <a:graphic xmlns:a="http://schemas.openxmlformats.org/drawingml/2006/main">
              <a:graphicData uri="http://schemas.openxmlformats.org/drawingml/2006/chart">
                <c:chart xmlns:c="http://schemas.openxmlformats.org/drawingml/2006/chart" r:id="rId28"/>
              </a:graphicData>
            </a:graphic>
          </wp:inline>
        </w:drawing>
      </w:r>
    </w:p>
    <w:p w14:paraId="774DD773" w14:textId="57374E8A" w:rsidR="00A04D9D" w:rsidRDefault="00A04D9D" w:rsidP="000F39B8"/>
    <w:p w14:paraId="30430410" w14:textId="77777777" w:rsidR="000F39B8" w:rsidRDefault="000F39B8" w:rsidP="000F39B8"/>
    <w:p w14:paraId="6F121FDF" w14:textId="710D8F65" w:rsidR="000548A4" w:rsidRPr="00111DC0" w:rsidRDefault="00C32862" w:rsidP="004B6A1B">
      <w:pPr>
        <w:pStyle w:val="Ttulo3"/>
        <w:rPr>
          <w:rFonts w:cs="Arial"/>
        </w:rPr>
      </w:pPr>
      <w:r w:rsidRPr="00111DC0">
        <w:rPr>
          <w:rFonts w:cs="Arial"/>
        </w:rPr>
        <w:t>Grupo de clasificación</w:t>
      </w:r>
    </w:p>
    <w:p w14:paraId="18712FEB" w14:textId="6B223EF3" w:rsidR="0085367F" w:rsidRPr="00111DC0" w:rsidRDefault="000548A4" w:rsidP="00087078">
      <w:pPr>
        <w:rPr>
          <w:rFonts w:cs="Arial"/>
        </w:rPr>
      </w:pPr>
      <w:r w:rsidRPr="00111DC0">
        <w:rPr>
          <w:rFonts w:cs="Arial"/>
        </w:rPr>
        <w:t xml:space="preserve">En la Administración Pública, la clasificación del personal funcionario y del personal laboral se rige por un marco regulador </w:t>
      </w:r>
      <w:r w:rsidR="00826B44" w:rsidRPr="00111DC0">
        <w:rPr>
          <w:rFonts w:cs="Arial"/>
        </w:rPr>
        <w:t>diferente,</w:t>
      </w:r>
      <w:r w:rsidR="00CE387E" w:rsidRPr="00111DC0">
        <w:rPr>
          <w:rFonts w:cs="Arial"/>
        </w:rPr>
        <w:t xml:space="preserve"> aunque en ambos casos</w:t>
      </w:r>
      <w:r w:rsidRPr="00111DC0">
        <w:rPr>
          <w:rFonts w:cs="Arial"/>
        </w:rPr>
        <w:t xml:space="preserve"> marcado por la titulación exigida para el </w:t>
      </w:r>
      <w:r w:rsidR="00FA0CD3" w:rsidRPr="00111DC0">
        <w:rPr>
          <w:rFonts w:cs="Arial"/>
        </w:rPr>
        <w:t>ingreso y el carácter de las tareas a realizar</w:t>
      </w:r>
      <w:r w:rsidRPr="00111DC0">
        <w:rPr>
          <w:rFonts w:cs="Arial"/>
        </w:rPr>
        <w:t xml:space="preserve">. </w:t>
      </w:r>
    </w:p>
    <w:p w14:paraId="03C99EB9" w14:textId="68DAC664" w:rsidR="00216954" w:rsidRPr="00111DC0" w:rsidRDefault="00216954" w:rsidP="0034022F"/>
    <w:p w14:paraId="2BF9EA75" w14:textId="1BD5E8FD" w:rsidR="00216954" w:rsidRPr="00111DC0" w:rsidRDefault="00216954" w:rsidP="00DE69A1">
      <w:pPr>
        <w:pStyle w:val="Ttulo4"/>
        <w:rPr>
          <w:rFonts w:cs="Arial"/>
        </w:rPr>
      </w:pPr>
      <w:r w:rsidRPr="00111DC0">
        <w:rPr>
          <w:rFonts w:cs="Arial"/>
        </w:rPr>
        <w:t>Personal funcionario</w:t>
      </w:r>
      <w:r w:rsidR="00212B2F" w:rsidRPr="00111DC0">
        <w:rPr>
          <w:rFonts w:cs="Arial"/>
        </w:rPr>
        <w:t xml:space="preserve"> </w:t>
      </w:r>
    </w:p>
    <w:p w14:paraId="7496C008" w14:textId="362A812F" w:rsidR="00450C36" w:rsidRDefault="00AD677D" w:rsidP="00A04D9D">
      <w:pPr>
        <w:rPr>
          <w:rFonts w:cs="Arial"/>
        </w:rPr>
      </w:pPr>
      <w:r w:rsidRPr="00B54C3E">
        <w:rPr>
          <w:rFonts w:cs="Arial"/>
        </w:rPr>
        <w:t xml:space="preserve">En </w:t>
      </w:r>
      <w:r w:rsidR="000E39DB" w:rsidRPr="00B54C3E">
        <w:rPr>
          <w:rFonts w:cs="Arial"/>
        </w:rPr>
        <w:t xml:space="preserve">los </w:t>
      </w:r>
      <w:r w:rsidR="0022705E" w:rsidRPr="00B54C3E">
        <w:rPr>
          <w:rFonts w:cs="Arial"/>
        </w:rPr>
        <w:t>Servicios Generales</w:t>
      </w:r>
      <w:r w:rsidR="00A2283A" w:rsidRPr="00B54C3E">
        <w:rPr>
          <w:rFonts w:cs="Arial"/>
        </w:rPr>
        <w:t xml:space="preserve"> l</w:t>
      </w:r>
      <w:r w:rsidR="00450C36" w:rsidRPr="00B54C3E">
        <w:rPr>
          <w:rFonts w:cs="Arial"/>
        </w:rPr>
        <w:t>os Grupos A1 y A2 son los minoritarios en términos de plantilla</w:t>
      </w:r>
      <w:r w:rsidR="00A04D9D">
        <w:rPr>
          <w:rFonts w:cs="Arial"/>
          <w:b/>
          <w:bCs/>
        </w:rPr>
        <w:t xml:space="preserve"> </w:t>
      </w:r>
      <w:r w:rsidR="00A04D9D">
        <w:rPr>
          <w:rFonts w:cs="Arial"/>
        </w:rPr>
        <w:t>seguido de</w:t>
      </w:r>
      <w:r w:rsidR="00450C36" w:rsidRPr="00111DC0">
        <w:rPr>
          <w:rFonts w:cs="Arial"/>
        </w:rPr>
        <w:t>l Grupo E</w:t>
      </w:r>
      <w:r w:rsidR="000F39B8">
        <w:rPr>
          <w:rFonts w:cs="Arial"/>
        </w:rPr>
        <w:t>; e</w:t>
      </w:r>
      <w:r w:rsidR="00F12226" w:rsidRPr="00111DC0">
        <w:rPr>
          <w:rFonts w:cs="Arial"/>
        </w:rPr>
        <w:t xml:space="preserve">s a </w:t>
      </w:r>
      <w:r w:rsidR="00450C36" w:rsidRPr="00111DC0">
        <w:rPr>
          <w:rFonts w:cs="Arial"/>
        </w:rPr>
        <w:t xml:space="preserve">los Grupos C1 y C2 </w:t>
      </w:r>
      <w:r w:rsidR="00F12226" w:rsidRPr="00111DC0">
        <w:rPr>
          <w:rFonts w:cs="Arial"/>
        </w:rPr>
        <w:t xml:space="preserve">a </w:t>
      </w:r>
      <w:r w:rsidR="00450C36" w:rsidRPr="00111DC0">
        <w:rPr>
          <w:rFonts w:cs="Arial"/>
        </w:rPr>
        <w:t xml:space="preserve">los que </w:t>
      </w:r>
      <w:r w:rsidR="00F12226" w:rsidRPr="00111DC0">
        <w:rPr>
          <w:rFonts w:cs="Arial"/>
        </w:rPr>
        <w:t xml:space="preserve">pertenece </w:t>
      </w:r>
      <w:r w:rsidR="00450C36" w:rsidRPr="00111DC0">
        <w:rPr>
          <w:rFonts w:cs="Arial"/>
        </w:rPr>
        <w:t xml:space="preserve">prácticamente la mitad del personal de </w:t>
      </w:r>
      <w:r w:rsidR="00F12226" w:rsidRPr="00111DC0">
        <w:rPr>
          <w:rFonts w:cs="Arial"/>
        </w:rPr>
        <w:t>los Servicios Generales</w:t>
      </w:r>
      <w:r w:rsidR="00450C36" w:rsidRPr="00111DC0">
        <w:rPr>
          <w:rFonts w:cs="Arial"/>
        </w:rPr>
        <w:t xml:space="preserve">. </w:t>
      </w:r>
      <w:r w:rsidR="00B54C3E">
        <w:rPr>
          <w:rFonts w:cs="Arial"/>
          <w:b/>
          <w:bCs/>
        </w:rPr>
        <w:t>T</w:t>
      </w:r>
      <w:r w:rsidR="00B54C3E" w:rsidRPr="00111DC0">
        <w:rPr>
          <w:rFonts w:cs="Arial"/>
          <w:b/>
          <w:bCs/>
        </w:rPr>
        <w:t xml:space="preserve">odos </w:t>
      </w:r>
      <w:r w:rsidR="000F39B8">
        <w:rPr>
          <w:rFonts w:cs="Arial"/>
          <w:b/>
          <w:bCs/>
        </w:rPr>
        <w:t xml:space="preserve">ellos </w:t>
      </w:r>
      <w:r w:rsidR="00B54C3E" w:rsidRPr="00111DC0">
        <w:rPr>
          <w:rFonts w:cs="Arial"/>
          <w:b/>
          <w:bCs/>
        </w:rPr>
        <w:t>salvo el E guardan una proporción de mujeres mayor que la de hombres</w:t>
      </w:r>
      <w:r w:rsidR="000F39B8">
        <w:rPr>
          <w:rFonts w:cs="Arial"/>
          <w:b/>
          <w:bCs/>
        </w:rPr>
        <w:t xml:space="preserve"> </w:t>
      </w:r>
      <w:r w:rsidR="000F39B8" w:rsidRPr="000F39B8">
        <w:rPr>
          <w:rFonts w:cs="Arial"/>
          <w:b/>
          <w:bCs/>
        </w:rPr>
        <w:t>y están</w:t>
      </w:r>
      <w:r w:rsidR="00B54C3E" w:rsidRPr="000F39B8">
        <w:rPr>
          <w:rFonts w:cs="Arial"/>
          <w:b/>
          <w:bCs/>
        </w:rPr>
        <w:t xml:space="preserve"> cerca o dentro de la horquilla de la composición equilibrada</w:t>
      </w:r>
      <w:r w:rsidR="000F39B8">
        <w:rPr>
          <w:rFonts w:cs="Arial"/>
          <w:b/>
          <w:bCs/>
        </w:rPr>
        <w:t>.</w:t>
      </w:r>
      <w:r w:rsidR="00B54C3E">
        <w:rPr>
          <w:rFonts w:cs="Arial"/>
        </w:rPr>
        <w:t xml:space="preserve"> </w:t>
      </w:r>
    </w:p>
    <w:p w14:paraId="123A334A" w14:textId="77777777" w:rsidR="00A442AB" w:rsidRDefault="000548A4" w:rsidP="00A442AB">
      <w:r w:rsidRPr="00111DC0">
        <w:rPr>
          <w:noProof/>
          <w:lang w:eastAsia="es-ES"/>
        </w:rPr>
        <w:drawing>
          <wp:inline distT="0" distB="0" distL="0" distR="0" wp14:anchorId="101CE265" wp14:editId="2A3D5231">
            <wp:extent cx="5322498" cy="2553418"/>
            <wp:effectExtent l="0" t="0" r="0" b="0"/>
            <wp:docPr id="13" name="Gráfico 13"/>
            <wp:cNvGraphicFramePr/>
            <a:graphic xmlns:a="http://schemas.openxmlformats.org/drawingml/2006/main">
              <a:graphicData uri="http://schemas.openxmlformats.org/drawingml/2006/chart">
                <c:chart xmlns:c="http://schemas.openxmlformats.org/drawingml/2006/chart" r:id="rId29"/>
              </a:graphicData>
            </a:graphic>
          </wp:inline>
        </w:drawing>
      </w:r>
    </w:p>
    <w:p w14:paraId="4D733AD8" w14:textId="77777777" w:rsidR="00A442AB" w:rsidRDefault="00A442AB" w:rsidP="00A442AB"/>
    <w:p w14:paraId="7164FA4F" w14:textId="0AAD78E7" w:rsidR="00B54C3E" w:rsidRDefault="00B54C3E" w:rsidP="00B54C3E">
      <w:pPr>
        <w:rPr>
          <w:rFonts w:cs="Arial"/>
        </w:rPr>
      </w:pPr>
      <w:r>
        <w:rPr>
          <w:rFonts w:cs="Arial"/>
        </w:rPr>
        <w:t xml:space="preserve">Por otro lado, </w:t>
      </w:r>
      <w:r w:rsidRPr="00B54C3E">
        <w:rPr>
          <w:rFonts w:cs="Arial"/>
          <w:b/>
          <w:bCs/>
        </w:rPr>
        <w:t>la</w:t>
      </w:r>
      <w:r>
        <w:rPr>
          <w:rFonts w:cs="Arial"/>
        </w:rPr>
        <w:t xml:space="preserve"> </w:t>
      </w:r>
      <w:r w:rsidRPr="00111DC0">
        <w:rPr>
          <w:rFonts w:cs="Arial"/>
          <w:b/>
          <w:bCs/>
        </w:rPr>
        <w:t>concentración de empleados es comparativamente superior a la de empleadas en los grupos que requieren la más alta (Grupo A1) o la más baja (Grupo E) titulación</w:t>
      </w:r>
      <w:r w:rsidRPr="00111DC0">
        <w:rPr>
          <w:rFonts w:cs="Arial"/>
        </w:rPr>
        <w:t>.</w:t>
      </w:r>
      <w:r>
        <w:rPr>
          <w:rFonts w:cs="Arial"/>
        </w:rPr>
        <w:t xml:space="preserve"> </w:t>
      </w:r>
      <w:r w:rsidRPr="00B54C3E">
        <w:rPr>
          <w:rFonts w:cs="Arial"/>
        </w:rPr>
        <w:t>Las empleadas, por su parte, tienden a concentrarse mayoritariamente en los grupos que exigen una titulación intermedia,</w:t>
      </w:r>
      <w:r w:rsidRPr="00111DC0">
        <w:rPr>
          <w:rFonts w:cs="Arial"/>
        </w:rPr>
        <w:t xml:space="preserve"> en particular en los Grupos C1 y C2, en donde se concentra la mitad de las empleadas públicas (52%). </w:t>
      </w:r>
    </w:p>
    <w:p w14:paraId="76F3D3C5" w14:textId="7CBEBDA1" w:rsidR="00B92BBC" w:rsidRPr="00111DC0" w:rsidRDefault="00B92BBC" w:rsidP="00B51BBA">
      <w:pPr>
        <w:rPr>
          <w:rFonts w:cs="Arial"/>
        </w:rPr>
      </w:pPr>
      <w:r w:rsidRPr="00111DC0">
        <w:rPr>
          <w:rFonts w:cs="Arial"/>
          <w:noProof/>
          <w:color w:val="EA0000"/>
          <w:sz w:val="24"/>
          <w:szCs w:val="24"/>
          <w:lang w:eastAsia="es-ES"/>
        </w:rPr>
        <w:drawing>
          <wp:inline distT="0" distB="0" distL="0" distR="0" wp14:anchorId="5D5C4412" wp14:editId="7D4A6F77">
            <wp:extent cx="5349240" cy="2605177"/>
            <wp:effectExtent l="0" t="0" r="0" b="0"/>
            <wp:docPr id="18" name="Gráfico 18"/>
            <wp:cNvGraphicFramePr/>
            <a:graphic xmlns:a="http://schemas.openxmlformats.org/drawingml/2006/main">
              <a:graphicData uri="http://schemas.openxmlformats.org/drawingml/2006/chart">
                <c:chart xmlns:c="http://schemas.openxmlformats.org/drawingml/2006/chart" r:id="rId30"/>
              </a:graphicData>
            </a:graphic>
          </wp:inline>
        </w:drawing>
      </w:r>
    </w:p>
    <w:p w14:paraId="13097B48" w14:textId="23791BD5" w:rsidR="00B51BBA" w:rsidRPr="00111DC0" w:rsidRDefault="00B92BBC" w:rsidP="00530BE0">
      <w:pPr>
        <w:rPr>
          <w:rFonts w:cs="Arial"/>
        </w:rPr>
      </w:pPr>
      <w:r w:rsidRPr="00111DC0">
        <w:rPr>
          <w:rFonts w:cs="Arial"/>
        </w:rPr>
        <w:t>Est</w:t>
      </w:r>
      <w:r w:rsidR="003A2443" w:rsidRPr="00111DC0">
        <w:rPr>
          <w:rFonts w:cs="Arial"/>
        </w:rPr>
        <w:t xml:space="preserve">os </w:t>
      </w:r>
      <w:r w:rsidRPr="00111DC0">
        <w:rPr>
          <w:rFonts w:cs="Arial"/>
        </w:rPr>
        <w:t xml:space="preserve">datos </w:t>
      </w:r>
      <w:r w:rsidR="003A2443" w:rsidRPr="00111DC0">
        <w:rPr>
          <w:rFonts w:cs="Arial"/>
        </w:rPr>
        <w:t>son</w:t>
      </w:r>
      <w:r w:rsidRPr="00111DC0">
        <w:rPr>
          <w:rFonts w:cs="Arial"/>
        </w:rPr>
        <w:t xml:space="preserve"> particularmente interesante</w:t>
      </w:r>
      <w:r w:rsidR="003A2443" w:rsidRPr="00111DC0">
        <w:rPr>
          <w:rFonts w:cs="Arial"/>
        </w:rPr>
        <w:t>s</w:t>
      </w:r>
      <w:r w:rsidRPr="00111DC0">
        <w:rPr>
          <w:rFonts w:cs="Arial"/>
        </w:rPr>
        <w:t xml:space="preserve"> </w:t>
      </w:r>
      <w:r w:rsidR="0082775B" w:rsidRPr="00111DC0">
        <w:rPr>
          <w:rFonts w:cs="Arial"/>
        </w:rPr>
        <w:t>si se analizan</w:t>
      </w:r>
      <w:r w:rsidRPr="00111DC0">
        <w:rPr>
          <w:rFonts w:cs="Arial"/>
        </w:rPr>
        <w:t xml:space="preserve"> </w:t>
      </w:r>
      <w:r w:rsidR="00181F15" w:rsidRPr="00111DC0">
        <w:rPr>
          <w:rFonts w:cs="Arial"/>
        </w:rPr>
        <w:t>cruzados</w:t>
      </w:r>
      <w:r w:rsidRPr="00111DC0">
        <w:rPr>
          <w:rFonts w:cs="Arial"/>
        </w:rPr>
        <w:t xml:space="preserve"> con la variable </w:t>
      </w:r>
      <w:r w:rsidR="00B96272" w:rsidRPr="00111DC0">
        <w:rPr>
          <w:rFonts w:cs="Arial"/>
        </w:rPr>
        <w:t>“</w:t>
      </w:r>
      <w:r w:rsidR="0057051D" w:rsidRPr="00111DC0">
        <w:rPr>
          <w:rFonts w:cs="Arial"/>
        </w:rPr>
        <w:t>nivel de estudios</w:t>
      </w:r>
      <w:r w:rsidR="00B54C3E">
        <w:rPr>
          <w:rFonts w:cs="Arial"/>
        </w:rPr>
        <w:t>” para</w:t>
      </w:r>
      <w:r w:rsidR="0057051D" w:rsidRPr="00111DC0">
        <w:rPr>
          <w:rFonts w:cs="Arial"/>
        </w:rPr>
        <w:t xml:space="preserve"> obtener información sobre los comportamientos de las mujeres a la hora de acceder al empleo público y </w:t>
      </w:r>
      <w:r w:rsidR="00181F15" w:rsidRPr="00111DC0">
        <w:rPr>
          <w:rFonts w:cs="Arial"/>
        </w:rPr>
        <w:t xml:space="preserve">de </w:t>
      </w:r>
      <w:r w:rsidR="0057051D" w:rsidRPr="00111DC0">
        <w:rPr>
          <w:rFonts w:cs="Arial"/>
        </w:rPr>
        <w:t xml:space="preserve">desarrollar su carrera dentro del funcionariado. </w:t>
      </w:r>
      <w:r w:rsidR="00BB753E" w:rsidRPr="00111DC0">
        <w:rPr>
          <w:rFonts w:cs="Arial"/>
        </w:rPr>
        <w:t>Dado que en este diagnóstico no ha sido posible analizar</w:t>
      </w:r>
      <w:r w:rsidR="00F93AFB">
        <w:rPr>
          <w:rFonts w:cs="Arial"/>
        </w:rPr>
        <w:t xml:space="preserve">lo así, </w:t>
      </w:r>
      <w:r w:rsidR="00BB753E" w:rsidRPr="00111DC0">
        <w:rPr>
          <w:rFonts w:cs="Arial"/>
        </w:rPr>
        <w:t>se pl</w:t>
      </w:r>
      <w:r w:rsidR="00054331" w:rsidRPr="00111DC0">
        <w:rPr>
          <w:rFonts w:cs="Arial"/>
        </w:rPr>
        <w:t xml:space="preserve">antea como una nueva variable </w:t>
      </w:r>
      <w:r w:rsidR="00181F15" w:rsidRPr="00111DC0">
        <w:rPr>
          <w:rFonts w:cs="Arial"/>
        </w:rPr>
        <w:t>para ser tenida</w:t>
      </w:r>
      <w:r w:rsidR="00054331" w:rsidRPr="00111DC0">
        <w:rPr>
          <w:rFonts w:cs="Arial"/>
        </w:rPr>
        <w:t xml:space="preserve"> en cuenta en </w:t>
      </w:r>
      <w:r w:rsidR="00181F15" w:rsidRPr="00111DC0">
        <w:rPr>
          <w:rFonts w:cs="Arial"/>
        </w:rPr>
        <w:t xml:space="preserve">futuros </w:t>
      </w:r>
      <w:r w:rsidR="00F93AFB">
        <w:rPr>
          <w:rFonts w:cs="Arial"/>
        </w:rPr>
        <w:t>análisis,</w:t>
      </w:r>
      <w:r w:rsidR="00B54C3E">
        <w:rPr>
          <w:rFonts w:cs="Arial"/>
        </w:rPr>
        <w:t xml:space="preserve"> de modo que se pueda conocer si existe o no </w:t>
      </w:r>
      <w:proofErr w:type="spellStart"/>
      <w:r w:rsidR="00B54C3E">
        <w:rPr>
          <w:rFonts w:cs="Arial"/>
        </w:rPr>
        <w:t>sobrecualificación</w:t>
      </w:r>
      <w:proofErr w:type="spellEnd"/>
      <w:r w:rsidR="00B54C3E">
        <w:rPr>
          <w:rFonts w:cs="Arial"/>
        </w:rPr>
        <w:t xml:space="preserve"> femenina. </w:t>
      </w:r>
      <w:r w:rsidR="00054331" w:rsidRPr="00111DC0">
        <w:rPr>
          <w:rFonts w:cs="Arial"/>
        </w:rPr>
        <w:t xml:space="preserve"> </w:t>
      </w:r>
    </w:p>
    <w:p w14:paraId="7175DB3A" w14:textId="0E078AB1" w:rsidR="001F6D3D" w:rsidRDefault="00B54C3E" w:rsidP="008C53F4">
      <w:pPr>
        <w:rPr>
          <w:rFonts w:cs="Arial"/>
        </w:rPr>
      </w:pPr>
      <w:r>
        <w:rPr>
          <w:rFonts w:cs="Arial"/>
        </w:rPr>
        <w:t>En el</w:t>
      </w:r>
      <w:r w:rsidR="00FB524F" w:rsidRPr="00111DC0">
        <w:rPr>
          <w:rFonts w:cs="Arial"/>
        </w:rPr>
        <w:t xml:space="preserve"> personal funcionario docente </w:t>
      </w:r>
      <w:r w:rsidR="00D94F1D" w:rsidRPr="00111DC0">
        <w:rPr>
          <w:rFonts w:cs="Arial"/>
          <w:b/>
          <w:bCs/>
        </w:rPr>
        <w:t>tanto el Grupo A1 como el Grupo A2 cuentan con mayor presencia femenina</w:t>
      </w:r>
      <w:r w:rsidR="00465F1C">
        <w:rPr>
          <w:rFonts w:cs="Arial"/>
          <w:b/>
          <w:bCs/>
        </w:rPr>
        <w:t>, quedando muy por encima en el Grupo A2:</w:t>
      </w:r>
    </w:p>
    <w:p w14:paraId="23ED17D7" w14:textId="59B86646" w:rsidR="0002069A" w:rsidRPr="00111DC0" w:rsidRDefault="0002069A" w:rsidP="00A442AB">
      <w:r w:rsidRPr="00111DC0">
        <w:rPr>
          <w:noProof/>
          <w:lang w:eastAsia="es-ES"/>
        </w:rPr>
        <w:drawing>
          <wp:inline distT="0" distB="0" distL="0" distR="0" wp14:anchorId="12387D19" wp14:editId="318E1DB3">
            <wp:extent cx="5270740" cy="2398143"/>
            <wp:effectExtent l="0" t="0" r="0" b="0"/>
            <wp:docPr id="22" name="Gráfico 22"/>
            <wp:cNvGraphicFramePr/>
            <a:graphic xmlns:a="http://schemas.openxmlformats.org/drawingml/2006/main">
              <a:graphicData uri="http://schemas.openxmlformats.org/drawingml/2006/chart">
                <c:chart xmlns:c="http://schemas.openxmlformats.org/drawingml/2006/chart" r:id="rId31"/>
              </a:graphicData>
            </a:graphic>
          </wp:inline>
        </w:drawing>
      </w:r>
    </w:p>
    <w:p w14:paraId="0409AD24" w14:textId="7550532D" w:rsidR="008C53F4" w:rsidRDefault="008C53F4" w:rsidP="00A442AB"/>
    <w:p w14:paraId="7A307C41" w14:textId="137EE3FC" w:rsidR="00132E78" w:rsidRPr="00111DC0" w:rsidRDefault="003E5B5F" w:rsidP="003E5B5F">
      <w:pPr>
        <w:rPr>
          <w:rFonts w:cs="Arial"/>
        </w:rPr>
      </w:pPr>
      <w:r w:rsidRPr="00F93AFB">
        <w:rPr>
          <w:rFonts w:cs="Arial"/>
          <w:b/>
          <w:bCs/>
        </w:rPr>
        <w:t>La</w:t>
      </w:r>
      <w:r w:rsidR="00DC7AD1" w:rsidRPr="00F93AFB">
        <w:rPr>
          <w:rFonts w:cs="Arial"/>
          <w:b/>
          <w:bCs/>
        </w:rPr>
        <w:t xml:space="preserve"> feminización estructural del profesorado de los cursos de infantil y primari</w:t>
      </w:r>
      <w:r w:rsidRPr="00F93AFB">
        <w:rPr>
          <w:rFonts w:cs="Arial"/>
          <w:b/>
          <w:bCs/>
        </w:rPr>
        <w:t xml:space="preserve">a puede explicarse a partir de los </w:t>
      </w:r>
      <w:r w:rsidR="00DC7AD1" w:rsidRPr="00F93AFB">
        <w:rPr>
          <w:rFonts w:cs="Arial"/>
          <w:b/>
          <w:bCs/>
        </w:rPr>
        <w:t xml:space="preserve">efectos de los procesos de socialización marcados por </w:t>
      </w:r>
      <w:r w:rsidR="00A83B6E" w:rsidRPr="00F93AFB">
        <w:rPr>
          <w:rFonts w:cs="Arial"/>
          <w:b/>
          <w:bCs/>
        </w:rPr>
        <w:t>las normas de</w:t>
      </w:r>
      <w:r w:rsidR="00DC7AD1" w:rsidRPr="00F93AFB">
        <w:rPr>
          <w:rFonts w:cs="Arial"/>
          <w:b/>
          <w:bCs/>
        </w:rPr>
        <w:t xml:space="preserve"> género</w:t>
      </w:r>
      <w:r w:rsidR="006236B1" w:rsidRPr="00111DC0">
        <w:rPr>
          <w:rFonts w:cs="Arial"/>
        </w:rPr>
        <w:t xml:space="preserve"> </w:t>
      </w:r>
      <w:r w:rsidR="007E1BE4" w:rsidRPr="00111DC0">
        <w:rPr>
          <w:rFonts w:cs="Arial"/>
        </w:rPr>
        <w:t xml:space="preserve">que refuerzan o debilitan la asociación de mujeres y hombres con </w:t>
      </w:r>
      <w:r w:rsidR="006236B1" w:rsidRPr="00111DC0">
        <w:rPr>
          <w:rFonts w:cs="Arial"/>
        </w:rPr>
        <w:t>los cuidados</w:t>
      </w:r>
      <w:r w:rsidR="00DC7AD1" w:rsidRPr="00111DC0">
        <w:rPr>
          <w:rFonts w:cs="Arial"/>
        </w:rPr>
        <w:t xml:space="preserve">, la construcción de la subjetividad por medio de la </w:t>
      </w:r>
      <w:r w:rsidR="007E1BE4" w:rsidRPr="00111DC0">
        <w:rPr>
          <w:rFonts w:cs="Arial"/>
        </w:rPr>
        <w:t xml:space="preserve">identificación con </w:t>
      </w:r>
      <w:r w:rsidR="00DC7AD1" w:rsidRPr="00111DC0">
        <w:rPr>
          <w:rFonts w:cs="Arial"/>
        </w:rPr>
        <w:t>ref</w:t>
      </w:r>
      <w:r w:rsidR="007E1BE4" w:rsidRPr="00111DC0">
        <w:rPr>
          <w:rFonts w:cs="Arial"/>
        </w:rPr>
        <w:t>e</w:t>
      </w:r>
      <w:r w:rsidR="00DC7AD1" w:rsidRPr="00111DC0">
        <w:rPr>
          <w:rFonts w:cs="Arial"/>
        </w:rPr>
        <w:t>rentes</w:t>
      </w:r>
      <w:r w:rsidR="00DC1A28" w:rsidRPr="00111DC0">
        <w:rPr>
          <w:rFonts w:cs="Arial"/>
        </w:rPr>
        <w:t xml:space="preserve"> </w:t>
      </w:r>
      <w:proofErr w:type="spellStart"/>
      <w:r w:rsidR="00DC1A28" w:rsidRPr="00111DC0">
        <w:rPr>
          <w:rFonts w:cs="Arial"/>
        </w:rPr>
        <w:t>identitarios</w:t>
      </w:r>
      <w:proofErr w:type="spellEnd"/>
      <w:r w:rsidR="00DC7AD1" w:rsidRPr="00111DC0">
        <w:rPr>
          <w:rFonts w:cs="Arial"/>
        </w:rPr>
        <w:t xml:space="preserve"> y otros aspectos psicológicos como </w:t>
      </w:r>
      <w:r w:rsidR="006236B1" w:rsidRPr="00111DC0">
        <w:rPr>
          <w:rFonts w:cs="Arial"/>
        </w:rPr>
        <w:t xml:space="preserve">las expectativas de género </w:t>
      </w:r>
      <w:r w:rsidR="007E1BE4" w:rsidRPr="00111DC0">
        <w:rPr>
          <w:rFonts w:cs="Arial"/>
        </w:rPr>
        <w:t>o</w:t>
      </w:r>
      <w:r w:rsidR="006236B1" w:rsidRPr="00111DC0">
        <w:rPr>
          <w:rFonts w:cs="Arial"/>
        </w:rPr>
        <w:t xml:space="preserve"> </w:t>
      </w:r>
      <w:r w:rsidR="00DC7AD1" w:rsidRPr="00111DC0">
        <w:rPr>
          <w:rFonts w:cs="Arial"/>
        </w:rPr>
        <w:t xml:space="preserve">la influencia de los sesgos </w:t>
      </w:r>
      <w:r w:rsidR="00DC1A28" w:rsidRPr="00111DC0">
        <w:rPr>
          <w:rFonts w:cs="Arial"/>
        </w:rPr>
        <w:t>cognitivos</w:t>
      </w:r>
      <w:r w:rsidR="007E1BE4" w:rsidRPr="00111DC0">
        <w:rPr>
          <w:rFonts w:cs="Arial"/>
        </w:rPr>
        <w:t xml:space="preserve"> </w:t>
      </w:r>
      <w:r w:rsidR="00DC7AD1" w:rsidRPr="00111DC0">
        <w:rPr>
          <w:rFonts w:cs="Arial"/>
        </w:rPr>
        <w:t xml:space="preserve">en la </w:t>
      </w:r>
      <w:r w:rsidR="007E1BE4" w:rsidRPr="00111DC0">
        <w:rPr>
          <w:rFonts w:cs="Arial"/>
        </w:rPr>
        <w:t xml:space="preserve">orientación </w:t>
      </w:r>
      <w:r w:rsidR="00DC7AD1" w:rsidRPr="00111DC0">
        <w:rPr>
          <w:rFonts w:cs="Arial"/>
        </w:rPr>
        <w:t>formativa</w:t>
      </w:r>
      <w:r w:rsidR="006236B1" w:rsidRPr="00111DC0">
        <w:rPr>
          <w:rFonts w:cs="Arial"/>
        </w:rPr>
        <w:t xml:space="preserve">. </w:t>
      </w:r>
    </w:p>
    <w:p w14:paraId="72F951F3" w14:textId="59465DD6" w:rsidR="003E5B5F" w:rsidRDefault="006236B1" w:rsidP="003E5B5F">
      <w:pPr>
        <w:rPr>
          <w:rFonts w:cs="Arial"/>
        </w:rPr>
      </w:pPr>
      <w:r w:rsidRPr="00111DC0">
        <w:rPr>
          <w:rFonts w:cs="Arial"/>
        </w:rPr>
        <w:t>Además</w:t>
      </w:r>
      <w:r w:rsidR="003E5B5F">
        <w:rPr>
          <w:rFonts w:cs="Arial"/>
        </w:rPr>
        <w:t xml:space="preserve">, </w:t>
      </w:r>
      <w:r w:rsidR="003E5B5F" w:rsidRPr="00F93AFB">
        <w:rPr>
          <w:rFonts w:cs="Arial"/>
        </w:rPr>
        <w:t>aunque el número de mujeres siga siendo mayor entre el profesorado de cualquiera de los dos Grupos, correlativamente</w:t>
      </w:r>
      <w:r w:rsidR="003E5B5F" w:rsidRPr="00111DC0">
        <w:rPr>
          <w:rFonts w:cs="Arial"/>
          <w:b/>
          <w:bCs/>
        </w:rPr>
        <w:t xml:space="preserve"> la concentración de hombres es mayor en el Grupo A1.</w:t>
      </w:r>
      <w:r w:rsidR="003E5B5F" w:rsidRPr="00111DC0">
        <w:rPr>
          <w:rFonts w:cs="Arial"/>
        </w:rPr>
        <w:t xml:space="preserve"> Esta circunstancia es importante ya que funciona como un elemento generador de brechas en otros ámbitos, como el de las retribuciones. </w:t>
      </w:r>
    </w:p>
    <w:p w14:paraId="19ED8EED" w14:textId="34162BE7" w:rsidR="0002069A" w:rsidRPr="00111DC0" w:rsidRDefault="0002069A" w:rsidP="00A442AB">
      <w:r w:rsidRPr="00111DC0">
        <w:rPr>
          <w:noProof/>
          <w:lang w:eastAsia="es-ES"/>
        </w:rPr>
        <w:drawing>
          <wp:inline distT="0" distB="0" distL="0" distR="0" wp14:anchorId="53D7CA50" wp14:editId="1AAD07F5">
            <wp:extent cx="5339751" cy="2587925"/>
            <wp:effectExtent l="0" t="0" r="0" b="0"/>
            <wp:docPr id="23" name="Gráfico 23"/>
            <wp:cNvGraphicFramePr/>
            <a:graphic xmlns:a="http://schemas.openxmlformats.org/drawingml/2006/main">
              <a:graphicData uri="http://schemas.openxmlformats.org/drawingml/2006/chart">
                <c:chart xmlns:c="http://schemas.openxmlformats.org/drawingml/2006/chart" r:id="rId32"/>
              </a:graphicData>
            </a:graphic>
          </wp:inline>
        </w:drawing>
      </w:r>
    </w:p>
    <w:p w14:paraId="042D691B" w14:textId="77777777" w:rsidR="00216954" w:rsidRPr="00111DC0" w:rsidRDefault="00216954" w:rsidP="00DE69A1">
      <w:pPr>
        <w:pStyle w:val="Ttulo4"/>
        <w:rPr>
          <w:rFonts w:cs="Arial"/>
        </w:rPr>
      </w:pPr>
      <w:r w:rsidRPr="00111DC0">
        <w:rPr>
          <w:rFonts w:cs="Arial"/>
        </w:rPr>
        <w:t>Personal laboral</w:t>
      </w:r>
    </w:p>
    <w:p w14:paraId="1600A11E" w14:textId="4337291C" w:rsidR="002D08E8" w:rsidRPr="002D08E8" w:rsidRDefault="002D08E8" w:rsidP="00A442AB">
      <w:r>
        <w:rPr>
          <w:rFonts w:cs="Arial"/>
          <w:b/>
          <w:bCs/>
        </w:rPr>
        <w:t>L</w:t>
      </w:r>
      <w:r w:rsidRPr="00111DC0">
        <w:rPr>
          <w:rFonts w:cs="Arial"/>
          <w:b/>
          <w:bCs/>
        </w:rPr>
        <w:t>a brecha de empleadas y empleados se amplía a medida que se desciende en el Grupo de clasificación</w:t>
      </w:r>
      <w:r w:rsidR="00F93AFB">
        <w:rPr>
          <w:rFonts w:cs="Arial"/>
        </w:rPr>
        <w:t>:</w:t>
      </w:r>
      <w:r>
        <w:rPr>
          <w:rFonts w:cs="Arial"/>
        </w:rPr>
        <w:t xml:space="preserve"> </w:t>
      </w:r>
    </w:p>
    <w:p w14:paraId="3CB8C4D0" w14:textId="77777777" w:rsidR="008C53F4" w:rsidRDefault="00DD774A" w:rsidP="008C53F4">
      <w:pPr>
        <w:rPr>
          <w:rFonts w:eastAsiaTheme="majorEastAsia"/>
          <w:snapToGrid w:val="0"/>
          <w:color w:val="78BE20"/>
          <w:szCs w:val="26"/>
        </w:rPr>
      </w:pPr>
      <w:r w:rsidRPr="00111DC0">
        <w:rPr>
          <w:noProof/>
          <w:lang w:eastAsia="es-ES"/>
        </w:rPr>
        <w:drawing>
          <wp:inline distT="0" distB="0" distL="0" distR="0" wp14:anchorId="4D1991F9" wp14:editId="15AD00F2">
            <wp:extent cx="5349240" cy="2766252"/>
            <wp:effectExtent l="0" t="0" r="0" b="0"/>
            <wp:docPr id="16" name="Gráfico 16"/>
            <wp:cNvGraphicFramePr/>
            <a:graphic xmlns:a="http://schemas.openxmlformats.org/drawingml/2006/main">
              <a:graphicData uri="http://schemas.openxmlformats.org/drawingml/2006/chart">
                <c:chart xmlns:c="http://schemas.openxmlformats.org/drawingml/2006/chart" r:id="rId33"/>
              </a:graphicData>
            </a:graphic>
          </wp:inline>
        </w:drawing>
      </w:r>
    </w:p>
    <w:p w14:paraId="66B10A8A" w14:textId="77777777" w:rsidR="002D08E8" w:rsidRDefault="002D08E8" w:rsidP="001236C0">
      <w:pPr>
        <w:rPr>
          <w:rFonts w:cs="Arial"/>
        </w:rPr>
      </w:pPr>
    </w:p>
    <w:p w14:paraId="03A72A1E" w14:textId="762A875F" w:rsidR="000C2649" w:rsidRPr="00111DC0" w:rsidRDefault="009D4D33" w:rsidP="001236C0">
      <w:pPr>
        <w:rPr>
          <w:rFonts w:cs="Arial"/>
        </w:rPr>
      </w:pPr>
      <w:r w:rsidRPr="00111DC0">
        <w:rPr>
          <w:rFonts w:cs="Arial"/>
          <w:b/>
          <w:bCs/>
        </w:rPr>
        <w:t xml:space="preserve">Los </w:t>
      </w:r>
      <w:r w:rsidR="00CB5CE2" w:rsidRPr="00111DC0">
        <w:rPr>
          <w:rFonts w:cs="Arial"/>
          <w:b/>
          <w:bCs/>
        </w:rPr>
        <w:t xml:space="preserve">datos ponen </w:t>
      </w:r>
      <w:r w:rsidR="00515011" w:rsidRPr="00111DC0">
        <w:rPr>
          <w:rFonts w:cs="Arial"/>
          <w:b/>
          <w:bCs/>
        </w:rPr>
        <w:t xml:space="preserve">de manifiesto la masculinización de los puestos que exigen una formación reglada </w:t>
      </w:r>
      <w:r w:rsidR="009368B5" w:rsidRPr="00111DC0">
        <w:rPr>
          <w:rFonts w:cs="Arial"/>
          <w:b/>
          <w:bCs/>
        </w:rPr>
        <w:t>más</w:t>
      </w:r>
      <w:r w:rsidR="00515011" w:rsidRPr="00111DC0">
        <w:rPr>
          <w:rFonts w:cs="Arial"/>
          <w:b/>
          <w:bCs/>
        </w:rPr>
        <w:t xml:space="preserve"> alta, </w:t>
      </w:r>
      <w:r w:rsidR="00515011" w:rsidRPr="00111DC0">
        <w:rPr>
          <w:rFonts w:cs="Arial"/>
        </w:rPr>
        <w:t xml:space="preserve">en </w:t>
      </w:r>
      <w:r w:rsidR="009368B5" w:rsidRPr="00111DC0">
        <w:rPr>
          <w:rFonts w:cs="Arial"/>
        </w:rPr>
        <w:t>un contexto laboral</w:t>
      </w:r>
      <w:r w:rsidR="00515011" w:rsidRPr="00111DC0">
        <w:rPr>
          <w:rFonts w:cs="Arial"/>
        </w:rPr>
        <w:t xml:space="preserve"> en el que la presencia global de mujeres está por encima de la </w:t>
      </w:r>
      <w:r w:rsidR="00D70822" w:rsidRPr="00111DC0">
        <w:rPr>
          <w:rFonts w:cs="Arial"/>
        </w:rPr>
        <w:t xml:space="preserve">de </w:t>
      </w:r>
      <w:r w:rsidR="00515011" w:rsidRPr="00111DC0">
        <w:rPr>
          <w:rFonts w:cs="Arial"/>
        </w:rPr>
        <w:t xml:space="preserve">hombres. </w:t>
      </w:r>
      <w:r w:rsidR="00CB5CE2" w:rsidRPr="00111DC0">
        <w:rPr>
          <w:rFonts w:cs="Arial"/>
        </w:rPr>
        <w:t xml:space="preserve">Así, </w:t>
      </w:r>
      <w:r w:rsidR="00910DFE">
        <w:rPr>
          <w:rFonts w:cs="Arial"/>
        </w:rPr>
        <w:t>igual que para</w:t>
      </w:r>
      <w:r w:rsidR="00CB5CE2" w:rsidRPr="00111DC0">
        <w:rPr>
          <w:rFonts w:cs="Arial"/>
        </w:rPr>
        <w:t xml:space="preserve"> los Servicios Generales, </w:t>
      </w:r>
      <w:r w:rsidR="006A7AA1" w:rsidRPr="00111DC0">
        <w:rPr>
          <w:rFonts w:cs="Arial"/>
        </w:rPr>
        <w:t xml:space="preserve">sería conveniente </w:t>
      </w:r>
      <w:r w:rsidRPr="00111DC0">
        <w:rPr>
          <w:rFonts w:cs="Arial"/>
        </w:rPr>
        <w:t xml:space="preserve">afinar la mirada cruzando los </w:t>
      </w:r>
      <w:r w:rsidR="006A7AA1" w:rsidRPr="00111DC0">
        <w:rPr>
          <w:rFonts w:cs="Arial"/>
        </w:rPr>
        <w:t xml:space="preserve">datos </w:t>
      </w:r>
      <w:r w:rsidRPr="00111DC0">
        <w:rPr>
          <w:rFonts w:cs="Arial"/>
        </w:rPr>
        <w:t xml:space="preserve">de presencia </w:t>
      </w:r>
      <w:r w:rsidR="006A7AA1" w:rsidRPr="00111DC0">
        <w:rPr>
          <w:rFonts w:cs="Arial"/>
        </w:rPr>
        <w:t xml:space="preserve">con el nivel de estudios real de la plantilla, de manera que -en caso de existir- pudiera detectarse una posible realidad de </w:t>
      </w:r>
      <w:proofErr w:type="spellStart"/>
      <w:r w:rsidR="006A7AA1" w:rsidRPr="00111DC0">
        <w:rPr>
          <w:rFonts w:cs="Arial"/>
        </w:rPr>
        <w:t>sobrecualificación</w:t>
      </w:r>
      <w:proofErr w:type="spellEnd"/>
      <w:r w:rsidR="006A7AA1" w:rsidRPr="00111DC0">
        <w:rPr>
          <w:rFonts w:cs="Arial"/>
        </w:rPr>
        <w:t xml:space="preserve"> femenina</w:t>
      </w:r>
      <w:r w:rsidR="001912F0" w:rsidRPr="00111DC0">
        <w:rPr>
          <w:rFonts w:cs="Arial"/>
        </w:rPr>
        <w:t>, y tratar de atajarla</w:t>
      </w:r>
      <w:r w:rsidR="006A7AA1" w:rsidRPr="00111DC0">
        <w:rPr>
          <w:rFonts w:cs="Arial"/>
        </w:rPr>
        <w:t xml:space="preserve">. </w:t>
      </w:r>
    </w:p>
    <w:p w14:paraId="4353AC9E" w14:textId="4B78408F" w:rsidR="008C53F4" w:rsidRDefault="008C53F4" w:rsidP="002A47E6">
      <w:pPr>
        <w:rPr>
          <w:snapToGrid w:val="0"/>
        </w:rPr>
      </w:pPr>
    </w:p>
    <w:p w14:paraId="108E5826" w14:textId="768D293D" w:rsidR="0038524E" w:rsidRPr="00111DC0" w:rsidRDefault="00355755" w:rsidP="004B6A1B">
      <w:pPr>
        <w:pStyle w:val="Ttulo3"/>
        <w:rPr>
          <w:rFonts w:cs="Arial"/>
        </w:rPr>
      </w:pPr>
      <w:r w:rsidRPr="00111DC0">
        <w:rPr>
          <w:rFonts w:cs="Arial"/>
        </w:rPr>
        <w:t xml:space="preserve">Nivel </w:t>
      </w:r>
    </w:p>
    <w:p w14:paraId="2C3AD7D6" w14:textId="60BD2CCE" w:rsidR="00216954" w:rsidRPr="00111DC0" w:rsidRDefault="00216954" w:rsidP="00DE69A1">
      <w:pPr>
        <w:pStyle w:val="Ttulo4"/>
        <w:rPr>
          <w:rFonts w:cs="Arial"/>
        </w:rPr>
      </w:pPr>
      <w:r w:rsidRPr="00111DC0">
        <w:rPr>
          <w:rFonts w:cs="Arial"/>
        </w:rPr>
        <w:t>Personal funcionario</w:t>
      </w:r>
    </w:p>
    <w:p w14:paraId="6E75590B" w14:textId="3A7B8FC9" w:rsidR="004977D0" w:rsidRPr="00111DC0" w:rsidRDefault="00A30493" w:rsidP="00111DC0">
      <w:pPr>
        <w:rPr>
          <w:rFonts w:cs="Arial"/>
        </w:rPr>
      </w:pPr>
      <w:r w:rsidRPr="00111DC0">
        <w:rPr>
          <w:rFonts w:cs="Arial"/>
          <w:b/>
          <w:bCs/>
        </w:rPr>
        <w:t xml:space="preserve">La mayor parte del personal funcionario de carrera e interino a la vacante está agrupado en los </w:t>
      </w:r>
      <w:r w:rsidR="00E33458" w:rsidRPr="00111DC0">
        <w:rPr>
          <w:rFonts w:cs="Arial"/>
          <w:b/>
          <w:bCs/>
        </w:rPr>
        <w:t>N</w:t>
      </w:r>
      <w:r w:rsidRPr="00111DC0">
        <w:rPr>
          <w:rFonts w:cs="Arial"/>
          <w:b/>
          <w:bCs/>
        </w:rPr>
        <w:t xml:space="preserve">iveles 15 </w:t>
      </w:r>
      <w:r w:rsidR="00BF5094" w:rsidRPr="00111DC0">
        <w:rPr>
          <w:rFonts w:cs="Arial"/>
          <w:b/>
          <w:bCs/>
        </w:rPr>
        <w:t>y 17</w:t>
      </w:r>
      <w:r w:rsidR="0098323B" w:rsidRPr="00111DC0">
        <w:rPr>
          <w:rFonts w:cs="Arial"/>
          <w:b/>
          <w:bCs/>
        </w:rPr>
        <w:t xml:space="preserve"> </w:t>
      </w:r>
      <w:r w:rsidR="0098323B" w:rsidRPr="00111DC0">
        <w:rPr>
          <w:rFonts w:cs="Arial"/>
        </w:rPr>
        <w:t>(no se tiene en cuenta al personal interino por sustituciones)</w:t>
      </w:r>
      <w:r w:rsidR="00BF5094" w:rsidRPr="00111DC0">
        <w:rPr>
          <w:rFonts w:cs="Arial"/>
        </w:rPr>
        <w:t xml:space="preserve">. </w:t>
      </w:r>
      <w:r w:rsidR="0098323B" w:rsidRPr="00111DC0">
        <w:rPr>
          <w:rFonts w:cs="Arial"/>
        </w:rPr>
        <w:t>Como en cualquier jerarquía corporativa, l</w:t>
      </w:r>
      <w:r w:rsidR="00FA1770" w:rsidRPr="00111DC0">
        <w:rPr>
          <w:rFonts w:cs="Arial"/>
        </w:rPr>
        <w:t>os ni</w:t>
      </w:r>
      <w:r w:rsidR="00D70822" w:rsidRPr="00111DC0">
        <w:rPr>
          <w:rFonts w:cs="Arial"/>
        </w:rPr>
        <w:t>v</w:t>
      </w:r>
      <w:r w:rsidR="00FA1770" w:rsidRPr="00111DC0">
        <w:rPr>
          <w:rFonts w:cs="Arial"/>
        </w:rPr>
        <w:t>eles más altos cuentan con una densidad menor de población.</w:t>
      </w:r>
      <w:r w:rsidR="00FA1770" w:rsidRPr="00111DC0">
        <w:rPr>
          <w:rFonts w:cs="Arial"/>
          <w:b/>
          <w:bCs/>
        </w:rPr>
        <w:t xml:space="preserve"> </w:t>
      </w:r>
      <w:r w:rsidR="0098323B" w:rsidRPr="00111DC0">
        <w:rPr>
          <w:rFonts w:cs="Arial"/>
        </w:rPr>
        <w:t xml:space="preserve">Atendiendo a </w:t>
      </w:r>
      <w:r w:rsidR="006C6A45" w:rsidRPr="00111DC0">
        <w:rPr>
          <w:rFonts w:cs="Arial"/>
        </w:rPr>
        <w:t>las particularidades de empleadas y empleados</w:t>
      </w:r>
      <w:r w:rsidR="0098323B" w:rsidRPr="00111DC0">
        <w:rPr>
          <w:rFonts w:cs="Arial"/>
        </w:rPr>
        <w:t xml:space="preserve">, </w:t>
      </w:r>
      <w:r w:rsidR="00FA1770" w:rsidRPr="00111DC0">
        <w:rPr>
          <w:rFonts w:cs="Arial"/>
        </w:rPr>
        <w:t xml:space="preserve">se produce una disminución progresiva de la distancia </w:t>
      </w:r>
      <w:r w:rsidR="006C6A45" w:rsidRPr="00111DC0">
        <w:rPr>
          <w:rFonts w:cs="Arial"/>
        </w:rPr>
        <w:t xml:space="preserve">entre mujeres y hombres </w:t>
      </w:r>
      <w:r w:rsidR="00FA1770" w:rsidRPr="00111DC0">
        <w:rPr>
          <w:rFonts w:cs="Arial"/>
        </w:rPr>
        <w:t>a medida que se asciende en el nivel de carrera.</w:t>
      </w:r>
      <w:r w:rsidR="004977D0" w:rsidRPr="00111DC0">
        <w:rPr>
          <w:rFonts w:cs="Arial"/>
        </w:rPr>
        <w:t xml:space="preserve"> </w:t>
      </w:r>
    </w:p>
    <w:p w14:paraId="7900DDA1" w14:textId="06C90FFB" w:rsidR="00A30493" w:rsidRPr="00111DC0" w:rsidRDefault="004977D0" w:rsidP="00A442AB">
      <w:r w:rsidRPr="00111DC0">
        <w:rPr>
          <w:rFonts w:cs="Arial"/>
        </w:rPr>
        <w:t xml:space="preserve">Esta disminución sucede como consecuencia del </w:t>
      </w:r>
      <w:r w:rsidRPr="00111DC0">
        <w:rPr>
          <w:rFonts w:cs="Arial"/>
          <w:b/>
          <w:bCs/>
        </w:rPr>
        <w:t>incremento relativo de empleados y consiguiente pérdida relativa de plantilla femenina en los niveles más altos del funcionariado</w:t>
      </w:r>
      <w:r w:rsidR="002D08E8">
        <w:rPr>
          <w:rFonts w:cs="Arial"/>
          <w:b/>
          <w:bCs/>
        </w:rPr>
        <w:t>:</w:t>
      </w:r>
    </w:p>
    <w:tbl>
      <w:tblPr>
        <w:tblStyle w:val="Tablaconcuadrcula"/>
        <w:tblW w:w="4938" w:type="pct"/>
        <w:tblInd w:w="108" w:type="dxa"/>
        <w:tblLook w:val="04A0" w:firstRow="1" w:lastRow="0" w:firstColumn="1" w:lastColumn="0" w:noHBand="0" w:noVBand="1"/>
      </w:tblPr>
      <w:tblGrid>
        <w:gridCol w:w="2048"/>
        <w:gridCol w:w="2181"/>
        <w:gridCol w:w="2232"/>
        <w:gridCol w:w="2151"/>
      </w:tblGrid>
      <w:tr w:rsidR="00AE6492" w:rsidRPr="00111DC0" w14:paraId="58E6D033" w14:textId="6087454E" w:rsidTr="001118E8">
        <w:trPr>
          <w:trHeight w:val="538"/>
        </w:trPr>
        <w:tc>
          <w:tcPr>
            <w:tcW w:w="5000" w:type="pct"/>
            <w:gridSpan w:val="4"/>
            <w:tcBorders>
              <w:top w:val="double" w:sz="4" w:space="0" w:color="auto"/>
              <w:left w:val="double" w:sz="4" w:space="0" w:color="auto"/>
              <w:right w:val="double" w:sz="4" w:space="0" w:color="auto"/>
            </w:tcBorders>
            <w:shd w:val="clear" w:color="auto" w:fill="78BE20"/>
            <w:vAlign w:val="center"/>
          </w:tcPr>
          <w:p w14:paraId="467556F6" w14:textId="51272327" w:rsidR="00E4692D" w:rsidRPr="00111DC0" w:rsidRDefault="00AE6492" w:rsidP="00F35A3A">
            <w:pPr>
              <w:widowControl w:val="0"/>
              <w:spacing w:before="0" w:after="0" w:line="240" w:lineRule="auto"/>
              <w:jc w:val="left"/>
              <w:rPr>
                <w:rFonts w:cs="Arial"/>
                <w:b/>
                <w:bCs/>
                <w:color w:val="FFFFFF" w:themeColor="background1"/>
                <w:szCs w:val="20"/>
              </w:rPr>
            </w:pPr>
            <w:r w:rsidRPr="00111DC0">
              <w:rPr>
                <w:rFonts w:cs="Arial"/>
                <w:b/>
                <w:bCs/>
                <w:color w:val="FFFFFF" w:themeColor="background1"/>
                <w:szCs w:val="20"/>
              </w:rPr>
              <w:t xml:space="preserve">Tabla </w:t>
            </w:r>
            <w:r w:rsidR="00F35A3A" w:rsidRPr="00111DC0">
              <w:rPr>
                <w:rFonts w:cs="Arial"/>
                <w:b/>
                <w:bCs/>
                <w:color w:val="FFFFFF" w:themeColor="background1"/>
                <w:szCs w:val="20"/>
              </w:rPr>
              <w:t>3</w:t>
            </w:r>
            <w:r w:rsidRPr="00111DC0">
              <w:rPr>
                <w:rFonts w:cs="Arial"/>
                <w:b/>
                <w:bCs/>
                <w:color w:val="FFFFFF" w:themeColor="background1"/>
                <w:szCs w:val="20"/>
              </w:rPr>
              <w:t>. Distribución por sexo y nivel</w:t>
            </w:r>
            <w:r w:rsidR="00E4692D" w:rsidRPr="00111DC0">
              <w:rPr>
                <w:rFonts w:cs="Arial"/>
                <w:b/>
                <w:bCs/>
                <w:color w:val="FFFFFF" w:themeColor="background1"/>
                <w:szCs w:val="20"/>
              </w:rPr>
              <w:t xml:space="preserve"> del personal funcionario</w:t>
            </w:r>
          </w:p>
          <w:p w14:paraId="43B02E23" w14:textId="4FC7518A" w:rsidR="00AE6492" w:rsidRPr="00111DC0" w:rsidRDefault="00AE6492" w:rsidP="00F35A3A">
            <w:pPr>
              <w:widowControl w:val="0"/>
              <w:spacing w:before="0" w:after="0" w:line="240" w:lineRule="auto"/>
              <w:jc w:val="left"/>
              <w:rPr>
                <w:rFonts w:eastAsiaTheme="majorEastAsia" w:cs="Arial"/>
                <w:b/>
                <w:bCs/>
                <w:snapToGrid w:val="0"/>
                <w:color w:val="78BE20"/>
                <w:szCs w:val="26"/>
              </w:rPr>
            </w:pPr>
            <w:r w:rsidRPr="00111DC0">
              <w:rPr>
                <w:rFonts w:cs="Arial"/>
                <w:color w:val="FFFFFF" w:themeColor="background1"/>
                <w:szCs w:val="20"/>
              </w:rPr>
              <w:t>(Servicios Generales)</w:t>
            </w:r>
          </w:p>
        </w:tc>
      </w:tr>
      <w:tr w:rsidR="00AE6492" w:rsidRPr="00111DC0" w14:paraId="6DBF1782" w14:textId="77777777" w:rsidTr="001118E8">
        <w:trPr>
          <w:trHeight w:val="278"/>
        </w:trPr>
        <w:tc>
          <w:tcPr>
            <w:tcW w:w="1189" w:type="pct"/>
            <w:tcBorders>
              <w:top w:val="double" w:sz="4" w:space="0" w:color="auto"/>
              <w:left w:val="double" w:sz="4" w:space="0" w:color="auto"/>
              <w:bottom w:val="double" w:sz="4" w:space="0" w:color="auto"/>
              <w:right w:val="double" w:sz="4" w:space="0" w:color="auto"/>
            </w:tcBorders>
            <w:vAlign w:val="center"/>
          </w:tcPr>
          <w:p w14:paraId="29CE2C6A" w14:textId="273E4AE4" w:rsidR="00AE6492" w:rsidRPr="00111DC0" w:rsidRDefault="006C5FC2" w:rsidP="00F35A3A">
            <w:pPr>
              <w:spacing w:before="0" w:after="0" w:line="259"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GRUPO</w:t>
            </w:r>
          </w:p>
        </w:tc>
        <w:tc>
          <w:tcPr>
            <w:tcW w:w="1266" w:type="pct"/>
            <w:tcBorders>
              <w:top w:val="double" w:sz="4" w:space="0" w:color="auto"/>
              <w:left w:val="double" w:sz="4" w:space="0" w:color="auto"/>
              <w:bottom w:val="double" w:sz="4" w:space="0" w:color="auto"/>
              <w:right w:val="double" w:sz="4" w:space="0" w:color="auto"/>
            </w:tcBorders>
            <w:vAlign w:val="center"/>
          </w:tcPr>
          <w:p w14:paraId="658AA9F5" w14:textId="2BFECFDF" w:rsidR="00AE6492" w:rsidRPr="00111DC0" w:rsidRDefault="006C5FC2" w:rsidP="00F35A3A">
            <w:pPr>
              <w:spacing w:before="0" w:after="0" w:line="259"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NIVEL</w:t>
            </w:r>
          </w:p>
        </w:tc>
        <w:tc>
          <w:tcPr>
            <w:tcW w:w="1296" w:type="pct"/>
            <w:tcBorders>
              <w:top w:val="double" w:sz="4" w:space="0" w:color="auto"/>
              <w:left w:val="double" w:sz="4" w:space="0" w:color="auto"/>
              <w:bottom w:val="double" w:sz="4" w:space="0" w:color="auto"/>
              <w:right w:val="double" w:sz="4" w:space="0" w:color="auto"/>
            </w:tcBorders>
            <w:vAlign w:val="center"/>
          </w:tcPr>
          <w:p w14:paraId="13A718D6" w14:textId="13F9B325" w:rsidR="00AE6492" w:rsidRPr="00111DC0" w:rsidRDefault="00AE6492" w:rsidP="00F35A3A">
            <w:pPr>
              <w:widowControl w:val="0"/>
              <w:spacing w:before="0" w:after="0" w:line="240" w:lineRule="auto"/>
              <w:jc w:val="center"/>
              <w:rPr>
                <w:rFonts w:eastAsiaTheme="majorEastAsia" w:cs="Arial"/>
                <w:b/>
                <w:bCs/>
                <w:snapToGrid w:val="0"/>
                <w:color w:val="78BE20"/>
                <w:szCs w:val="26"/>
              </w:rPr>
            </w:pPr>
            <w:r w:rsidRPr="00111DC0">
              <w:rPr>
                <w:rFonts w:cs="Arial"/>
                <w:b/>
                <w:bCs/>
                <w:sz w:val="20"/>
                <w:szCs w:val="18"/>
              </w:rPr>
              <w:t>MUJERES</w:t>
            </w:r>
          </w:p>
        </w:tc>
        <w:tc>
          <w:tcPr>
            <w:tcW w:w="1249" w:type="pct"/>
            <w:tcBorders>
              <w:top w:val="double" w:sz="4" w:space="0" w:color="auto"/>
              <w:left w:val="double" w:sz="4" w:space="0" w:color="auto"/>
              <w:bottom w:val="double" w:sz="4" w:space="0" w:color="auto"/>
              <w:right w:val="double" w:sz="4" w:space="0" w:color="auto"/>
            </w:tcBorders>
            <w:vAlign w:val="center"/>
          </w:tcPr>
          <w:p w14:paraId="0C7094C0" w14:textId="50E6BCFF" w:rsidR="00AE6492" w:rsidRPr="00111DC0" w:rsidRDefault="00AE6492" w:rsidP="00F35A3A">
            <w:pPr>
              <w:widowControl w:val="0"/>
              <w:spacing w:before="0" w:after="0" w:line="240" w:lineRule="auto"/>
              <w:jc w:val="center"/>
              <w:rPr>
                <w:rFonts w:eastAsiaTheme="majorEastAsia" w:cs="Arial"/>
                <w:b/>
                <w:bCs/>
                <w:snapToGrid w:val="0"/>
                <w:color w:val="78BE20"/>
                <w:szCs w:val="26"/>
              </w:rPr>
            </w:pPr>
            <w:r w:rsidRPr="00111DC0">
              <w:rPr>
                <w:rFonts w:cs="Arial"/>
                <w:b/>
                <w:bCs/>
                <w:sz w:val="20"/>
                <w:szCs w:val="18"/>
              </w:rPr>
              <w:t>HOMBRES</w:t>
            </w:r>
          </w:p>
        </w:tc>
      </w:tr>
      <w:tr w:rsidR="00AE6492" w:rsidRPr="00111DC0" w14:paraId="6A1C4FE6" w14:textId="77777777" w:rsidTr="0038508D">
        <w:tc>
          <w:tcPr>
            <w:tcW w:w="1189" w:type="pct"/>
            <w:tcBorders>
              <w:top w:val="double" w:sz="4" w:space="0" w:color="auto"/>
              <w:left w:val="double" w:sz="4" w:space="0" w:color="auto"/>
              <w:right w:val="double" w:sz="4" w:space="0" w:color="auto"/>
            </w:tcBorders>
            <w:vAlign w:val="center"/>
          </w:tcPr>
          <w:p w14:paraId="56F5CD5D" w14:textId="77777777" w:rsidR="00AE6492" w:rsidRPr="00111DC0" w:rsidRDefault="00AE6492" w:rsidP="00F35A3A">
            <w:pPr>
              <w:spacing w:before="0" w:after="0" w:line="259" w:lineRule="auto"/>
              <w:jc w:val="center"/>
              <w:rPr>
                <w:rFonts w:eastAsiaTheme="majorEastAsia" w:cs="Arial"/>
                <w:b/>
                <w:bCs/>
                <w:snapToGrid w:val="0"/>
                <w:color w:val="78BE20"/>
                <w:szCs w:val="26"/>
              </w:rPr>
            </w:pPr>
          </w:p>
        </w:tc>
        <w:tc>
          <w:tcPr>
            <w:tcW w:w="1266" w:type="pct"/>
            <w:tcBorders>
              <w:top w:val="double" w:sz="4" w:space="0" w:color="auto"/>
              <w:left w:val="double" w:sz="4" w:space="0" w:color="auto"/>
              <w:right w:val="double" w:sz="4" w:space="0" w:color="auto"/>
            </w:tcBorders>
            <w:vAlign w:val="center"/>
          </w:tcPr>
          <w:p w14:paraId="2ED43B6F" w14:textId="69A72E59" w:rsidR="00AE6492" w:rsidRPr="00111DC0" w:rsidRDefault="00AE6492" w:rsidP="00F35A3A">
            <w:pPr>
              <w:spacing w:before="0" w:after="0" w:line="259" w:lineRule="auto"/>
              <w:jc w:val="center"/>
              <w:rPr>
                <w:rFonts w:eastAsiaTheme="majorEastAsia" w:cs="Arial"/>
                <w:b/>
                <w:bCs/>
                <w:snapToGrid w:val="0"/>
                <w:color w:val="78BE20"/>
                <w:szCs w:val="26"/>
              </w:rPr>
            </w:pPr>
            <w:r w:rsidRPr="00111DC0">
              <w:rPr>
                <w:rFonts w:cs="Arial"/>
                <w:sz w:val="20"/>
                <w:szCs w:val="18"/>
              </w:rPr>
              <w:t>30</w:t>
            </w:r>
          </w:p>
        </w:tc>
        <w:tc>
          <w:tcPr>
            <w:tcW w:w="1296" w:type="pct"/>
            <w:tcBorders>
              <w:top w:val="double" w:sz="4" w:space="0" w:color="auto"/>
              <w:left w:val="double" w:sz="4" w:space="0" w:color="auto"/>
              <w:right w:val="double" w:sz="4" w:space="0" w:color="auto"/>
            </w:tcBorders>
            <w:vAlign w:val="center"/>
          </w:tcPr>
          <w:p w14:paraId="1EF8D237" w14:textId="300EA0C7" w:rsidR="00AE6492" w:rsidRPr="00111DC0" w:rsidRDefault="003F4EE2" w:rsidP="00F35A3A">
            <w:pPr>
              <w:spacing w:before="0" w:after="0" w:line="259" w:lineRule="auto"/>
              <w:jc w:val="center"/>
              <w:rPr>
                <w:rFonts w:cs="Arial"/>
                <w:sz w:val="20"/>
                <w:szCs w:val="18"/>
              </w:rPr>
            </w:pPr>
            <w:r w:rsidRPr="00111DC0">
              <w:rPr>
                <w:rFonts w:cs="Arial"/>
                <w:sz w:val="20"/>
                <w:szCs w:val="18"/>
              </w:rPr>
              <w:t>-</w:t>
            </w:r>
          </w:p>
        </w:tc>
        <w:tc>
          <w:tcPr>
            <w:tcW w:w="1249" w:type="pct"/>
            <w:tcBorders>
              <w:top w:val="double" w:sz="4" w:space="0" w:color="auto"/>
              <w:left w:val="double" w:sz="4" w:space="0" w:color="auto"/>
              <w:right w:val="double" w:sz="4" w:space="0" w:color="auto"/>
            </w:tcBorders>
            <w:vAlign w:val="center"/>
          </w:tcPr>
          <w:p w14:paraId="4AA546FF" w14:textId="148C337E" w:rsidR="00AE6492" w:rsidRPr="00111DC0" w:rsidRDefault="003F4EE2" w:rsidP="00F35A3A">
            <w:pPr>
              <w:spacing w:before="0" w:after="0" w:line="259" w:lineRule="auto"/>
              <w:jc w:val="center"/>
              <w:rPr>
                <w:rFonts w:cs="Arial"/>
                <w:sz w:val="20"/>
                <w:szCs w:val="18"/>
              </w:rPr>
            </w:pPr>
            <w:r w:rsidRPr="00111DC0">
              <w:rPr>
                <w:rFonts w:cs="Arial"/>
                <w:sz w:val="20"/>
                <w:szCs w:val="18"/>
              </w:rPr>
              <w:t>-</w:t>
            </w:r>
          </w:p>
        </w:tc>
      </w:tr>
      <w:tr w:rsidR="00AE6492" w:rsidRPr="00111DC0" w14:paraId="48B1FDBE" w14:textId="77777777" w:rsidTr="003C175D">
        <w:tc>
          <w:tcPr>
            <w:tcW w:w="1189" w:type="pct"/>
            <w:tcBorders>
              <w:left w:val="double" w:sz="4" w:space="0" w:color="auto"/>
              <w:right w:val="double" w:sz="4" w:space="0" w:color="auto"/>
            </w:tcBorders>
            <w:vAlign w:val="center"/>
          </w:tcPr>
          <w:p w14:paraId="5B320C1C" w14:textId="77777777" w:rsidR="00AE6492" w:rsidRPr="00111DC0" w:rsidRDefault="00AE6492" w:rsidP="00F35A3A">
            <w:pPr>
              <w:spacing w:before="0" w:after="0" w:line="259" w:lineRule="auto"/>
              <w:jc w:val="center"/>
              <w:rPr>
                <w:rFonts w:eastAsiaTheme="majorEastAsia" w:cs="Arial"/>
                <w:b/>
                <w:bCs/>
                <w:snapToGrid w:val="0"/>
                <w:color w:val="78BE20"/>
                <w:szCs w:val="26"/>
              </w:rPr>
            </w:pPr>
          </w:p>
        </w:tc>
        <w:tc>
          <w:tcPr>
            <w:tcW w:w="1266" w:type="pct"/>
            <w:tcBorders>
              <w:left w:val="double" w:sz="4" w:space="0" w:color="auto"/>
              <w:right w:val="double" w:sz="4" w:space="0" w:color="auto"/>
            </w:tcBorders>
            <w:vAlign w:val="center"/>
          </w:tcPr>
          <w:p w14:paraId="2A077B0B" w14:textId="4DA9FA54" w:rsidR="00AE6492" w:rsidRPr="00111DC0" w:rsidRDefault="00AE6492" w:rsidP="00F35A3A">
            <w:pPr>
              <w:spacing w:before="0" w:after="0" w:line="259" w:lineRule="auto"/>
              <w:jc w:val="center"/>
              <w:rPr>
                <w:rFonts w:eastAsiaTheme="majorEastAsia" w:cs="Arial"/>
                <w:b/>
                <w:bCs/>
                <w:snapToGrid w:val="0"/>
                <w:color w:val="78BE20"/>
                <w:szCs w:val="26"/>
              </w:rPr>
            </w:pPr>
            <w:r w:rsidRPr="00111DC0">
              <w:rPr>
                <w:rFonts w:cs="Arial"/>
                <w:sz w:val="20"/>
                <w:szCs w:val="18"/>
              </w:rPr>
              <w:t>29</w:t>
            </w:r>
          </w:p>
        </w:tc>
        <w:tc>
          <w:tcPr>
            <w:tcW w:w="1296" w:type="pct"/>
            <w:tcBorders>
              <w:left w:val="double" w:sz="4" w:space="0" w:color="auto"/>
              <w:right w:val="double" w:sz="4" w:space="0" w:color="auto"/>
            </w:tcBorders>
            <w:vAlign w:val="center"/>
          </w:tcPr>
          <w:p w14:paraId="7C082BE9" w14:textId="3C3AACAA" w:rsidR="00AE6492" w:rsidRPr="00111DC0" w:rsidRDefault="003F4EE2" w:rsidP="00F35A3A">
            <w:pPr>
              <w:spacing w:before="0" w:after="0" w:line="259" w:lineRule="auto"/>
              <w:jc w:val="center"/>
              <w:rPr>
                <w:rFonts w:cs="Arial"/>
                <w:sz w:val="20"/>
                <w:szCs w:val="18"/>
              </w:rPr>
            </w:pPr>
            <w:r w:rsidRPr="00111DC0">
              <w:rPr>
                <w:rFonts w:cs="Arial"/>
                <w:sz w:val="20"/>
                <w:szCs w:val="18"/>
              </w:rPr>
              <w:t>-</w:t>
            </w:r>
          </w:p>
        </w:tc>
        <w:tc>
          <w:tcPr>
            <w:tcW w:w="1249" w:type="pct"/>
            <w:tcBorders>
              <w:left w:val="double" w:sz="4" w:space="0" w:color="auto"/>
              <w:right w:val="double" w:sz="4" w:space="0" w:color="auto"/>
            </w:tcBorders>
            <w:vAlign w:val="center"/>
          </w:tcPr>
          <w:p w14:paraId="60897E75" w14:textId="31FEBC57" w:rsidR="00AE6492" w:rsidRPr="00111DC0" w:rsidRDefault="003F4EE2" w:rsidP="00F35A3A">
            <w:pPr>
              <w:spacing w:before="0" w:after="0" w:line="259" w:lineRule="auto"/>
              <w:jc w:val="center"/>
              <w:rPr>
                <w:rFonts w:cs="Arial"/>
                <w:sz w:val="20"/>
                <w:szCs w:val="18"/>
              </w:rPr>
            </w:pPr>
            <w:r w:rsidRPr="00111DC0">
              <w:rPr>
                <w:rFonts w:cs="Arial"/>
                <w:sz w:val="20"/>
                <w:szCs w:val="18"/>
              </w:rPr>
              <w:t>-</w:t>
            </w:r>
          </w:p>
        </w:tc>
      </w:tr>
      <w:tr w:rsidR="00AE6492" w:rsidRPr="00111DC0" w14:paraId="3831C98D" w14:textId="77777777" w:rsidTr="003C175D">
        <w:tc>
          <w:tcPr>
            <w:tcW w:w="1189" w:type="pct"/>
            <w:vMerge w:val="restart"/>
            <w:tcBorders>
              <w:left w:val="double" w:sz="4" w:space="0" w:color="auto"/>
              <w:right w:val="double" w:sz="4" w:space="0" w:color="auto"/>
            </w:tcBorders>
            <w:vAlign w:val="center"/>
          </w:tcPr>
          <w:p w14:paraId="6F603FE8" w14:textId="13C0F556" w:rsidR="00AE6492" w:rsidRPr="00EF2ED1" w:rsidRDefault="00AE6492" w:rsidP="00F35A3A">
            <w:pPr>
              <w:spacing w:before="0" w:after="0" w:line="259" w:lineRule="auto"/>
              <w:jc w:val="center"/>
              <w:rPr>
                <w:rFonts w:eastAsiaTheme="majorEastAsia" w:cs="Arial"/>
                <w:b/>
                <w:bCs/>
                <w:snapToGrid w:val="0"/>
                <w:szCs w:val="26"/>
              </w:rPr>
            </w:pPr>
            <w:r w:rsidRPr="00EF2ED1">
              <w:rPr>
                <w:rFonts w:eastAsiaTheme="majorEastAsia" w:cs="Arial"/>
                <w:b/>
                <w:bCs/>
                <w:snapToGrid w:val="0"/>
                <w:szCs w:val="26"/>
              </w:rPr>
              <w:t>A1</w:t>
            </w:r>
          </w:p>
        </w:tc>
        <w:tc>
          <w:tcPr>
            <w:tcW w:w="1266" w:type="pct"/>
            <w:tcBorders>
              <w:left w:val="double" w:sz="4" w:space="0" w:color="auto"/>
              <w:right w:val="double" w:sz="4" w:space="0" w:color="auto"/>
            </w:tcBorders>
            <w:vAlign w:val="center"/>
          </w:tcPr>
          <w:p w14:paraId="5A8097F9" w14:textId="0CF534DF" w:rsidR="00AE6492" w:rsidRPr="00111DC0" w:rsidRDefault="00AE6492" w:rsidP="00F35A3A">
            <w:pPr>
              <w:spacing w:before="0" w:after="0" w:line="259" w:lineRule="auto"/>
              <w:jc w:val="center"/>
              <w:rPr>
                <w:rFonts w:eastAsiaTheme="majorEastAsia" w:cs="Arial"/>
                <w:b/>
                <w:bCs/>
                <w:snapToGrid w:val="0"/>
                <w:color w:val="78BE20"/>
                <w:szCs w:val="26"/>
              </w:rPr>
            </w:pPr>
            <w:r w:rsidRPr="00111DC0">
              <w:rPr>
                <w:rFonts w:cs="Arial"/>
                <w:sz w:val="20"/>
                <w:szCs w:val="18"/>
              </w:rPr>
              <w:t>28</w:t>
            </w:r>
          </w:p>
        </w:tc>
        <w:tc>
          <w:tcPr>
            <w:tcW w:w="1296" w:type="pct"/>
            <w:tcBorders>
              <w:left w:val="double" w:sz="4" w:space="0" w:color="auto"/>
              <w:right w:val="double" w:sz="4" w:space="0" w:color="auto"/>
            </w:tcBorders>
            <w:vAlign w:val="center"/>
          </w:tcPr>
          <w:p w14:paraId="12530C7E" w14:textId="12E332DB" w:rsidR="00AE6492" w:rsidRPr="00111DC0" w:rsidRDefault="00AE6492" w:rsidP="00F35A3A">
            <w:pPr>
              <w:spacing w:before="0" w:after="0" w:line="259" w:lineRule="auto"/>
              <w:jc w:val="center"/>
              <w:rPr>
                <w:rFonts w:cs="Arial"/>
                <w:sz w:val="20"/>
                <w:szCs w:val="18"/>
              </w:rPr>
            </w:pPr>
            <w:r w:rsidRPr="00111DC0">
              <w:rPr>
                <w:rFonts w:cs="Arial"/>
                <w:sz w:val="20"/>
                <w:szCs w:val="18"/>
              </w:rPr>
              <w:t>53%</w:t>
            </w:r>
          </w:p>
        </w:tc>
        <w:tc>
          <w:tcPr>
            <w:tcW w:w="1249" w:type="pct"/>
            <w:tcBorders>
              <w:left w:val="double" w:sz="4" w:space="0" w:color="auto"/>
              <w:right w:val="double" w:sz="4" w:space="0" w:color="auto"/>
            </w:tcBorders>
            <w:vAlign w:val="center"/>
          </w:tcPr>
          <w:p w14:paraId="1712F9DE" w14:textId="3122A6A5" w:rsidR="00AE6492" w:rsidRPr="00111DC0" w:rsidRDefault="00AE6492" w:rsidP="00F35A3A">
            <w:pPr>
              <w:spacing w:before="0" w:after="0" w:line="259" w:lineRule="auto"/>
              <w:jc w:val="center"/>
              <w:rPr>
                <w:rFonts w:cs="Arial"/>
                <w:sz w:val="20"/>
                <w:szCs w:val="18"/>
              </w:rPr>
            </w:pPr>
            <w:r w:rsidRPr="00111DC0">
              <w:rPr>
                <w:rFonts w:cs="Arial"/>
                <w:sz w:val="20"/>
                <w:szCs w:val="18"/>
              </w:rPr>
              <w:t>47%</w:t>
            </w:r>
          </w:p>
        </w:tc>
      </w:tr>
      <w:tr w:rsidR="00AE6492" w:rsidRPr="00111DC0" w14:paraId="7D7DB87F" w14:textId="77777777" w:rsidTr="003C175D">
        <w:tc>
          <w:tcPr>
            <w:tcW w:w="1189" w:type="pct"/>
            <w:vMerge/>
            <w:tcBorders>
              <w:left w:val="double" w:sz="4" w:space="0" w:color="auto"/>
              <w:right w:val="double" w:sz="4" w:space="0" w:color="auto"/>
            </w:tcBorders>
            <w:vAlign w:val="center"/>
          </w:tcPr>
          <w:p w14:paraId="690DF92B" w14:textId="77777777" w:rsidR="00AE6492" w:rsidRPr="00EF2ED1" w:rsidRDefault="00AE6492" w:rsidP="00F35A3A">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581CC362" w14:textId="35FA0603" w:rsidR="00AE6492" w:rsidRPr="00111DC0" w:rsidRDefault="00AE6492" w:rsidP="00F35A3A">
            <w:pPr>
              <w:spacing w:before="0" w:after="0" w:line="259" w:lineRule="auto"/>
              <w:jc w:val="center"/>
              <w:rPr>
                <w:rFonts w:eastAsiaTheme="majorEastAsia" w:cs="Arial"/>
                <w:b/>
                <w:bCs/>
                <w:snapToGrid w:val="0"/>
                <w:color w:val="78BE20"/>
                <w:szCs w:val="26"/>
              </w:rPr>
            </w:pPr>
            <w:r w:rsidRPr="00111DC0">
              <w:rPr>
                <w:rFonts w:cs="Arial"/>
                <w:sz w:val="20"/>
                <w:szCs w:val="18"/>
              </w:rPr>
              <w:t>27</w:t>
            </w:r>
          </w:p>
        </w:tc>
        <w:tc>
          <w:tcPr>
            <w:tcW w:w="1296" w:type="pct"/>
            <w:tcBorders>
              <w:left w:val="double" w:sz="4" w:space="0" w:color="auto"/>
              <w:right w:val="double" w:sz="4" w:space="0" w:color="auto"/>
            </w:tcBorders>
            <w:vAlign w:val="center"/>
          </w:tcPr>
          <w:p w14:paraId="62805B7E" w14:textId="195FCC6E" w:rsidR="00AE6492" w:rsidRPr="00111DC0" w:rsidRDefault="00AE6492" w:rsidP="00F35A3A">
            <w:pPr>
              <w:spacing w:before="0" w:after="0" w:line="259" w:lineRule="auto"/>
              <w:jc w:val="center"/>
              <w:rPr>
                <w:rFonts w:cs="Arial"/>
                <w:sz w:val="20"/>
                <w:szCs w:val="18"/>
              </w:rPr>
            </w:pPr>
            <w:r w:rsidRPr="00111DC0">
              <w:rPr>
                <w:rFonts w:cs="Arial"/>
                <w:sz w:val="20"/>
                <w:szCs w:val="18"/>
              </w:rPr>
              <w:t>-</w:t>
            </w:r>
          </w:p>
        </w:tc>
        <w:tc>
          <w:tcPr>
            <w:tcW w:w="1249" w:type="pct"/>
            <w:tcBorders>
              <w:left w:val="double" w:sz="4" w:space="0" w:color="auto"/>
              <w:right w:val="double" w:sz="4" w:space="0" w:color="auto"/>
            </w:tcBorders>
            <w:vAlign w:val="center"/>
          </w:tcPr>
          <w:p w14:paraId="7142E941" w14:textId="0B324C31" w:rsidR="00AE6492" w:rsidRPr="00111DC0" w:rsidRDefault="00AE6492" w:rsidP="00F35A3A">
            <w:pPr>
              <w:spacing w:before="0" w:after="0" w:line="259" w:lineRule="auto"/>
              <w:jc w:val="center"/>
              <w:rPr>
                <w:rFonts w:cs="Arial"/>
                <w:sz w:val="20"/>
                <w:szCs w:val="18"/>
              </w:rPr>
            </w:pPr>
            <w:r w:rsidRPr="00111DC0">
              <w:rPr>
                <w:rFonts w:cs="Arial"/>
                <w:sz w:val="20"/>
                <w:szCs w:val="18"/>
              </w:rPr>
              <w:t>100%</w:t>
            </w:r>
          </w:p>
        </w:tc>
      </w:tr>
      <w:tr w:rsidR="00AE6492" w:rsidRPr="00111DC0" w14:paraId="6C573B5D" w14:textId="77777777" w:rsidTr="003C175D">
        <w:tc>
          <w:tcPr>
            <w:tcW w:w="1189" w:type="pct"/>
            <w:vMerge w:val="restart"/>
            <w:tcBorders>
              <w:left w:val="double" w:sz="4" w:space="0" w:color="auto"/>
              <w:right w:val="double" w:sz="4" w:space="0" w:color="auto"/>
            </w:tcBorders>
            <w:vAlign w:val="center"/>
          </w:tcPr>
          <w:p w14:paraId="5B1BDB78" w14:textId="740AF143" w:rsidR="00AE6492" w:rsidRPr="00EF2ED1" w:rsidRDefault="00AE6492" w:rsidP="00F35A3A">
            <w:pPr>
              <w:spacing w:before="0" w:after="0" w:line="259" w:lineRule="auto"/>
              <w:jc w:val="center"/>
              <w:rPr>
                <w:rFonts w:eastAsiaTheme="majorEastAsia" w:cs="Arial"/>
                <w:b/>
                <w:bCs/>
                <w:snapToGrid w:val="0"/>
                <w:szCs w:val="26"/>
              </w:rPr>
            </w:pPr>
            <w:r w:rsidRPr="00EF2ED1">
              <w:rPr>
                <w:rFonts w:eastAsiaTheme="majorEastAsia" w:cs="Arial"/>
                <w:b/>
                <w:bCs/>
                <w:snapToGrid w:val="0"/>
                <w:szCs w:val="26"/>
              </w:rPr>
              <w:t>A1</w:t>
            </w:r>
            <w:r w:rsidR="00F35A3A" w:rsidRPr="00EF2ED1">
              <w:rPr>
                <w:rFonts w:eastAsiaTheme="majorEastAsia" w:cs="Arial"/>
                <w:b/>
                <w:bCs/>
                <w:snapToGrid w:val="0"/>
                <w:szCs w:val="26"/>
              </w:rPr>
              <w:t xml:space="preserve"> -</w:t>
            </w:r>
            <w:r w:rsidRPr="00EF2ED1">
              <w:rPr>
                <w:rFonts w:cs="Arial"/>
                <w:sz w:val="20"/>
                <w:szCs w:val="18"/>
              </w:rPr>
              <w:t xml:space="preserve"> </w:t>
            </w:r>
            <w:r w:rsidRPr="00EF2ED1">
              <w:rPr>
                <w:rFonts w:eastAsiaTheme="majorEastAsia" w:cs="Arial"/>
                <w:b/>
                <w:bCs/>
                <w:snapToGrid w:val="0"/>
                <w:szCs w:val="26"/>
              </w:rPr>
              <w:t>A2</w:t>
            </w:r>
          </w:p>
        </w:tc>
        <w:tc>
          <w:tcPr>
            <w:tcW w:w="1266" w:type="pct"/>
            <w:tcBorders>
              <w:left w:val="double" w:sz="4" w:space="0" w:color="auto"/>
              <w:right w:val="double" w:sz="4" w:space="0" w:color="auto"/>
            </w:tcBorders>
            <w:vAlign w:val="center"/>
          </w:tcPr>
          <w:p w14:paraId="56BF63D5" w14:textId="53C56101" w:rsidR="00AE6492" w:rsidRPr="00111DC0" w:rsidRDefault="00AE6492" w:rsidP="00F35A3A">
            <w:pPr>
              <w:spacing w:before="0" w:after="0" w:line="259" w:lineRule="auto"/>
              <w:jc w:val="center"/>
              <w:rPr>
                <w:rFonts w:eastAsiaTheme="majorEastAsia" w:cs="Arial"/>
                <w:b/>
                <w:bCs/>
                <w:snapToGrid w:val="0"/>
                <w:color w:val="78BE20"/>
                <w:szCs w:val="26"/>
              </w:rPr>
            </w:pPr>
            <w:r w:rsidRPr="00111DC0">
              <w:rPr>
                <w:rFonts w:cs="Arial"/>
                <w:sz w:val="20"/>
                <w:szCs w:val="18"/>
              </w:rPr>
              <w:t>26</w:t>
            </w:r>
          </w:p>
        </w:tc>
        <w:tc>
          <w:tcPr>
            <w:tcW w:w="1296" w:type="pct"/>
            <w:tcBorders>
              <w:left w:val="double" w:sz="4" w:space="0" w:color="auto"/>
              <w:right w:val="double" w:sz="4" w:space="0" w:color="auto"/>
            </w:tcBorders>
            <w:vAlign w:val="center"/>
          </w:tcPr>
          <w:p w14:paraId="0765C909" w14:textId="23A19811" w:rsidR="00AE6492" w:rsidRPr="00111DC0" w:rsidRDefault="00AE6492" w:rsidP="00F35A3A">
            <w:pPr>
              <w:spacing w:before="0" w:after="0" w:line="259" w:lineRule="auto"/>
              <w:jc w:val="center"/>
              <w:rPr>
                <w:rFonts w:cs="Arial"/>
                <w:sz w:val="20"/>
                <w:szCs w:val="18"/>
              </w:rPr>
            </w:pPr>
            <w:r w:rsidRPr="00111DC0">
              <w:rPr>
                <w:rFonts w:cs="Arial"/>
                <w:sz w:val="20"/>
                <w:szCs w:val="18"/>
              </w:rPr>
              <w:t>59%</w:t>
            </w:r>
          </w:p>
        </w:tc>
        <w:tc>
          <w:tcPr>
            <w:tcW w:w="1249" w:type="pct"/>
            <w:tcBorders>
              <w:left w:val="double" w:sz="4" w:space="0" w:color="auto"/>
              <w:right w:val="double" w:sz="4" w:space="0" w:color="auto"/>
            </w:tcBorders>
            <w:vAlign w:val="center"/>
          </w:tcPr>
          <w:p w14:paraId="66DE0BE6" w14:textId="09539AB9" w:rsidR="00AE6492" w:rsidRPr="00111DC0" w:rsidRDefault="00AE6492" w:rsidP="00F35A3A">
            <w:pPr>
              <w:spacing w:before="0" w:after="0" w:line="259" w:lineRule="auto"/>
              <w:jc w:val="center"/>
              <w:rPr>
                <w:rFonts w:cs="Arial"/>
                <w:sz w:val="20"/>
                <w:szCs w:val="18"/>
              </w:rPr>
            </w:pPr>
            <w:r w:rsidRPr="00111DC0">
              <w:rPr>
                <w:rFonts w:cs="Arial"/>
                <w:sz w:val="20"/>
                <w:szCs w:val="18"/>
              </w:rPr>
              <w:t>41%</w:t>
            </w:r>
          </w:p>
        </w:tc>
      </w:tr>
      <w:tr w:rsidR="00AE6492" w:rsidRPr="00111DC0" w14:paraId="0A59FF60" w14:textId="77777777" w:rsidTr="003C175D">
        <w:tc>
          <w:tcPr>
            <w:tcW w:w="1189" w:type="pct"/>
            <w:vMerge/>
            <w:tcBorders>
              <w:left w:val="double" w:sz="4" w:space="0" w:color="auto"/>
              <w:right w:val="double" w:sz="4" w:space="0" w:color="auto"/>
            </w:tcBorders>
            <w:vAlign w:val="center"/>
          </w:tcPr>
          <w:p w14:paraId="698D5C96" w14:textId="77777777" w:rsidR="00AE6492" w:rsidRPr="00EF2ED1" w:rsidRDefault="00AE6492" w:rsidP="00F35A3A">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6F25E5CB" w14:textId="56273AE1" w:rsidR="00AE6492" w:rsidRPr="00111DC0" w:rsidRDefault="00AE6492" w:rsidP="00F35A3A">
            <w:pPr>
              <w:spacing w:before="0" w:after="0" w:line="259" w:lineRule="auto"/>
              <w:jc w:val="center"/>
              <w:rPr>
                <w:rFonts w:eastAsiaTheme="majorEastAsia" w:cs="Arial"/>
                <w:b/>
                <w:bCs/>
                <w:snapToGrid w:val="0"/>
                <w:color w:val="78BE20"/>
                <w:szCs w:val="26"/>
              </w:rPr>
            </w:pPr>
            <w:r w:rsidRPr="00111DC0">
              <w:rPr>
                <w:rFonts w:cs="Arial"/>
                <w:sz w:val="20"/>
                <w:szCs w:val="18"/>
              </w:rPr>
              <w:t>25</w:t>
            </w:r>
          </w:p>
        </w:tc>
        <w:tc>
          <w:tcPr>
            <w:tcW w:w="1296" w:type="pct"/>
            <w:tcBorders>
              <w:left w:val="double" w:sz="4" w:space="0" w:color="auto"/>
              <w:right w:val="double" w:sz="4" w:space="0" w:color="auto"/>
            </w:tcBorders>
            <w:vAlign w:val="center"/>
          </w:tcPr>
          <w:p w14:paraId="1BED8DE4" w14:textId="676356D0" w:rsidR="00AE6492" w:rsidRPr="00111DC0" w:rsidRDefault="00AE6492" w:rsidP="00F35A3A">
            <w:pPr>
              <w:spacing w:before="0" w:after="0" w:line="259" w:lineRule="auto"/>
              <w:jc w:val="center"/>
              <w:rPr>
                <w:rFonts w:cs="Arial"/>
                <w:sz w:val="20"/>
                <w:szCs w:val="18"/>
              </w:rPr>
            </w:pPr>
            <w:r w:rsidRPr="00111DC0">
              <w:rPr>
                <w:rFonts w:cs="Arial"/>
                <w:sz w:val="20"/>
                <w:szCs w:val="18"/>
              </w:rPr>
              <w:t>67%</w:t>
            </w:r>
          </w:p>
        </w:tc>
        <w:tc>
          <w:tcPr>
            <w:tcW w:w="1249" w:type="pct"/>
            <w:tcBorders>
              <w:left w:val="double" w:sz="4" w:space="0" w:color="auto"/>
              <w:right w:val="double" w:sz="4" w:space="0" w:color="auto"/>
            </w:tcBorders>
            <w:vAlign w:val="center"/>
          </w:tcPr>
          <w:p w14:paraId="03692219" w14:textId="69065ED3" w:rsidR="00AE6492" w:rsidRPr="00111DC0" w:rsidRDefault="00AE6492" w:rsidP="00F35A3A">
            <w:pPr>
              <w:spacing w:before="0" w:after="0" w:line="259" w:lineRule="auto"/>
              <w:jc w:val="center"/>
              <w:rPr>
                <w:rFonts w:cs="Arial"/>
                <w:sz w:val="20"/>
                <w:szCs w:val="18"/>
              </w:rPr>
            </w:pPr>
            <w:r w:rsidRPr="00111DC0">
              <w:rPr>
                <w:rFonts w:cs="Arial"/>
                <w:sz w:val="20"/>
                <w:szCs w:val="18"/>
              </w:rPr>
              <w:t>33%</w:t>
            </w:r>
          </w:p>
        </w:tc>
      </w:tr>
      <w:tr w:rsidR="00AE6492" w:rsidRPr="00111DC0" w14:paraId="47978204" w14:textId="77777777" w:rsidTr="003C175D">
        <w:tc>
          <w:tcPr>
            <w:tcW w:w="1189" w:type="pct"/>
            <w:vMerge/>
            <w:tcBorders>
              <w:left w:val="double" w:sz="4" w:space="0" w:color="auto"/>
              <w:right w:val="double" w:sz="4" w:space="0" w:color="auto"/>
            </w:tcBorders>
            <w:vAlign w:val="center"/>
          </w:tcPr>
          <w:p w14:paraId="39A6BD66" w14:textId="77777777" w:rsidR="00AE6492" w:rsidRPr="00EF2ED1" w:rsidRDefault="00AE6492" w:rsidP="00F35A3A">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4CBCBC62" w14:textId="3A0AA992" w:rsidR="00AE6492" w:rsidRPr="00111DC0" w:rsidRDefault="00AE6492" w:rsidP="00F35A3A">
            <w:pPr>
              <w:spacing w:before="0" w:after="0" w:line="259" w:lineRule="auto"/>
              <w:jc w:val="center"/>
              <w:rPr>
                <w:rFonts w:eastAsiaTheme="majorEastAsia" w:cs="Arial"/>
                <w:b/>
                <w:bCs/>
                <w:snapToGrid w:val="0"/>
                <w:color w:val="78BE20"/>
                <w:szCs w:val="26"/>
              </w:rPr>
            </w:pPr>
            <w:r w:rsidRPr="00111DC0">
              <w:rPr>
                <w:rFonts w:cs="Arial"/>
                <w:sz w:val="20"/>
                <w:szCs w:val="18"/>
              </w:rPr>
              <w:t>24</w:t>
            </w:r>
          </w:p>
        </w:tc>
        <w:tc>
          <w:tcPr>
            <w:tcW w:w="1296" w:type="pct"/>
            <w:tcBorders>
              <w:left w:val="double" w:sz="4" w:space="0" w:color="auto"/>
              <w:right w:val="double" w:sz="4" w:space="0" w:color="auto"/>
            </w:tcBorders>
            <w:vAlign w:val="center"/>
          </w:tcPr>
          <w:p w14:paraId="7F93DCA1" w14:textId="3470A8C2" w:rsidR="00AE6492" w:rsidRPr="00111DC0" w:rsidRDefault="00AE6492" w:rsidP="00F35A3A">
            <w:pPr>
              <w:spacing w:before="0" w:after="0" w:line="259" w:lineRule="auto"/>
              <w:jc w:val="center"/>
              <w:rPr>
                <w:rFonts w:cs="Arial"/>
                <w:sz w:val="20"/>
                <w:szCs w:val="18"/>
              </w:rPr>
            </w:pPr>
            <w:r w:rsidRPr="00111DC0">
              <w:rPr>
                <w:rFonts w:cs="Arial"/>
                <w:sz w:val="20"/>
                <w:szCs w:val="18"/>
              </w:rPr>
              <w:t>64%</w:t>
            </w:r>
          </w:p>
        </w:tc>
        <w:tc>
          <w:tcPr>
            <w:tcW w:w="1249" w:type="pct"/>
            <w:tcBorders>
              <w:left w:val="double" w:sz="4" w:space="0" w:color="auto"/>
              <w:right w:val="double" w:sz="4" w:space="0" w:color="auto"/>
            </w:tcBorders>
            <w:vAlign w:val="center"/>
          </w:tcPr>
          <w:p w14:paraId="6684154E" w14:textId="6106E7BA" w:rsidR="00AE6492" w:rsidRPr="00111DC0" w:rsidRDefault="00AE6492" w:rsidP="00F35A3A">
            <w:pPr>
              <w:spacing w:before="0" w:after="0" w:line="259" w:lineRule="auto"/>
              <w:jc w:val="center"/>
              <w:rPr>
                <w:rFonts w:cs="Arial"/>
                <w:sz w:val="20"/>
                <w:szCs w:val="18"/>
              </w:rPr>
            </w:pPr>
            <w:r w:rsidRPr="00111DC0">
              <w:rPr>
                <w:rFonts w:cs="Arial"/>
                <w:sz w:val="20"/>
                <w:szCs w:val="18"/>
              </w:rPr>
              <w:t>36%</w:t>
            </w:r>
          </w:p>
        </w:tc>
      </w:tr>
      <w:tr w:rsidR="00AE6492" w:rsidRPr="00111DC0" w14:paraId="31429C0B" w14:textId="77777777" w:rsidTr="003C175D">
        <w:tc>
          <w:tcPr>
            <w:tcW w:w="1189" w:type="pct"/>
            <w:tcBorders>
              <w:left w:val="double" w:sz="4" w:space="0" w:color="auto"/>
              <w:right w:val="double" w:sz="4" w:space="0" w:color="auto"/>
            </w:tcBorders>
            <w:vAlign w:val="center"/>
          </w:tcPr>
          <w:p w14:paraId="1A639E4F" w14:textId="77777777" w:rsidR="00AE6492" w:rsidRPr="00EF2ED1" w:rsidRDefault="00AE6492" w:rsidP="00F35A3A">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7ABD01C8" w14:textId="46182C17" w:rsidR="00AE6492" w:rsidRPr="00111DC0" w:rsidRDefault="00AE6492" w:rsidP="00F35A3A">
            <w:pPr>
              <w:spacing w:before="0" w:after="0" w:line="259" w:lineRule="auto"/>
              <w:jc w:val="center"/>
              <w:rPr>
                <w:rFonts w:eastAsiaTheme="majorEastAsia" w:cs="Arial"/>
                <w:b/>
                <w:bCs/>
                <w:snapToGrid w:val="0"/>
                <w:color w:val="78BE20"/>
                <w:szCs w:val="26"/>
              </w:rPr>
            </w:pPr>
            <w:r w:rsidRPr="00111DC0">
              <w:rPr>
                <w:rFonts w:cs="Arial"/>
                <w:sz w:val="20"/>
                <w:szCs w:val="18"/>
              </w:rPr>
              <w:t>23</w:t>
            </w:r>
          </w:p>
        </w:tc>
        <w:tc>
          <w:tcPr>
            <w:tcW w:w="1296" w:type="pct"/>
            <w:tcBorders>
              <w:left w:val="double" w:sz="4" w:space="0" w:color="auto"/>
              <w:right w:val="double" w:sz="4" w:space="0" w:color="auto"/>
            </w:tcBorders>
            <w:vAlign w:val="center"/>
          </w:tcPr>
          <w:p w14:paraId="3FFA41A1" w14:textId="60C77405" w:rsidR="00AE6492" w:rsidRPr="00111DC0" w:rsidRDefault="00263C96" w:rsidP="00F35A3A">
            <w:pPr>
              <w:spacing w:before="0" w:after="0" w:line="259" w:lineRule="auto"/>
              <w:jc w:val="center"/>
              <w:rPr>
                <w:rFonts w:cs="Arial"/>
                <w:sz w:val="20"/>
                <w:szCs w:val="18"/>
              </w:rPr>
            </w:pPr>
            <w:r w:rsidRPr="00111DC0">
              <w:rPr>
                <w:rFonts w:cs="Arial"/>
                <w:sz w:val="20"/>
                <w:szCs w:val="18"/>
              </w:rPr>
              <w:t>-</w:t>
            </w:r>
          </w:p>
        </w:tc>
        <w:tc>
          <w:tcPr>
            <w:tcW w:w="1249" w:type="pct"/>
            <w:tcBorders>
              <w:left w:val="double" w:sz="4" w:space="0" w:color="auto"/>
              <w:right w:val="double" w:sz="4" w:space="0" w:color="auto"/>
            </w:tcBorders>
            <w:vAlign w:val="center"/>
          </w:tcPr>
          <w:p w14:paraId="7EB48D95" w14:textId="53BE7B6C" w:rsidR="00AE6492" w:rsidRPr="00111DC0" w:rsidRDefault="00263C96" w:rsidP="00F35A3A">
            <w:pPr>
              <w:spacing w:before="0" w:after="0" w:line="259" w:lineRule="auto"/>
              <w:jc w:val="center"/>
              <w:rPr>
                <w:rFonts w:cs="Arial"/>
                <w:sz w:val="20"/>
                <w:szCs w:val="18"/>
              </w:rPr>
            </w:pPr>
            <w:r w:rsidRPr="00111DC0">
              <w:rPr>
                <w:rFonts w:cs="Arial"/>
                <w:sz w:val="20"/>
                <w:szCs w:val="18"/>
              </w:rPr>
              <w:t>-</w:t>
            </w:r>
          </w:p>
        </w:tc>
      </w:tr>
      <w:tr w:rsidR="00AE6492" w:rsidRPr="00111DC0" w14:paraId="2EBA6171" w14:textId="77777777" w:rsidTr="003C175D">
        <w:tc>
          <w:tcPr>
            <w:tcW w:w="1189" w:type="pct"/>
            <w:vMerge w:val="restart"/>
            <w:tcBorders>
              <w:left w:val="double" w:sz="4" w:space="0" w:color="auto"/>
              <w:right w:val="double" w:sz="4" w:space="0" w:color="auto"/>
            </w:tcBorders>
            <w:vAlign w:val="center"/>
          </w:tcPr>
          <w:p w14:paraId="636915F4" w14:textId="129A7B78" w:rsidR="00AE6492" w:rsidRPr="00EF2ED1" w:rsidRDefault="00AE6492" w:rsidP="00F35A3A">
            <w:pPr>
              <w:spacing w:before="0" w:after="0" w:line="259" w:lineRule="auto"/>
              <w:jc w:val="center"/>
              <w:rPr>
                <w:rFonts w:eastAsiaTheme="majorEastAsia" w:cs="Arial"/>
                <w:b/>
                <w:bCs/>
                <w:snapToGrid w:val="0"/>
                <w:szCs w:val="26"/>
              </w:rPr>
            </w:pPr>
            <w:r w:rsidRPr="00EF2ED1">
              <w:rPr>
                <w:rFonts w:eastAsiaTheme="majorEastAsia" w:cs="Arial"/>
                <w:b/>
                <w:bCs/>
                <w:snapToGrid w:val="0"/>
                <w:szCs w:val="26"/>
              </w:rPr>
              <w:t>A2</w:t>
            </w:r>
            <w:r w:rsidR="00F35A3A" w:rsidRPr="00EF2ED1">
              <w:rPr>
                <w:rFonts w:eastAsiaTheme="majorEastAsia" w:cs="Arial"/>
                <w:b/>
                <w:bCs/>
                <w:snapToGrid w:val="0"/>
                <w:szCs w:val="26"/>
              </w:rPr>
              <w:t xml:space="preserve"> - </w:t>
            </w:r>
            <w:r w:rsidRPr="00EF2ED1">
              <w:rPr>
                <w:rFonts w:eastAsiaTheme="majorEastAsia" w:cs="Arial"/>
                <w:b/>
                <w:bCs/>
                <w:snapToGrid w:val="0"/>
                <w:szCs w:val="26"/>
              </w:rPr>
              <w:t>C1</w:t>
            </w:r>
          </w:p>
        </w:tc>
        <w:tc>
          <w:tcPr>
            <w:tcW w:w="1266" w:type="pct"/>
            <w:tcBorders>
              <w:left w:val="double" w:sz="4" w:space="0" w:color="auto"/>
              <w:right w:val="double" w:sz="4" w:space="0" w:color="auto"/>
            </w:tcBorders>
            <w:vAlign w:val="center"/>
          </w:tcPr>
          <w:p w14:paraId="517C282D" w14:textId="28605755" w:rsidR="00AE6492" w:rsidRPr="00111DC0" w:rsidRDefault="00AE6492" w:rsidP="00F35A3A">
            <w:pPr>
              <w:spacing w:before="0" w:after="0" w:line="259" w:lineRule="auto"/>
              <w:jc w:val="center"/>
              <w:rPr>
                <w:rFonts w:eastAsiaTheme="majorEastAsia" w:cs="Arial"/>
                <w:b/>
                <w:bCs/>
                <w:snapToGrid w:val="0"/>
                <w:color w:val="78BE20"/>
                <w:szCs w:val="26"/>
              </w:rPr>
            </w:pPr>
            <w:r w:rsidRPr="00111DC0">
              <w:rPr>
                <w:rFonts w:cs="Arial"/>
                <w:sz w:val="20"/>
                <w:szCs w:val="18"/>
              </w:rPr>
              <w:t>22</w:t>
            </w:r>
          </w:p>
        </w:tc>
        <w:tc>
          <w:tcPr>
            <w:tcW w:w="1296" w:type="pct"/>
            <w:tcBorders>
              <w:left w:val="double" w:sz="4" w:space="0" w:color="auto"/>
              <w:right w:val="double" w:sz="4" w:space="0" w:color="auto"/>
            </w:tcBorders>
            <w:vAlign w:val="center"/>
          </w:tcPr>
          <w:p w14:paraId="231E2DD3" w14:textId="32F11C5C" w:rsidR="00AE6492" w:rsidRPr="00111DC0" w:rsidRDefault="00AE6492" w:rsidP="00F35A3A">
            <w:pPr>
              <w:spacing w:before="0" w:after="0" w:line="259" w:lineRule="auto"/>
              <w:jc w:val="center"/>
              <w:rPr>
                <w:rFonts w:cs="Arial"/>
                <w:sz w:val="20"/>
                <w:szCs w:val="18"/>
              </w:rPr>
            </w:pPr>
            <w:r w:rsidRPr="00111DC0">
              <w:rPr>
                <w:rFonts w:cs="Arial"/>
                <w:sz w:val="20"/>
                <w:szCs w:val="18"/>
              </w:rPr>
              <w:t>66%</w:t>
            </w:r>
          </w:p>
        </w:tc>
        <w:tc>
          <w:tcPr>
            <w:tcW w:w="1249" w:type="pct"/>
            <w:tcBorders>
              <w:left w:val="double" w:sz="4" w:space="0" w:color="auto"/>
              <w:right w:val="double" w:sz="4" w:space="0" w:color="auto"/>
            </w:tcBorders>
            <w:vAlign w:val="center"/>
          </w:tcPr>
          <w:p w14:paraId="57D0CB92" w14:textId="34065E09" w:rsidR="00AE6492" w:rsidRPr="00111DC0" w:rsidRDefault="00AE6492" w:rsidP="00F35A3A">
            <w:pPr>
              <w:spacing w:before="0" w:after="0" w:line="259" w:lineRule="auto"/>
              <w:jc w:val="center"/>
              <w:rPr>
                <w:rFonts w:cs="Arial"/>
                <w:sz w:val="20"/>
                <w:szCs w:val="18"/>
              </w:rPr>
            </w:pPr>
            <w:r w:rsidRPr="00111DC0">
              <w:rPr>
                <w:rFonts w:cs="Arial"/>
                <w:sz w:val="20"/>
                <w:szCs w:val="18"/>
              </w:rPr>
              <w:t>34%</w:t>
            </w:r>
          </w:p>
        </w:tc>
      </w:tr>
      <w:tr w:rsidR="00AE6492" w:rsidRPr="00111DC0" w14:paraId="63E5717C" w14:textId="77777777" w:rsidTr="003C175D">
        <w:tc>
          <w:tcPr>
            <w:tcW w:w="1189" w:type="pct"/>
            <w:vMerge/>
            <w:tcBorders>
              <w:left w:val="double" w:sz="4" w:space="0" w:color="auto"/>
              <w:right w:val="double" w:sz="4" w:space="0" w:color="auto"/>
            </w:tcBorders>
            <w:vAlign w:val="center"/>
          </w:tcPr>
          <w:p w14:paraId="3F39030B" w14:textId="77777777" w:rsidR="00AE6492" w:rsidRPr="00EF2ED1" w:rsidRDefault="00AE6492" w:rsidP="00F35A3A">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0936A0CE" w14:textId="13031DB7" w:rsidR="00AE6492" w:rsidRPr="00111DC0" w:rsidRDefault="00AE6492" w:rsidP="00F35A3A">
            <w:pPr>
              <w:spacing w:before="0" w:after="0" w:line="259" w:lineRule="auto"/>
              <w:jc w:val="center"/>
              <w:rPr>
                <w:rFonts w:eastAsiaTheme="majorEastAsia" w:cs="Arial"/>
                <w:b/>
                <w:bCs/>
                <w:snapToGrid w:val="0"/>
                <w:color w:val="78BE20"/>
                <w:szCs w:val="26"/>
              </w:rPr>
            </w:pPr>
            <w:r w:rsidRPr="00111DC0">
              <w:rPr>
                <w:rFonts w:cs="Arial"/>
                <w:sz w:val="20"/>
                <w:szCs w:val="18"/>
              </w:rPr>
              <w:t>21</w:t>
            </w:r>
          </w:p>
        </w:tc>
        <w:tc>
          <w:tcPr>
            <w:tcW w:w="1296" w:type="pct"/>
            <w:tcBorders>
              <w:left w:val="double" w:sz="4" w:space="0" w:color="auto"/>
              <w:right w:val="double" w:sz="4" w:space="0" w:color="auto"/>
            </w:tcBorders>
            <w:vAlign w:val="center"/>
          </w:tcPr>
          <w:p w14:paraId="0FC3B038" w14:textId="3004F3D8" w:rsidR="00AE6492" w:rsidRPr="00111DC0" w:rsidRDefault="00AE6492" w:rsidP="00F35A3A">
            <w:pPr>
              <w:spacing w:before="0" w:after="0" w:line="259" w:lineRule="auto"/>
              <w:jc w:val="center"/>
              <w:rPr>
                <w:rFonts w:cs="Arial"/>
                <w:sz w:val="20"/>
                <w:szCs w:val="18"/>
              </w:rPr>
            </w:pPr>
            <w:r w:rsidRPr="00111DC0">
              <w:rPr>
                <w:rFonts w:cs="Arial"/>
                <w:sz w:val="20"/>
                <w:szCs w:val="18"/>
              </w:rPr>
              <w:t>92%</w:t>
            </w:r>
          </w:p>
        </w:tc>
        <w:tc>
          <w:tcPr>
            <w:tcW w:w="1249" w:type="pct"/>
            <w:tcBorders>
              <w:left w:val="double" w:sz="4" w:space="0" w:color="auto"/>
              <w:right w:val="double" w:sz="4" w:space="0" w:color="auto"/>
            </w:tcBorders>
            <w:vAlign w:val="center"/>
          </w:tcPr>
          <w:p w14:paraId="614BFC5B" w14:textId="39CF71BB" w:rsidR="00AE6492" w:rsidRPr="00111DC0" w:rsidRDefault="00AE6492" w:rsidP="00F35A3A">
            <w:pPr>
              <w:spacing w:before="0" w:after="0" w:line="259" w:lineRule="auto"/>
              <w:jc w:val="center"/>
              <w:rPr>
                <w:rFonts w:cs="Arial"/>
                <w:sz w:val="20"/>
                <w:szCs w:val="18"/>
              </w:rPr>
            </w:pPr>
            <w:r w:rsidRPr="00111DC0">
              <w:rPr>
                <w:rFonts w:cs="Arial"/>
                <w:sz w:val="20"/>
                <w:szCs w:val="18"/>
              </w:rPr>
              <w:t>8%</w:t>
            </w:r>
          </w:p>
        </w:tc>
      </w:tr>
      <w:tr w:rsidR="00AE6492" w:rsidRPr="00111DC0" w14:paraId="628A28D5" w14:textId="77777777" w:rsidTr="003C175D">
        <w:tc>
          <w:tcPr>
            <w:tcW w:w="1189" w:type="pct"/>
            <w:vMerge/>
            <w:tcBorders>
              <w:left w:val="double" w:sz="4" w:space="0" w:color="auto"/>
              <w:right w:val="double" w:sz="4" w:space="0" w:color="auto"/>
            </w:tcBorders>
            <w:vAlign w:val="center"/>
          </w:tcPr>
          <w:p w14:paraId="743F83AD" w14:textId="77777777" w:rsidR="00AE6492" w:rsidRPr="00EF2ED1" w:rsidRDefault="00AE6492" w:rsidP="00F35A3A">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43AB77B0" w14:textId="7997B40B" w:rsidR="00AE6492" w:rsidRPr="00111DC0" w:rsidRDefault="00AE6492" w:rsidP="00F35A3A">
            <w:pPr>
              <w:spacing w:before="0" w:after="0" w:line="259" w:lineRule="auto"/>
              <w:jc w:val="center"/>
              <w:rPr>
                <w:rFonts w:eastAsiaTheme="majorEastAsia" w:cs="Arial"/>
                <w:b/>
                <w:bCs/>
                <w:snapToGrid w:val="0"/>
                <w:color w:val="78BE20"/>
                <w:szCs w:val="26"/>
              </w:rPr>
            </w:pPr>
            <w:r w:rsidRPr="00111DC0">
              <w:rPr>
                <w:rFonts w:cs="Arial"/>
                <w:sz w:val="20"/>
                <w:szCs w:val="18"/>
              </w:rPr>
              <w:t>20</w:t>
            </w:r>
          </w:p>
        </w:tc>
        <w:tc>
          <w:tcPr>
            <w:tcW w:w="1296" w:type="pct"/>
            <w:tcBorders>
              <w:left w:val="double" w:sz="4" w:space="0" w:color="auto"/>
              <w:right w:val="double" w:sz="4" w:space="0" w:color="auto"/>
            </w:tcBorders>
            <w:vAlign w:val="center"/>
          </w:tcPr>
          <w:p w14:paraId="241B6DE3" w14:textId="1075C5CB" w:rsidR="00AE6492" w:rsidRPr="00111DC0" w:rsidRDefault="00AE6492" w:rsidP="00F35A3A">
            <w:pPr>
              <w:spacing w:before="0" w:after="0" w:line="259" w:lineRule="auto"/>
              <w:jc w:val="center"/>
              <w:rPr>
                <w:rFonts w:cs="Arial"/>
                <w:sz w:val="20"/>
                <w:szCs w:val="18"/>
              </w:rPr>
            </w:pPr>
            <w:r w:rsidRPr="00111DC0">
              <w:rPr>
                <w:rFonts w:cs="Arial"/>
                <w:sz w:val="20"/>
                <w:szCs w:val="18"/>
              </w:rPr>
              <w:t>70%</w:t>
            </w:r>
          </w:p>
        </w:tc>
        <w:tc>
          <w:tcPr>
            <w:tcW w:w="1249" w:type="pct"/>
            <w:tcBorders>
              <w:left w:val="double" w:sz="4" w:space="0" w:color="auto"/>
              <w:right w:val="double" w:sz="4" w:space="0" w:color="auto"/>
            </w:tcBorders>
            <w:vAlign w:val="center"/>
          </w:tcPr>
          <w:p w14:paraId="4B5353DD" w14:textId="14BE01BF" w:rsidR="00AE6492" w:rsidRPr="00111DC0" w:rsidRDefault="00AE6492" w:rsidP="00F35A3A">
            <w:pPr>
              <w:spacing w:before="0" w:after="0" w:line="259" w:lineRule="auto"/>
              <w:jc w:val="center"/>
              <w:rPr>
                <w:rFonts w:cs="Arial"/>
                <w:sz w:val="20"/>
                <w:szCs w:val="18"/>
              </w:rPr>
            </w:pPr>
            <w:r w:rsidRPr="00111DC0">
              <w:rPr>
                <w:rFonts w:cs="Arial"/>
                <w:sz w:val="20"/>
                <w:szCs w:val="18"/>
              </w:rPr>
              <w:t>30%</w:t>
            </w:r>
          </w:p>
        </w:tc>
      </w:tr>
      <w:tr w:rsidR="00AE6492" w:rsidRPr="00111DC0" w14:paraId="22AC061C" w14:textId="77777777" w:rsidTr="003C175D">
        <w:tc>
          <w:tcPr>
            <w:tcW w:w="1189" w:type="pct"/>
            <w:tcBorders>
              <w:left w:val="double" w:sz="4" w:space="0" w:color="auto"/>
              <w:right w:val="double" w:sz="4" w:space="0" w:color="auto"/>
            </w:tcBorders>
            <w:vAlign w:val="center"/>
          </w:tcPr>
          <w:p w14:paraId="694D5036" w14:textId="77777777" w:rsidR="00AE6492" w:rsidRPr="00EF2ED1" w:rsidRDefault="00AE6492" w:rsidP="00F35A3A">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560B29D7" w14:textId="4BE2FD89" w:rsidR="00AE6492" w:rsidRPr="00111DC0" w:rsidRDefault="00AE6492" w:rsidP="00F35A3A">
            <w:pPr>
              <w:spacing w:before="0" w:after="0" w:line="259" w:lineRule="auto"/>
              <w:jc w:val="center"/>
              <w:rPr>
                <w:rFonts w:eastAsiaTheme="majorEastAsia" w:cs="Arial"/>
                <w:b/>
                <w:bCs/>
                <w:snapToGrid w:val="0"/>
                <w:color w:val="78BE20"/>
                <w:szCs w:val="26"/>
              </w:rPr>
            </w:pPr>
            <w:r w:rsidRPr="00111DC0">
              <w:rPr>
                <w:rFonts w:cs="Arial"/>
                <w:sz w:val="20"/>
                <w:szCs w:val="18"/>
              </w:rPr>
              <w:t>19</w:t>
            </w:r>
          </w:p>
        </w:tc>
        <w:tc>
          <w:tcPr>
            <w:tcW w:w="1296" w:type="pct"/>
            <w:tcBorders>
              <w:left w:val="double" w:sz="4" w:space="0" w:color="auto"/>
              <w:right w:val="double" w:sz="4" w:space="0" w:color="auto"/>
            </w:tcBorders>
            <w:vAlign w:val="center"/>
          </w:tcPr>
          <w:p w14:paraId="05511179" w14:textId="507DEB36" w:rsidR="00AE6492" w:rsidRPr="00111DC0" w:rsidRDefault="00263C96" w:rsidP="00F35A3A">
            <w:pPr>
              <w:spacing w:before="0" w:after="0" w:line="259" w:lineRule="auto"/>
              <w:jc w:val="center"/>
              <w:rPr>
                <w:rFonts w:cs="Arial"/>
                <w:sz w:val="20"/>
                <w:szCs w:val="18"/>
              </w:rPr>
            </w:pPr>
            <w:r w:rsidRPr="00111DC0">
              <w:rPr>
                <w:rFonts w:cs="Arial"/>
                <w:sz w:val="20"/>
                <w:szCs w:val="18"/>
              </w:rPr>
              <w:t>-</w:t>
            </w:r>
          </w:p>
        </w:tc>
        <w:tc>
          <w:tcPr>
            <w:tcW w:w="1249" w:type="pct"/>
            <w:tcBorders>
              <w:left w:val="double" w:sz="4" w:space="0" w:color="auto"/>
              <w:right w:val="double" w:sz="4" w:space="0" w:color="auto"/>
            </w:tcBorders>
            <w:vAlign w:val="center"/>
          </w:tcPr>
          <w:p w14:paraId="121805CF" w14:textId="30785A81" w:rsidR="00AE6492" w:rsidRPr="00111DC0" w:rsidRDefault="00263C96" w:rsidP="00F35A3A">
            <w:pPr>
              <w:spacing w:before="0" w:after="0" w:line="259" w:lineRule="auto"/>
              <w:jc w:val="center"/>
              <w:rPr>
                <w:rFonts w:cs="Arial"/>
                <w:sz w:val="20"/>
                <w:szCs w:val="18"/>
              </w:rPr>
            </w:pPr>
            <w:r w:rsidRPr="00111DC0">
              <w:rPr>
                <w:rFonts w:cs="Arial"/>
                <w:sz w:val="20"/>
                <w:szCs w:val="18"/>
              </w:rPr>
              <w:t>-</w:t>
            </w:r>
          </w:p>
        </w:tc>
      </w:tr>
      <w:tr w:rsidR="00AE6492" w:rsidRPr="00111DC0" w14:paraId="231D5923" w14:textId="77777777" w:rsidTr="003C175D">
        <w:tc>
          <w:tcPr>
            <w:tcW w:w="1189" w:type="pct"/>
            <w:vMerge w:val="restart"/>
            <w:tcBorders>
              <w:left w:val="double" w:sz="4" w:space="0" w:color="auto"/>
              <w:right w:val="double" w:sz="4" w:space="0" w:color="auto"/>
            </w:tcBorders>
            <w:vAlign w:val="center"/>
          </w:tcPr>
          <w:p w14:paraId="3C7318E5" w14:textId="44365A87" w:rsidR="00AE6492" w:rsidRPr="00EF2ED1" w:rsidRDefault="00AE6492" w:rsidP="00F35A3A">
            <w:pPr>
              <w:spacing w:before="0" w:after="0" w:line="259" w:lineRule="auto"/>
              <w:jc w:val="center"/>
              <w:rPr>
                <w:rFonts w:eastAsiaTheme="majorEastAsia" w:cs="Arial"/>
                <w:b/>
                <w:bCs/>
                <w:snapToGrid w:val="0"/>
                <w:szCs w:val="26"/>
              </w:rPr>
            </w:pPr>
            <w:r w:rsidRPr="00EF2ED1">
              <w:rPr>
                <w:rFonts w:eastAsiaTheme="majorEastAsia" w:cs="Arial"/>
                <w:b/>
                <w:bCs/>
                <w:snapToGrid w:val="0"/>
                <w:szCs w:val="26"/>
              </w:rPr>
              <w:t>C2</w:t>
            </w:r>
          </w:p>
        </w:tc>
        <w:tc>
          <w:tcPr>
            <w:tcW w:w="1266" w:type="pct"/>
            <w:tcBorders>
              <w:left w:val="double" w:sz="4" w:space="0" w:color="auto"/>
              <w:right w:val="double" w:sz="4" w:space="0" w:color="auto"/>
            </w:tcBorders>
            <w:vAlign w:val="center"/>
          </w:tcPr>
          <w:p w14:paraId="268ECFED" w14:textId="5E254E34" w:rsidR="00AE6492" w:rsidRPr="00111DC0" w:rsidRDefault="00AE6492" w:rsidP="00F35A3A">
            <w:pPr>
              <w:spacing w:before="0" w:after="0" w:line="259" w:lineRule="auto"/>
              <w:jc w:val="center"/>
              <w:rPr>
                <w:rFonts w:eastAsiaTheme="majorEastAsia" w:cs="Arial"/>
                <w:b/>
                <w:bCs/>
                <w:snapToGrid w:val="0"/>
                <w:color w:val="78BE20"/>
                <w:szCs w:val="26"/>
              </w:rPr>
            </w:pPr>
            <w:r w:rsidRPr="00111DC0">
              <w:rPr>
                <w:rFonts w:cs="Arial"/>
                <w:sz w:val="20"/>
                <w:szCs w:val="18"/>
              </w:rPr>
              <w:t>18</w:t>
            </w:r>
          </w:p>
        </w:tc>
        <w:tc>
          <w:tcPr>
            <w:tcW w:w="1296" w:type="pct"/>
            <w:tcBorders>
              <w:left w:val="double" w:sz="4" w:space="0" w:color="auto"/>
              <w:right w:val="double" w:sz="4" w:space="0" w:color="auto"/>
            </w:tcBorders>
            <w:vAlign w:val="center"/>
          </w:tcPr>
          <w:p w14:paraId="4FCB7C8E" w14:textId="398593B8" w:rsidR="00AE6492" w:rsidRPr="00111DC0" w:rsidRDefault="00AE6492" w:rsidP="00F35A3A">
            <w:pPr>
              <w:spacing w:before="0" w:after="0" w:line="259" w:lineRule="auto"/>
              <w:jc w:val="center"/>
              <w:rPr>
                <w:rFonts w:cs="Arial"/>
                <w:sz w:val="20"/>
                <w:szCs w:val="18"/>
              </w:rPr>
            </w:pPr>
            <w:r w:rsidRPr="00111DC0">
              <w:rPr>
                <w:rFonts w:cs="Arial"/>
                <w:sz w:val="20"/>
                <w:szCs w:val="18"/>
              </w:rPr>
              <w:t>78%</w:t>
            </w:r>
          </w:p>
        </w:tc>
        <w:tc>
          <w:tcPr>
            <w:tcW w:w="1249" w:type="pct"/>
            <w:tcBorders>
              <w:left w:val="double" w:sz="4" w:space="0" w:color="auto"/>
              <w:right w:val="double" w:sz="4" w:space="0" w:color="auto"/>
            </w:tcBorders>
            <w:vAlign w:val="center"/>
          </w:tcPr>
          <w:p w14:paraId="4C763C09" w14:textId="24FDCD80" w:rsidR="00AE6492" w:rsidRPr="00111DC0" w:rsidRDefault="00AE6492" w:rsidP="00F35A3A">
            <w:pPr>
              <w:spacing w:before="0" w:after="0" w:line="259" w:lineRule="auto"/>
              <w:jc w:val="center"/>
              <w:rPr>
                <w:rFonts w:cs="Arial"/>
                <w:sz w:val="20"/>
                <w:szCs w:val="18"/>
              </w:rPr>
            </w:pPr>
            <w:r w:rsidRPr="00111DC0">
              <w:rPr>
                <w:rFonts w:cs="Arial"/>
                <w:sz w:val="20"/>
                <w:szCs w:val="18"/>
              </w:rPr>
              <w:t>22%</w:t>
            </w:r>
          </w:p>
        </w:tc>
      </w:tr>
      <w:tr w:rsidR="00AE6492" w:rsidRPr="00111DC0" w14:paraId="4759588D" w14:textId="77777777" w:rsidTr="003C175D">
        <w:tc>
          <w:tcPr>
            <w:tcW w:w="1189" w:type="pct"/>
            <w:vMerge/>
            <w:tcBorders>
              <w:left w:val="double" w:sz="4" w:space="0" w:color="auto"/>
              <w:right w:val="double" w:sz="4" w:space="0" w:color="auto"/>
            </w:tcBorders>
            <w:vAlign w:val="center"/>
          </w:tcPr>
          <w:p w14:paraId="37F15E45" w14:textId="77777777" w:rsidR="00AE6492" w:rsidRPr="00EF2ED1" w:rsidRDefault="00AE6492" w:rsidP="00F35A3A">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41BA4CA4" w14:textId="58360E23" w:rsidR="00AE6492" w:rsidRPr="00111DC0" w:rsidRDefault="00AE6492" w:rsidP="00F35A3A">
            <w:pPr>
              <w:spacing w:before="0" w:after="0" w:line="259" w:lineRule="auto"/>
              <w:jc w:val="center"/>
              <w:rPr>
                <w:rFonts w:eastAsiaTheme="majorEastAsia" w:cs="Arial"/>
                <w:b/>
                <w:bCs/>
                <w:snapToGrid w:val="0"/>
                <w:color w:val="78BE20"/>
                <w:szCs w:val="26"/>
              </w:rPr>
            </w:pPr>
            <w:r w:rsidRPr="00111DC0">
              <w:rPr>
                <w:rFonts w:cs="Arial"/>
                <w:sz w:val="20"/>
                <w:szCs w:val="18"/>
              </w:rPr>
              <w:t>17</w:t>
            </w:r>
          </w:p>
        </w:tc>
        <w:tc>
          <w:tcPr>
            <w:tcW w:w="1296" w:type="pct"/>
            <w:tcBorders>
              <w:left w:val="double" w:sz="4" w:space="0" w:color="auto"/>
              <w:right w:val="double" w:sz="4" w:space="0" w:color="auto"/>
            </w:tcBorders>
            <w:vAlign w:val="center"/>
          </w:tcPr>
          <w:p w14:paraId="231B05AC" w14:textId="556B2785" w:rsidR="00AE6492" w:rsidRPr="00111DC0" w:rsidRDefault="00AE6492" w:rsidP="00F35A3A">
            <w:pPr>
              <w:spacing w:before="0" w:after="0" w:line="259" w:lineRule="auto"/>
              <w:jc w:val="center"/>
              <w:rPr>
                <w:rFonts w:cs="Arial"/>
                <w:sz w:val="20"/>
                <w:szCs w:val="18"/>
              </w:rPr>
            </w:pPr>
            <w:r w:rsidRPr="00111DC0">
              <w:rPr>
                <w:rFonts w:cs="Arial"/>
                <w:sz w:val="20"/>
                <w:szCs w:val="18"/>
              </w:rPr>
              <w:t>66%</w:t>
            </w:r>
          </w:p>
        </w:tc>
        <w:tc>
          <w:tcPr>
            <w:tcW w:w="1249" w:type="pct"/>
            <w:tcBorders>
              <w:left w:val="double" w:sz="4" w:space="0" w:color="auto"/>
              <w:right w:val="double" w:sz="4" w:space="0" w:color="auto"/>
            </w:tcBorders>
            <w:vAlign w:val="center"/>
          </w:tcPr>
          <w:p w14:paraId="5EB56602" w14:textId="30B1CBF4" w:rsidR="00AE6492" w:rsidRPr="00111DC0" w:rsidRDefault="00AE6492" w:rsidP="00F35A3A">
            <w:pPr>
              <w:spacing w:before="0" w:after="0" w:line="259" w:lineRule="auto"/>
              <w:jc w:val="center"/>
              <w:rPr>
                <w:rFonts w:cs="Arial"/>
                <w:sz w:val="20"/>
                <w:szCs w:val="18"/>
              </w:rPr>
            </w:pPr>
            <w:r w:rsidRPr="00111DC0">
              <w:rPr>
                <w:rFonts w:cs="Arial"/>
                <w:sz w:val="20"/>
                <w:szCs w:val="18"/>
              </w:rPr>
              <w:t>34%</w:t>
            </w:r>
          </w:p>
        </w:tc>
      </w:tr>
      <w:tr w:rsidR="00AE6492" w:rsidRPr="00111DC0" w14:paraId="3AA10BF7" w14:textId="77777777" w:rsidTr="003C175D">
        <w:tc>
          <w:tcPr>
            <w:tcW w:w="1189" w:type="pct"/>
            <w:vMerge/>
            <w:tcBorders>
              <w:left w:val="double" w:sz="4" w:space="0" w:color="auto"/>
              <w:right w:val="double" w:sz="4" w:space="0" w:color="auto"/>
            </w:tcBorders>
            <w:vAlign w:val="center"/>
          </w:tcPr>
          <w:p w14:paraId="49A6FBC1" w14:textId="77777777" w:rsidR="00AE6492" w:rsidRPr="00EF2ED1" w:rsidRDefault="00AE6492" w:rsidP="00F35A3A">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2614EF7C" w14:textId="2CC9281D" w:rsidR="00AE6492" w:rsidRPr="00111DC0" w:rsidRDefault="00AE6492" w:rsidP="00F35A3A">
            <w:pPr>
              <w:spacing w:before="0" w:after="0" w:line="259" w:lineRule="auto"/>
              <w:jc w:val="center"/>
              <w:rPr>
                <w:rFonts w:eastAsiaTheme="majorEastAsia" w:cs="Arial"/>
                <w:b/>
                <w:bCs/>
                <w:snapToGrid w:val="0"/>
                <w:color w:val="78BE20"/>
                <w:szCs w:val="26"/>
              </w:rPr>
            </w:pPr>
            <w:r w:rsidRPr="00111DC0">
              <w:rPr>
                <w:rFonts w:cs="Arial"/>
                <w:sz w:val="20"/>
                <w:szCs w:val="18"/>
              </w:rPr>
              <w:t>16</w:t>
            </w:r>
          </w:p>
        </w:tc>
        <w:tc>
          <w:tcPr>
            <w:tcW w:w="1296" w:type="pct"/>
            <w:tcBorders>
              <w:left w:val="double" w:sz="4" w:space="0" w:color="auto"/>
              <w:right w:val="double" w:sz="4" w:space="0" w:color="auto"/>
            </w:tcBorders>
            <w:vAlign w:val="center"/>
          </w:tcPr>
          <w:p w14:paraId="0C342FC2" w14:textId="2BFEDC60" w:rsidR="00AE6492" w:rsidRPr="00111DC0" w:rsidRDefault="00AE6492" w:rsidP="00F35A3A">
            <w:pPr>
              <w:spacing w:before="0" w:after="0" w:line="259" w:lineRule="auto"/>
              <w:jc w:val="center"/>
              <w:rPr>
                <w:rFonts w:cs="Arial"/>
                <w:sz w:val="20"/>
                <w:szCs w:val="18"/>
              </w:rPr>
            </w:pPr>
            <w:r w:rsidRPr="00111DC0">
              <w:rPr>
                <w:rFonts w:cs="Arial"/>
                <w:sz w:val="20"/>
                <w:szCs w:val="18"/>
              </w:rPr>
              <w:t>93%</w:t>
            </w:r>
          </w:p>
        </w:tc>
        <w:tc>
          <w:tcPr>
            <w:tcW w:w="1249" w:type="pct"/>
            <w:tcBorders>
              <w:left w:val="double" w:sz="4" w:space="0" w:color="auto"/>
              <w:right w:val="double" w:sz="4" w:space="0" w:color="auto"/>
            </w:tcBorders>
            <w:vAlign w:val="center"/>
          </w:tcPr>
          <w:p w14:paraId="4918D26F" w14:textId="42ED6062" w:rsidR="00AE6492" w:rsidRPr="00111DC0" w:rsidRDefault="00AE6492" w:rsidP="00F35A3A">
            <w:pPr>
              <w:spacing w:before="0" w:after="0" w:line="259" w:lineRule="auto"/>
              <w:jc w:val="center"/>
              <w:rPr>
                <w:rFonts w:cs="Arial"/>
                <w:sz w:val="20"/>
                <w:szCs w:val="18"/>
              </w:rPr>
            </w:pPr>
            <w:r w:rsidRPr="00111DC0">
              <w:rPr>
                <w:rFonts w:cs="Arial"/>
                <w:sz w:val="20"/>
                <w:szCs w:val="18"/>
              </w:rPr>
              <w:t>7%</w:t>
            </w:r>
          </w:p>
        </w:tc>
      </w:tr>
      <w:tr w:rsidR="00AE6492" w:rsidRPr="00111DC0" w14:paraId="0EFAFD78" w14:textId="77777777" w:rsidTr="003C175D">
        <w:tc>
          <w:tcPr>
            <w:tcW w:w="1189" w:type="pct"/>
            <w:vMerge/>
            <w:tcBorders>
              <w:left w:val="double" w:sz="4" w:space="0" w:color="auto"/>
              <w:right w:val="double" w:sz="4" w:space="0" w:color="auto"/>
            </w:tcBorders>
            <w:vAlign w:val="center"/>
          </w:tcPr>
          <w:p w14:paraId="4F54D6B9" w14:textId="77777777" w:rsidR="00AE6492" w:rsidRPr="00EF2ED1" w:rsidRDefault="00AE6492" w:rsidP="00F35A3A">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04BE68CD" w14:textId="3C149A61" w:rsidR="00AE6492" w:rsidRPr="00111DC0" w:rsidRDefault="00AE6492" w:rsidP="00F35A3A">
            <w:pPr>
              <w:spacing w:before="0" w:after="0" w:line="259" w:lineRule="auto"/>
              <w:jc w:val="center"/>
              <w:rPr>
                <w:rFonts w:eastAsiaTheme="majorEastAsia" w:cs="Arial"/>
                <w:b/>
                <w:bCs/>
                <w:snapToGrid w:val="0"/>
                <w:color w:val="78BE20"/>
                <w:szCs w:val="26"/>
              </w:rPr>
            </w:pPr>
            <w:r w:rsidRPr="00111DC0">
              <w:rPr>
                <w:rFonts w:cs="Arial"/>
                <w:sz w:val="20"/>
                <w:szCs w:val="18"/>
              </w:rPr>
              <w:t>15</w:t>
            </w:r>
          </w:p>
        </w:tc>
        <w:tc>
          <w:tcPr>
            <w:tcW w:w="1296" w:type="pct"/>
            <w:tcBorders>
              <w:left w:val="double" w:sz="4" w:space="0" w:color="auto"/>
              <w:right w:val="double" w:sz="4" w:space="0" w:color="auto"/>
            </w:tcBorders>
            <w:vAlign w:val="center"/>
          </w:tcPr>
          <w:p w14:paraId="17C7420A" w14:textId="170AD40D" w:rsidR="00AE6492" w:rsidRPr="00111DC0" w:rsidRDefault="00AE6492" w:rsidP="00F35A3A">
            <w:pPr>
              <w:spacing w:before="0" w:after="0" w:line="259" w:lineRule="auto"/>
              <w:jc w:val="center"/>
              <w:rPr>
                <w:rFonts w:cs="Arial"/>
                <w:sz w:val="20"/>
                <w:szCs w:val="18"/>
              </w:rPr>
            </w:pPr>
            <w:r w:rsidRPr="00111DC0">
              <w:rPr>
                <w:rFonts w:cs="Arial"/>
                <w:sz w:val="20"/>
                <w:szCs w:val="18"/>
              </w:rPr>
              <w:t>82%</w:t>
            </w:r>
          </w:p>
        </w:tc>
        <w:tc>
          <w:tcPr>
            <w:tcW w:w="1249" w:type="pct"/>
            <w:tcBorders>
              <w:left w:val="double" w:sz="4" w:space="0" w:color="auto"/>
              <w:right w:val="double" w:sz="4" w:space="0" w:color="auto"/>
            </w:tcBorders>
            <w:vAlign w:val="center"/>
          </w:tcPr>
          <w:p w14:paraId="523D2AA3" w14:textId="00C0D500" w:rsidR="00AE6492" w:rsidRPr="00111DC0" w:rsidRDefault="00AE6492" w:rsidP="00F35A3A">
            <w:pPr>
              <w:spacing w:before="0" w:after="0" w:line="259" w:lineRule="auto"/>
              <w:jc w:val="center"/>
              <w:rPr>
                <w:rFonts w:cs="Arial"/>
                <w:sz w:val="20"/>
                <w:szCs w:val="18"/>
              </w:rPr>
            </w:pPr>
            <w:r w:rsidRPr="00111DC0">
              <w:rPr>
                <w:rFonts w:cs="Arial"/>
                <w:sz w:val="20"/>
                <w:szCs w:val="18"/>
              </w:rPr>
              <w:t>18%</w:t>
            </w:r>
          </w:p>
        </w:tc>
      </w:tr>
      <w:tr w:rsidR="00AE6492" w:rsidRPr="00111DC0" w14:paraId="335623B5" w14:textId="77777777" w:rsidTr="003C175D">
        <w:tc>
          <w:tcPr>
            <w:tcW w:w="1189" w:type="pct"/>
            <w:vMerge/>
            <w:tcBorders>
              <w:left w:val="double" w:sz="4" w:space="0" w:color="auto"/>
              <w:right w:val="double" w:sz="4" w:space="0" w:color="auto"/>
            </w:tcBorders>
            <w:vAlign w:val="center"/>
          </w:tcPr>
          <w:p w14:paraId="4DDAA675" w14:textId="77777777" w:rsidR="00AE6492" w:rsidRPr="00EF2ED1" w:rsidRDefault="00AE6492" w:rsidP="00F35A3A">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5830A361" w14:textId="7D735DC4" w:rsidR="00AE6492" w:rsidRPr="00111DC0" w:rsidRDefault="00AE6492" w:rsidP="00F35A3A">
            <w:pPr>
              <w:spacing w:before="0" w:after="0" w:line="259" w:lineRule="auto"/>
              <w:jc w:val="center"/>
              <w:rPr>
                <w:rFonts w:eastAsiaTheme="majorEastAsia" w:cs="Arial"/>
                <w:b/>
                <w:bCs/>
                <w:snapToGrid w:val="0"/>
                <w:color w:val="78BE20"/>
                <w:szCs w:val="26"/>
              </w:rPr>
            </w:pPr>
            <w:r w:rsidRPr="00111DC0">
              <w:rPr>
                <w:rFonts w:cs="Arial"/>
                <w:sz w:val="20"/>
                <w:szCs w:val="18"/>
              </w:rPr>
              <w:t>14</w:t>
            </w:r>
          </w:p>
        </w:tc>
        <w:tc>
          <w:tcPr>
            <w:tcW w:w="1296" w:type="pct"/>
            <w:tcBorders>
              <w:left w:val="double" w:sz="4" w:space="0" w:color="auto"/>
              <w:right w:val="double" w:sz="4" w:space="0" w:color="auto"/>
            </w:tcBorders>
            <w:vAlign w:val="center"/>
          </w:tcPr>
          <w:p w14:paraId="5CF8A803" w14:textId="1575A57B" w:rsidR="00AE6492" w:rsidRPr="00111DC0" w:rsidRDefault="00AE6492" w:rsidP="00F35A3A">
            <w:pPr>
              <w:spacing w:before="0" w:after="0" w:line="259" w:lineRule="auto"/>
              <w:jc w:val="center"/>
              <w:rPr>
                <w:rFonts w:cs="Arial"/>
                <w:sz w:val="20"/>
                <w:szCs w:val="18"/>
              </w:rPr>
            </w:pPr>
            <w:r w:rsidRPr="00111DC0">
              <w:rPr>
                <w:rFonts w:cs="Arial"/>
                <w:sz w:val="20"/>
                <w:szCs w:val="18"/>
              </w:rPr>
              <w:t>-</w:t>
            </w:r>
          </w:p>
        </w:tc>
        <w:tc>
          <w:tcPr>
            <w:tcW w:w="1249" w:type="pct"/>
            <w:tcBorders>
              <w:left w:val="double" w:sz="4" w:space="0" w:color="auto"/>
              <w:right w:val="double" w:sz="4" w:space="0" w:color="auto"/>
            </w:tcBorders>
            <w:vAlign w:val="center"/>
          </w:tcPr>
          <w:p w14:paraId="4A526AE2" w14:textId="188BCC96" w:rsidR="00AE6492" w:rsidRPr="00111DC0" w:rsidRDefault="00AE6492" w:rsidP="00F35A3A">
            <w:pPr>
              <w:spacing w:before="0" w:after="0" w:line="259" w:lineRule="auto"/>
              <w:jc w:val="center"/>
              <w:rPr>
                <w:rFonts w:cs="Arial"/>
                <w:sz w:val="20"/>
                <w:szCs w:val="18"/>
              </w:rPr>
            </w:pPr>
            <w:r w:rsidRPr="00111DC0">
              <w:rPr>
                <w:rFonts w:cs="Arial"/>
                <w:sz w:val="20"/>
                <w:szCs w:val="18"/>
              </w:rPr>
              <w:t>100%</w:t>
            </w:r>
          </w:p>
        </w:tc>
      </w:tr>
      <w:tr w:rsidR="00AE6492" w:rsidRPr="00111DC0" w14:paraId="5E8C00F1" w14:textId="77777777" w:rsidTr="003C175D">
        <w:tc>
          <w:tcPr>
            <w:tcW w:w="1189" w:type="pct"/>
            <w:tcBorders>
              <w:left w:val="double" w:sz="4" w:space="0" w:color="auto"/>
              <w:bottom w:val="double" w:sz="4" w:space="0" w:color="auto"/>
              <w:right w:val="double" w:sz="4" w:space="0" w:color="auto"/>
            </w:tcBorders>
            <w:vAlign w:val="center"/>
          </w:tcPr>
          <w:p w14:paraId="0AA49FAA" w14:textId="3BDDAD8F" w:rsidR="00AE6492" w:rsidRPr="00EF2ED1" w:rsidRDefault="00AE6492" w:rsidP="00F35A3A">
            <w:pPr>
              <w:spacing w:before="0" w:after="0" w:line="259" w:lineRule="auto"/>
              <w:jc w:val="center"/>
              <w:rPr>
                <w:rFonts w:eastAsiaTheme="majorEastAsia" w:cs="Arial"/>
                <w:b/>
                <w:bCs/>
                <w:snapToGrid w:val="0"/>
                <w:szCs w:val="26"/>
              </w:rPr>
            </w:pPr>
            <w:r w:rsidRPr="00EF2ED1">
              <w:rPr>
                <w:rFonts w:eastAsiaTheme="majorEastAsia" w:cs="Arial"/>
                <w:b/>
                <w:bCs/>
                <w:snapToGrid w:val="0"/>
                <w:szCs w:val="26"/>
              </w:rPr>
              <w:t>C2</w:t>
            </w:r>
            <w:r w:rsidR="00F35A3A" w:rsidRPr="00EF2ED1">
              <w:rPr>
                <w:rFonts w:eastAsiaTheme="majorEastAsia" w:cs="Arial"/>
                <w:b/>
                <w:bCs/>
                <w:snapToGrid w:val="0"/>
                <w:szCs w:val="26"/>
              </w:rPr>
              <w:t xml:space="preserve"> - </w:t>
            </w:r>
            <w:r w:rsidRPr="00EF2ED1">
              <w:rPr>
                <w:rFonts w:eastAsiaTheme="majorEastAsia" w:cs="Arial"/>
                <w:b/>
                <w:bCs/>
                <w:snapToGrid w:val="0"/>
                <w:szCs w:val="26"/>
              </w:rPr>
              <w:t>E</w:t>
            </w:r>
          </w:p>
        </w:tc>
        <w:tc>
          <w:tcPr>
            <w:tcW w:w="1266" w:type="pct"/>
            <w:tcBorders>
              <w:left w:val="double" w:sz="4" w:space="0" w:color="auto"/>
              <w:bottom w:val="double" w:sz="4" w:space="0" w:color="auto"/>
              <w:right w:val="double" w:sz="4" w:space="0" w:color="auto"/>
            </w:tcBorders>
            <w:vAlign w:val="center"/>
          </w:tcPr>
          <w:p w14:paraId="688DE61E" w14:textId="4DE122EF" w:rsidR="00AE6492" w:rsidRPr="00111DC0" w:rsidRDefault="00AE6492" w:rsidP="00F35A3A">
            <w:pPr>
              <w:spacing w:before="0" w:after="0" w:line="259" w:lineRule="auto"/>
              <w:jc w:val="center"/>
              <w:rPr>
                <w:rFonts w:eastAsiaTheme="majorEastAsia" w:cs="Arial"/>
                <w:b/>
                <w:bCs/>
                <w:snapToGrid w:val="0"/>
                <w:color w:val="78BE20"/>
                <w:szCs w:val="26"/>
              </w:rPr>
            </w:pPr>
            <w:r w:rsidRPr="00111DC0">
              <w:rPr>
                <w:rFonts w:cs="Arial"/>
                <w:sz w:val="20"/>
                <w:szCs w:val="18"/>
              </w:rPr>
              <w:t>13</w:t>
            </w:r>
          </w:p>
        </w:tc>
        <w:tc>
          <w:tcPr>
            <w:tcW w:w="1296" w:type="pct"/>
            <w:tcBorders>
              <w:left w:val="double" w:sz="4" w:space="0" w:color="auto"/>
              <w:bottom w:val="double" w:sz="4" w:space="0" w:color="auto"/>
              <w:right w:val="double" w:sz="4" w:space="0" w:color="auto"/>
            </w:tcBorders>
            <w:vAlign w:val="center"/>
          </w:tcPr>
          <w:p w14:paraId="26C1F0EE" w14:textId="0AB2A9D3" w:rsidR="00AE6492" w:rsidRPr="00111DC0" w:rsidRDefault="00AE6492" w:rsidP="00F35A3A">
            <w:pPr>
              <w:spacing w:before="0" w:after="0" w:line="259" w:lineRule="auto"/>
              <w:jc w:val="center"/>
              <w:rPr>
                <w:rFonts w:cs="Arial"/>
                <w:sz w:val="20"/>
                <w:szCs w:val="18"/>
              </w:rPr>
            </w:pPr>
            <w:r w:rsidRPr="00111DC0">
              <w:rPr>
                <w:rFonts w:cs="Arial"/>
                <w:sz w:val="20"/>
                <w:szCs w:val="18"/>
              </w:rPr>
              <w:t>58%</w:t>
            </w:r>
          </w:p>
        </w:tc>
        <w:tc>
          <w:tcPr>
            <w:tcW w:w="1249" w:type="pct"/>
            <w:tcBorders>
              <w:left w:val="double" w:sz="4" w:space="0" w:color="auto"/>
              <w:bottom w:val="double" w:sz="4" w:space="0" w:color="auto"/>
              <w:right w:val="double" w:sz="4" w:space="0" w:color="auto"/>
            </w:tcBorders>
            <w:vAlign w:val="center"/>
          </w:tcPr>
          <w:p w14:paraId="7944A0BE" w14:textId="5614180A" w:rsidR="00AE6492" w:rsidRPr="00111DC0" w:rsidRDefault="00AE6492" w:rsidP="00F35A3A">
            <w:pPr>
              <w:spacing w:before="0" w:after="0" w:line="259" w:lineRule="auto"/>
              <w:jc w:val="center"/>
              <w:rPr>
                <w:rFonts w:cs="Arial"/>
                <w:sz w:val="20"/>
                <w:szCs w:val="18"/>
              </w:rPr>
            </w:pPr>
            <w:r w:rsidRPr="00111DC0">
              <w:rPr>
                <w:rFonts w:cs="Arial"/>
                <w:sz w:val="20"/>
                <w:szCs w:val="18"/>
              </w:rPr>
              <w:t>42%</w:t>
            </w:r>
          </w:p>
        </w:tc>
      </w:tr>
    </w:tbl>
    <w:p w14:paraId="41128C7D" w14:textId="22947AC9" w:rsidR="000828F0" w:rsidRDefault="000828F0" w:rsidP="0094389F"/>
    <w:p w14:paraId="09C8BC83" w14:textId="091B95FA" w:rsidR="00B46898" w:rsidRDefault="00B46898" w:rsidP="00CA03DF">
      <w:pPr>
        <w:rPr>
          <w:rFonts w:cs="Arial"/>
        </w:rPr>
      </w:pPr>
      <w:r>
        <w:rPr>
          <w:rFonts w:cs="Arial"/>
        </w:rPr>
        <w:t>E</w:t>
      </w:r>
      <w:r w:rsidR="00EE5D72" w:rsidRPr="00111DC0">
        <w:rPr>
          <w:rFonts w:cs="Arial"/>
        </w:rPr>
        <w:t>l índice de concentración</w:t>
      </w:r>
      <w:r>
        <w:rPr>
          <w:rFonts w:cs="Arial"/>
        </w:rPr>
        <w:t xml:space="preserve"> señala</w:t>
      </w:r>
      <w:r w:rsidR="00CA03DF" w:rsidRPr="00111DC0">
        <w:rPr>
          <w:rFonts w:cs="Arial"/>
          <w:b/>
          <w:bCs/>
        </w:rPr>
        <w:t xml:space="preserve"> que </w:t>
      </w:r>
      <w:r w:rsidR="00BE0763" w:rsidRPr="001118E8">
        <w:rPr>
          <w:rFonts w:cs="Arial"/>
          <w:b/>
          <w:bCs/>
        </w:rPr>
        <w:t>existe una mayor presencia correlativa de hombres que de mujeres en los niveles más altos</w:t>
      </w:r>
      <w:r w:rsidR="001118E8">
        <w:rPr>
          <w:rFonts w:cs="Arial"/>
          <w:b/>
          <w:bCs/>
        </w:rPr>
        <w:t>:</w:t>
      </w:r>
    </w:p>
    <w:tbl>
      <w:tblPr>
        <w:tblStyle w:val="Tablaconcuadrcula"/>
        <w:tblW w:w="4938" w:type="pct"/>
        <w:tblInd w:w="108" w:type="dxa"/>
        <w:tblLook w:val="04A0" w:firstRow="1" w:lastRow="0" w:firstColumn="1" w:lastColumn="0" w:noHBand="0" w:noVBand="1"/>
      </w:tblPr>
      <w:tblGrid>
        <w:gridCol w:w="2049"/>
        <w:gridCol w:w="2181"/>
        <w:gridCol w:w="2232"/>
        <w:gridCol w:w="2150"/>
      </w:tblGrid>
      <w:tr w:rsidR="000828F0" w:rsidRPr="00111DC0" w14:paraId="23FA4044" w14:textId="77777777" w:rsidTr="001118E8">
        <w:trPr>
          <w:trHeight w:val="493"/>
        </w:trPr>
        <w:tc>
          <w:tcPr>
            <w:tcW w:w="5000" w:type="pct"/>
            <w:gridSpan w:val="4"/>
            <w:tcBorders>
              <w:top w:val="double" w:sz="4" w:space="0" w:color="auto"/>
              <w:left w:val="double" w:sz="4" w:space="0" w:color="auto"/>
              <w:bottom w:val="double" w:sz="4" w:space="0" w:color="auto"/>
              <w:right w:val="double" w:sz="4" w:space="0" w:color="auto"/>
            </w:tcBorders>
            <w:shd w:val="clear" w:color="auto" w:fill="78BE20"/>
            <w:vAlign w:val="center"/>
          </w:tcPr>
          <w:p w14:paraId="7E5AE2EF" w14:textId="7E2DF5CD" w:rsidR="000828F0" w:rsidRPr="00111DC0" w:rsidRDefault="00B46898" w:rsidP="000F4CC1">
            <w:pPr>
              <w:widowControl w:val="0"/>
              <w:spacing w:before="0" w:after="0" w:line="240" w:lineRule="auto"/>
              <w:jc w:val="left"/>
              <w:rPr>
                <w:rFonts w:cs="Arial"/>
                <w:b/>
                <w:bCs/>
                <w:color w:val="FFFFFF" w:themeColor="background1"/>
                <w:szCs w:val="20"/>
              </w:rPr>
            </w:pPr>
            <w:r>
              <w:rPr>
                <w:rFonts w:cs="Arial"/>
              </w:rPr>
              <w:br w:type="page"/>
            </w:r>
            <w:r w:rsidR="000828F0" w:rsidRPr="00111DC0">
              <w:rPr>
                <w:rFonts w:cs="Arial"/>
                <w:b/>
                <w:bCs/>
                <w:color w:val="FFFFFF" w:themeColor="background1"/>
                <w:szCs w:val="20"/>
              </w:rPr>
              <w:t>Tabla 4. Concentración por sexo y nivel del personal funcionario</w:t>
            </w:r>
          </w:p>
          <w:p w14:paraId="7FC0D6B8" w14:textId="77777777" w:rsidR="000828F0" w:rsidRPr="00111DC0" w:rsidRDefault="000828F0" w:rsidP="000F4CC1">
            <w:pPr>
              <w:widowControl w:val="0"/>
              <w:spacing w:before="0" w:after="0" w:line="240" w:lineRule="auto"/>
              <w:jc w:val="left"/>
              <w:rPr>
                <w:rFonts w:eastAsiaTheme="majorEastAsia" w:cs="Arial"/>
                <w:b/>
                <w:bCs/>
                <w:snapToGrid w:val="0"/>
                <w:color w:val="78BE20"/>
                <w:szCs w:val="26"/>
              </w:rPr>
            </w:pPr>
            <w:r w:rsidRPr="00111DC0">
              <w:rPr>
                <w:rFonts w:cs="Arial"/>
                <w:color w:val="FFFFFF" w:themeColor="background1"/>
                <w:szCs w:val="20"/>
              </w:rPr>
              <w:t>(Servicios Generales)</w:t>
            </w:r>
          </w:p>
        </w:tc>
      </w:tr>
      <w:tr w:rsidR="000828F0" w:rsidRPr="00111DC0" w14:paraId="4EEC1971" w14:textId="77777777" w:rsidTr="001118E8">
        <w:trPr>
          <w:trHeight w:val="245"/>
        </w:trPr>
        <w:tc>
          <w:tcPr>
            <w:tcW w:w="1190" w:type="pct"/>
            <w:tcBorders>
              <w:top w:val="double" w:sz="4" w:space="0" w:color="auto"/>
              <w:left w:val="double" w:sz="4" w:space="0" w:color="auto"/>
              <w:bottom w:val="double" w:sz="4" w:space="0" w:color="auto"/>
              <w:right w:val="double" w:sz="4" w:space="0" w:color="auto"/>
            </w:tcBorders>
            <w:vAlign w:val="center"/>
          </w:tcPr>
          <w:p w14:paraId="52802813" w14:textId="77777777" w:rsidR="000828F0" w:rsidRPr="00111DC0" w:rsidRDefault="000828F0" w:rsidP="000F4CC1">
            <w:pPr>
              <w:spacing w:before="0" w:after="0" w:line="259"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GRUPO</w:t>
            </w:r>
          </w:p>
        </w:tc>
        <w:tc>
          <w:tcPr>
            <w:tcW w:w="1266" w:type="pct"/>
            <w:tcBorders>
              <w:top w:val="double" w:sz="4" w:space="0" w:color="auto"/>
              <w:left w:val="double" w:sz="4" w:space="0" w:color="auto"/>
              <w:bottom w:val="double" w:sz="4" w:space="0" w:color="auto"/>
              <w:right w:val="double" w:sz="4" w:space="0" w:color="auto"/>
            </w:tcBorders>
            <w:vAlign w:val="center"/>
          </w:tcPr>
          <w:p w14:paraId="198E43A9" w14:textId="77777777" w:rsidR="000828F0" w:rsidRPr="00111DC0" w:rsidRDefault="000828F0" w:rsidP="000F4CC1">
            <w:pPr>
              <w:spacing w:before="0" w:after="0" w:line="259"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NIVEL</w:t>
            </w:r>
          </w:p>
        </w:tc>
        <w:tc>
          <w:tcPr>
            <w:tcW w:w="1296" w:type="pct"/>
            <w:tcBorders>
              <w:top w:val="double" w:sz="4" w:space="0" w:color="auto"/>
              <w:left w:val="double" w:sz="4" w:space="0" w:color="auto"/>
              <w:bottom w:val="double" w:sz="4" w:space="0" w:color="auto"/>
              <w:right w:val="double" w:sz="4" w:space="0" w:color="auto"/>
            </w:tcBorders>
            <w:vAlign w:val="center"/>
          </w:tcPr>
          <w:p w14:paraId="01C66D4F" w14:textId="77777777" w:rsidR="000828F0" w:rsidRPr="00111DC0" w:rsidRDefault="000828F0" w:rsidP="000F4CC1">
            <w:pPr>
              <w:widowControl w:val="0"/>
              <w:spacing w:before="0" w:after="0" w:line="240" w:lineRule="auto"/>
              <w:jc w:val="center"/>
              <w:rPr>
                <w:rFonts w:eastAsiaTheme="majorEastAsia" w:cs="Arial"/>
                <w:b/>
                <w:bCs/>
                <w:snapToGrid w:val="0"/>
                <w:color w:val="78BE20"/>
                <w:szCs w:val="26"/>
              </w:rPr>
            </w:pPr>
            <w:r w:rsidRPr="00111DC0">
              <w:rPr>
                <w:rFonts w:cs="Arial"/>
                <w:b/>
                <w:bCs/>
                <w:sz w:val="20"/>
                <w:szCs w:val="18"/>
              </w:rPr>
              <w:t>MUJERES</w:t>
            </w:r>
          </w:p>
        </w:tc>
        <w:tc>
          <w:tcPr>
            <w:tcW w:w="1248" w:type="pct"/>
            <w:tcBorders>
              <w:top w:val="double" w:sz="4" w:space="0" w:color="auto"/>
              <w:left w:val="double" w:sz="4" w:space="0" w:color="auto"/>
              <w:bottom w:val="double" w:sz="4" w:space="0" w:color="auto"/>
              <w:right w:val="double" w:sz="4" w:space="0" w:color="auto"/>
            </w:tcBorders>
            <w:vAlign w:val="center"/>
          </w:tcPr>
          <w:p w14:paraId="345C2B0B" w14:textId="77777777" w:rsidR="000828F0" w:rsidRPr="00111DC0" w:rsidRDefault="000828F0" w:rsidP="000F4CC1">
            <w:pPr>
              <w:widowControl w:val="0"/>
              <w:spacing w:before="0" w:after="0" w:line="240" w:lineRule="auto"/>
              <w:jc w:val="center"/>
              <w:rPr>
                <w:rFonts w:eastAsiaTheme="majorEastAsia" w:cs="Arial"/>
                <w:b/>
                <w:bCs/>
                <w:snapToGrid w:val="0"/>
                <w:color w:val="78BE20"/>
                <w:szCs w:val="26"/>
              </w:rPr>
            </w:pPr>
            <w:r w:rsidRPr="00111DC0">
              <w:rPr>
                <w:rFonts w:cs="Arial"/>
                <w:b/>
                <w:bCs/>
                <w:sz w:val="20"/>
                <w:szCs w:val="18"/>
              </w:rPr>
              <w:t>HOMBRES</w:t>
            </w:r>
          </w:p>
        </w:tc>
      </w:tr>
      <w:tr w:rsidR="000828F0" w:rsidRPr="00111DC0" w14:paraId="362D1E24" w14:textId="77777777" w:rsidTr="0038508D">
        <w:tc>
          <w:tcPr>
            <w:tcW w:w="1190" w:type="pct"/>
            <w:tcBorders>
              <w:top w:val="double" w:sz="4" w:space="0" w:color="auto"/>
              <w:left w:val="double" w:sz="4" w:space="0" w:color="auto"/>
              <w:right w:val="double" w:sz="4" w:space="0" w:color="auto"/>
            </w:tcBorders>
            <w:vAlign w:val="center"/>
          </w:tcPr>
          <w:p w14:paraId="5298E9BA" w14:textId="77777777" w:rsidR="000828F0" w:rsidRPr="00111DC0" w:rsidRDefault="000828F0" w:rsidP="000F4CC1">
            <w:pPr>
              <w:spacing w:before="0" w:after="0" w:line="259" w:lineRule="auto"/>
              <w:jc w:val="center"/>
              <w:rPr>
                <w:rFonts w:eastAsiaTheme="majorEastAsia" w:cs="Arial"/>
                <w:b/>
                <w:bCs/>
                <w:snapToGrid w:val="0"/>
                <w:color w:val="78BE20"/>
                <w:szCs w:val="26"/>
              </w:rPr>
            </w:pPr>
          </w:p>
        </w:tc>
        <w:tc>
          <w:tcPr>
            <w:tcW w:w="1266" w:type="pct"/>
            <w:tcBorders>
              <w:top w:val="double" w:sz="4" w:space="0" w:color="auto"/>
              <w:left w:val="double" w:sz="4" w:space="0" w:color="auto"/>
              <w:right w:val="double" w:sz="4" w:space="0" w:color="auto"/>
            </w:tcBorders>
            <w:vAlign w:val="center"/>
          </w:tcPr>
          <w:p w14:paraId="4F4B7111" w14:textId="77777777" w:rsidR="000828F0" w:rsidRPr="00111DC0" w:rsidRDefault="000828F0" w:rsidP="000F4CC1">
            <w:pPr>
              <w:spacing w:before="0" w:after="0" w:line="259" w:lineRule="auto"/>
              <w:jc w:val="center"/>
              <w:rPr>
                <w:rFonts w:eastAsiaTheme="majorEastAsia" w:cs="Arial"/>
                <w:b/>
                <w:bCs/>
                <w:snapToGrid w:val="0"/>
                <w:color w:val="78BE20"/>
                <w:szCs w:val="26"/>
              </w:rPr>
            </w:pPr>
            <w:r w:rsidRPr="00111DC0">
              <w:rPr>
                <w:rFonts w:cs="Arial"/>
                <w:sz w:val="20"/>
                <w:szCs w:val="18"/>
              </w:rPr>
              <w:t>30</w:t>
            </w:r>
          </w:p>
        </w:tc>
        <w:tc>
          <w:tcPr>
            <w:tcW w:w="1296" w:type="pct"/>
            <w:tcBorders>
              <w:top w:val="double" w:sz="4" w:space="0" w:color="auto"/>
              <w:left w:val="double" w:sz="4" w:space="0" w:color="auto"/>
              <w:right w:val="double" w:sz="4" w:space="0" w:color="auto"/>
            </w:tcBorders>
            <w:vAlign w:val="center"/>
          </w:tcPr>
          <w:p w14:paraId="1C3D739E" w14:textId="77777777" w:rsidR="000828F0" w:rsidRPr="00111DC0" w:rsidRDefault="000828F0" w:rsidP="000F4CC1">
            <w:pPr>
              <w:spacing w:before="0" w:after="0" w:line="259" w:lineRule="auto"/>
              <w:jc w:val="center"/>
              <w:rPr>
                <w:rFonts w:cs="Arial"/>
                <w:sz w:val="20"/>
                <w:szCs w:val="18"/>
              </w:rPr>
            </w:pPr>
            <w:r w:rsidRPr="00111DC0">
              <w:rPr>
                <w:rFonts w:cs="Arial"/>
                <w:sz w:val="20"/>
                <w:szCs w:val="18"/>
              </w:rPr>
              <w:t>-</w:t>
            </w:r>
          </w:p>
        </w:tc>
        <w:tc>
          <w:tcPr>
            <w:tcW w:w="1248" w:type="pct"/>
            <w:tcBorders>
              <w:top w:val="double" w:sz="4" w:space="0" w:color="auto"/>
              <w:left w:val="double" w:sz="4" w:space="0" w:color="auto"/>
              <w:right w:val="double" w:sz="4" w:space="0" w:color="auto"/>
            </w:tcBorders>
            <w:vAlign w:val="center"/>
          </w:tcPr>
          <w:p w14:paraId="7C893116" w14:textId="77777777" w:rsidR="000828F0" w:rsidRPr="00111DC0" w:rsidRDefault="000828F0" w:rsidP="000F4CC1">
            <w:pPr>
              <w:spacing w:before="0" w:after="0" w:line="259" w:lineRule="auto"/>
              <w:jc w:val="center"/>
              <w:rPr>
                <w:rFonts w:cs="Arial"/>
                <w:sz w:val="20"/>
                <w:szCs w:val="18"/>
              </w:rPr>
            </w:pPr>
            <w:r w:rsidRPr="00111DC0">
              <w:rPr>
                <w:rFonts w:cs="Arial"/>
                <w:sz w:val="20"/>
                <w:szCs w:val="18"/>
              </w:rPr>
              <w:t>-</w:t>
            </w:r>
          </w:p>
        </w:tc>
      </w:tr>
      <w:tr w:rsidR="000828F0" w:rsidRPr="00111DC0" w14:paraId="2697177D" w14:textId="77777777" w:rsidTr="003C175D">
        <w:tc>
          <w:tcPr>
            <w:tcW w:w="1190" w:type="pct"/>
            <w:tcBorders>
              <w:left w:val="double" w:sz="4" w:space="0" w:color="auto"/>
              <w:right w:val="double" w:sz="4" w:space="0" w:color="auto"/>
            </w:tcBorders>
            <w:vAlign w:val="center"/>
          </w:tcPr>
          <w:p w14:paraId="7BEA1C5F" w14:textId="77777777" w:rsidR="000828F0" w:rsidRPr="00111DC0" w:rsidRDefault="000828F0" w:rsidP="000F4CC1">
            <w:pPr>
              <w:spacing w:before="0" w:after="0" w:line="259" w:lineRule="auto"/>
              <w:jc w:val="center"/>
              <w:rPr>
                <w:rFonts w:eastAsiaTheme="majorEastAsia" w:cs="Arial"/>
                <w:b/>
                <w:bCs/>
                <w:snapToGrid w:val="0"/>
                <w:color w:val="78BE20"/>
                <w:szCs w:val="26"/>
              </w:rPr>
            </w:pPr>
          </w:p>
        </w:tc>
        <w:tc>
          <w:tcPr>
            <w:tcW w:w="1266" w:type="pct"/>
            <w:tcBorders>
              <w:left w:val="double" w:sz="4" w:space="0" w:color="auto"/>
              <w:right w:val="double" w:sz="4" w:space="0" w:color="auto"/>
            </w:tcBorders>
            <w:vAlign w:val="center"/>
          </w:tcPr>
          <w:p w14:paraId="5F4F6BC9" w14:textId="77777777" w:rsidR="000828F0" w:rsidRPr="00111DC0" w:rsidRDefault="000828F0" w:rsidP="000F4CC1">
            <w:pPr>
              <w:spacing w:before="0" w:after="0" w:line="259" w:lineRule="auto"/>
              <w:jc w:val="center"/>
              <w:rPr>
                <w:rFonts w:eastAsiaTheme="majorEastAsia" w:cs="Arial"/>
                <w:b/>
                <w:bCs/>
                <w:snapToGrid w:val="0"/>
                <w:color w:val="78BE20"/>
                <w:szCs w:val="26"/>
              </w:rPr>
            </w:pPr>
            <w:r w:rsidRPr="00111DC0">
              <w:rPr>
                <w:rFonts w:cs="Arial"/>
                <w:sz w:val="20"/>
                <w:szCs w:val="18"/>
              </w:rPr>
              <w:t>29</w:t>
            </w:r>
          </w:p>
        </w:tc>
        <w:tc>
          <w:tcPr>
            <w:tcW w:w="1296" w:type="pct"/>
            <w:tcBorders>
              <w:left w:val="double" w:sz="4" w:space="0" w:color="auto"/>
              <w:right w:val="double" w:sz="4" w:space="0" w:color="auto"/>
            </w:tcBorders>
            <w:vAlign w:val="center"/>
          </w:tcPr>
          <w:p w14:paraId="04E6E0DB" w14:textId="77777777" w:rsidR="000828F0" w:rsidRPr="00111DC0" w:rsidRDefault="000828F0" w:rsidP="000F4CC1">
            <w:pPr>
              <w:spacing w:before="0" w:after="0" w:line="259" w:lineRule="auto"/>
              <w:jc w:val="center"/>
              <w:rPr>
                <w:rFonts w:cs="Arial"/>
                <w:sz w:val="20"/>
                <w:szCs w:val="18"/>
              </w:rPr>
            </w:pPr>
            <w:r w:rsidRPr="00111DC0">
              <w:rPr>
                <w:rFonts w:cs="Arial"/>
                <w:sz w:val="20"/>
                <w:szCs w:val="18"/>
              </w:rPr>
              <w:t>-</w:t>
            </w:r>
          </w:p>
        </w:tc>
        <w:tc>
          <w:tcPr>
            <w:tcW w:w="1248" w:type="pct"/>
            <w:tcBorders>
              <w:left w:val="double" w:sz="4" w:space="0" w:color="auto"/>
              <w:right w:val="double" w:sz="4" w:space="0" w:color="auto"/>
            </w:tcBorders>
            <w:vAlign w:val="center"/>
          </w:tcPr>
          <w:p w14:paraId="284CD514" w14:textId="77777777" w:rsidR="000828F0" w:rsidRPr="00111DC0" w:rsidRDefault="000828F0" w:rsidP="000F4CC1">
            <w:pPr>
              <w:spacing w:before="0" w:after="0" w:line="259" w:lineRule="auto"/>
              <w:jc w:val="center"/>
              <w:rPr>
                <w:rFonts w:cs="Arial"/>
                <w:sz w:val="20"/>
                <w:szCs w:val="18"/>
              </w:rPr>
            </w:pPr>
            <w:r w:rsidRPr="00111DC0">
              <w:rPr>
                <w:rFonts w:cs="Arial"/>
                <w:sz w:val="20"/>
                <w:szCs w:val="18"/>
              </w:rPr>
              <w:t>-</w:t>
            </w:r>
          </w:p>
        </w:tc>
      </w:tr>
      <w:tr w:rsidR="000828F0" w:rsidRPr="00111DC0" w14:paraId="56D5D54D" w14:textId="77777777" w:rsidTr="003C175D">
        <w:tc>
          <w:tcPr>
            <w:tcW w:w="1190" w:type="pct"/>
            <w:vMerge w:val="restart"/>
            <w:tcBorders>
              <w:left w:val="double" w:sz="4" w:space="0" w:color="auto"/>
              <w:right w:val="double" w:sz="4" w:space="0" w:color="auto"/>
            </w:tcBorders>
            <w:vAlign w:val="center"/>
          </w:tcPr>
          <w:p w14:paraId="0D6CEB3B" w14:textId="77777777" w:rsidR="000828F0" w:rsidRPr="00EF2ED1" w:rsidRDefault="000828F0" w:rsidP="000F4CC1">
            <w:pPr>
              <w:spacing w:before="0" w:after="0" w:line="259" w:lineRule="auto"/>
              <w:jc w:val="center"/>
              <w:rPr>
                <w:rFonts w:eastAsiaTheme="majorEastAsia" w:cs="Arial"/>
                <w:b/>
                <w:bCs/>
                <w:snapToGrid w:val="0"/>
                <w:szCs w:val="26"/>
              </w:rPr>
            </w:pPr>
            <w:r w:rsidRPr="00EF2ED1">
              <w:rPr>
                <w:rFonts w:eastAsiaTheme="majorEastAsia" w:cs="Arial"/>
                <w:b/>
                <w:bCs/>
                <w:snapToGrid w:val="0"/>
                <w:szCs w:val="26"/>
              </w:rPr>
              <w:t>A1</w:t>
            </w:r>
          </w:p>
        </w:tc>
        <w:tc>
          <w:tcPr>
            <w:tcW w:w="1266" w:type="pct"/>
            <w:tcBorders>
              <w:left w:val="double" w:sz="4" w:space="0" w:color="auto"/>
              <w:right w:val="double" w:sz="4" w:space="0" w:color="auto"/>
            </w:tcBorders>
            <w:vAlign w:val="center"/>
          </w:tcPr>
          <w:p w14:paraId="26890197" w14:textId="77777777" w:rsidR="000828F0" w:rsidRPr="00111DC0" w:rsidRDefault="000828F0" w:rsidP="000F4CC1">
            <w:pPr>
              <w:spacing w:before="0" w:after="0" w:line="259" w:lineRule="auto"/>
              <w:jc w:val="center"/>
              <w:rPr>
                <w:rFonts w:eastAsiaTheme="majorEastAsia" w:cs="Arial"/>
                <w:b/>
                <w:bCs/>
                <w:snapToGrid w:val="0"/>
                <w:color w:val="78BE20"/>
                <w:szCs w:val="26"/>
              </w:rPr>
            </w:pPr>
            <w:r w:rsidRPr="00111DC0">
              <w:rPr>
                <w:rFonts w:cs="Arial"/>
                <w:sz w:val="20"/>
                <w:szCs w:val="18"/>
              </w:rPr>
              <w:t>28</w:t>
            </w:r>
          </w:p>
        </w:tc>
        <w:tc>
          <w:tcPr>
            <w:tcW w:w="1296" w:type="pct"/>
            <w:tcBorders>
              <w:left w:val="double" w:sz="4" w:space="0" w:color="auto"/>
              <w:right w:val="double" w:sz="4" w:space="0" w:color="auto"/>
            </w:tcBorders>
            <w:vAlign w:val="center"/>
          </w:tcPr>
          <w:p w14:paraId="710EB872" w14:textId="27A8C5B1" w:rsidR="000828F0" w:rsidRPr="00111DC0" w:rsidRDefault="000828F0" w:rsidP="000F4CC1">
            <w:pPr>
              <w:spacing w:before="0" w:after="0" w:line="259" w:lineRule="auto"/>
              <w:jc w:val="center"/>
              <w:rPr>
                <w:rFonts w:cs="Arial"/>
                <w:sz w:val="20"/>
                <w:szCs w:val="18"/>
              </w:rPr>
            </w:pPr>
            <w:r w:rsidRPr="00111DC0">
              <w:rPr>
                <w:rFonts w:cs="Arial"/>
                <w:sz w:val="20"/>
                <w:szCs w:val="18"/>
              </w:rPr>
              <w:t>3</w:t>
            </w:r>
            <w:r w:rsidR="00F4774A" w:rsidRPr="00111DC0">
              <w:rPr>
                <w:rFonts w:cs="Arial"/>
                <w:sz w:val="20"/>
                <w:szCs w:val="18"/>
              </w:rPr>
              <w:t>,3</w:t>
            </w:r>
            <w:r w:rsidRPr="00111DC0">
              <w:rPr>
                <w:rFonts w:cs="Arial"/>
                <w:sz w:val="20"/>
                <w:szCs w:val="18"/>
              </w:rPr>
              <w:t>%</w:t>
            </w:r>
          </w:p>
        </w:tc>
        <w:tc>
          <w:tcPr>
            <w:tcW w:w="1248" w:type="pct"/>
            <w:tcBorders>
              <w:left w:val="double" w:sz="4" w:space="0" w:color="auto"/>
              <w:right w:val="double" w:sz="4" w:space="0" w:color="auto"/>
            </w:tcBorders>
            <w:vAlign w:val="center"/>
          </w:tcPr>
          <w:p w14:paraId="5CC6EF43" w14:textId="5E927166" w:rsidR="000828F0" w:rsidRPr="00111DC0" w:rsidRDefault="000828F0" w:rsidP="000F4CC1">
            <w:pPr>
              <w:spacing w:before="0" w:after="0" w:line="259" w:lineRule="auto"/>
              <w:jc w:val="center"/>
              <w:rPr>
                <w:rFonts w:cs="Arial"/>
                <w:sz w:val="20"/>
                <w:szCs w:val="18"/>
              </w:rPr>
            </w:pPr>
            <w:r w:rsidRPr="00111DC0">
              <w:rPr>
                <w:rFonts w:cs="Arial"/>
                <w:sz w:val="20"/>
                <w:szCs w:val="18"/>
              </w:rPr>
              <w:t>7</w:t>
            </w:r>
            <w:r w:rsidR="00F4774A" w:rsidRPr="00111DC0">
              <w:rPr>
                <w:rFonts w:cs="Arial"/>
                <w:sz w:val="20"/>
                <w:szCs w:val="18"/>
              </w:rPr>
              <w:t>,1</w:t>
            </w:r>
            <w:r w:rsidRPr="00111DC0">
              <w:rPr>
                <w:rFonts w:cs="Arial"/>
                <w:sz w:val="20"/>
                <w:szCs w:val="18"/>
              </w:rPr>
              <w:t>%</w:t>
            </w:r>
          </w:p>
        </w:tc>
      </w:tr>
      <w:tr w:rsidR="000828F0" w:rsidRPr="00111DC0" w14:paraId="139562FC" w14:textId="77777777" w:rsidTr="003C175D">
        <w:tc>
          <w:tcPr>
            <w:tcW w:w="1190" w:type="pct"/>
            <w:vMerge/>
            <w:tcBorders>
              <w:left w:val="double" w:sz="4" w:space="0" w:color="auto"/>
              <w:right w:val="double" w:sz="4" w:space="0" w:color="auto"/>
            </w:tcBorders>
            <w:vAlign w:val="center"/>
          </w:tcPr>
          <w:p w14:paraId="6464BD64" w14:textId="77777777" w:rsidR="000828F0" w:rsidRPr="00EF2ED1" w:rsidRDefault="000828F0" w:rsidP="000F4CC1">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07C29E0B" w14:textId="77777777" w:rsidR="000828F0" w:rsidRPr="00111DC0" w:rsidRDefault="000828F0" w:rsidP="000F4CC1">
            <w:pPr>
              <w:spacing w:before="0" w:after="0" w:line="259" w:lineRule="auto"/>
              <w:jc w:val="center"/>
              <w:rPr>
                <w:rFonts w:eastAsiaTheme="majorEastAsia" w:cs="Arial"/>
                <w:b/>
                <w:bCs/>
                <w:snapToGrid w:val="0"/>
                <w:color w:val="78BE20"/>
                <w:szCs w:val="26"/>
              </w:rPr>
            </w:pPr>
            <w:r w:rsidRPr="00111DC0">
              <w:rPr>
                <w:rFonts w:cs="Arial"/>
                <w:sz w:val="20"/>
                <w:szCs w:val="18"/>
              </w:rPr>
              <w:t>27</w:t>
            </w:r>
          </w:p>
        </w:tc>
        <w:tc>
          <w:tcPr>
            <w:tcW w:w="1296" w:type="pct"/>
            <w:tcBorders>
              <w:left w:val="double" w:sz="4" w:space="0" w:color="auto"/>
              <w:right w:val="double" w:sz="4" w:space="0" w:color="auto"/>
            </w:tcBorders>
            <w:vAlign w:val="center"/>
          </w:tcPr>
          <w:p w14:paraId="5035B103" w14:textId="77777777" w:rsidR="000828F0" w:rsidRPr="00111DC0" w:rsidRDefault="000828F0" w:rsidP="000F4CC1">
            <w:pPr>
              <w:spacing w:before="0" w:after="0" w:line="259" w:lineRule="auto"/>
              <w:jc w:val="center"/>
              <w:rPr>
                <w:rFonts w:cs="Arial"/>
                <w:sz w:val="20"/>
                <w:szCs w:val="18"/>
              </w:rPr>
            </w:pPr>
            <w:r w:rsidRPr="00111DC0">
              <w:rPr>
                <w:rFonts w:cs="Arial"/>
                <w:sz w:val="20"/>
                <w:szCs w:val="18"/>
              </w:rPr>
              <w:t>-</w:t>
            </w:r>
          </w:p>
        </w:tc>
        <w:tc>
          <w:tcPr>
            <w:tcW w:w="1248" w:type="pct"/>
            <w:tcBorders>
              <w:left w:val="double" w:sz="4" w:space="0" w:color="auto"/>
              <w:right w:val="double" w:sz="4" w:space="0" w:color="auto"/>
            </w:tcBorders>
            <w:vAlign w:val="center"/>
          </w:tcPr>
          <w:p w14:paraId="36D48F97" w14:textId="0FDB2578" w:rsidR="000828F0" w:rsidRPr="00111DC0" w:rsidRDefault="00263C96" w:rsidP="000F4CC1">
            <w:pPr>
              <w:spacing w:before="0" w:after="0" w:line="259" w:lineRule="auto"/>
              <w:jc w:val="center"/>
              <w:rPr>
                <w:rFonts w:cs="Arial"/>
                <w:sz w:val="20"/>
                <w:szCs w:val="18"/>
              </w:rPr>
            </w:pPr>
            <w:r w:rsidRPr="00111DC0">
              <w:rPr>
                <w:rFonts w:cs="Arial"/>
                <w:sz w:val="20"/>
                <w:szCs w:val="18"/>
              </w:rPr>
              <w:t>0,3</w:t>
            </w:r>
            <w:r w:rsidR="000828F0" w:rsidRPr="00111DC0">
              <w:rPr>
                <w:rFonts w:cs="Arial"/>
                <w:sz w:val="20"/>
                <w:szCs w:val="18"/>
              </w:rPr>
              <w:t>%</w:t>
            </w:r>
          </w:p>
        </w:tc>
      </w:tr>
      <w:tr w:rsidR="000828F0" w:rsidRPr="00111DC0" w14:paraId="0B1DDB2D" w14:textId="77777777" w:rsidTr="003C175D">
        <w:tc>
          <w:tcPr>
            <w:tcW w:w="1190" w:type="pct"/>
            <w:vMerge w:val="restart"/>
            <w:tcBorders>
              <w:left w:val="double" w:sz="4" w:space="0" w:color="auto"/>
              <w:right w:val="double" w:sz="4" w:space="0" w:color="auto"/>
            </w:tcBorders>
            <w:vAlign w:val="center"/>
          </w:tcPr>
          <w:p w14:paraId="650309D4" w14:textId="77777777" w:rsidR="000828F0" w:rsidRPr="00EF2ED1" w:rsidRDefault="000828F0" w:rsidP="000F4CC1">
            <w:pPr>
              <w:spacing w:before="0" w:after="0" w:line="259" w:lineRule="auto"/>
              <w:jc w:val="center"/>
              <w:rPr>
                <w:rFonts w:eastAsiaTheme="majorEastAsia" w:cs="Arial"/>
                <w:b/>
                <w:bCs/>
                <w:snapToGrid w:val="0"/>
                <w:szCs w:val="26"/>
              </w:rPr>
            </w:pPr>
            <w:r w:rsidRPr="00EF2ED1">
              <w:rPr>
                <w:rFonts w:eastAsiaTheme="majorEastAsia" w:cs="Arial"/>
                <w:b/>
                <w:bCs/>
                <w:snapToGrid w:val="0"/>
                <w:szCs w:val="26"/>
              </w:rPr>
              <w:t>A1 -</w:t>
            </w:r>
            <w:r w:rsidRPr="00EF2ED1">
              <w:rPr>
                <w:rFonts w:cs="Arial"/>
                <w:sz w:val="20"/>
                <w:szCs w:val="18"/>
              </w:rPr>
              <w:t xml:space="preserve"> </w:t>
            </w:r>
            <w:r w:rsidRPr="00EF2ED1">
              <w:rPr>
                <w:rFonts w:eastAsiaTheme="majorEastAsia" w:cs="Arial"/>
                <w:b/>
                <w:bCs/>
                <w:snapToGrid w:val="0"/>
                <w:szCs w:val="26"/>
              </w:rPr>
              <w:t>A2</w:t>
            </w:r>
          </w:p>
        </w:tc>
        <w:tc>
          <w:tcPr>
            <w:tcW w:w="1266" w:type="pct"/>
            <w:tcBorders>
              <w:left w:val="double" w:sz="4" w:space="0" w:color="auto"/>
              <w:right w:val="double" w:sz="4" w:space="0" w:color="auto"/>
            </w:tcBorders>
            <w:vAlign w:val="center"/>
          </w:tcPr>
          <w:p w14:paraId="409CF144" w14:textId="77777777" w:rsidR="000828F0" w:rsidRPr="00111DC0" w:rsidRDefault="000828F0" w:rsidP="000F4CC1">
            <w:pPr>
              <w:spacing w:before="0" w:after="0" w:line="259" w:lineRule="auto"/>
              <w:jc w:val="center"/>
              <w:rPr>
                <w:rFonts w:eastAsiaTheme="majorEastAsia" w:cs="Arial"/>
                <w:b/>
                <w:bCs/>
                <w:snapToGrid w:val="0"/>
                <w:color w:val="78BE20"/>
                <w:szCs w:val="26"/>
              </w:rPr>
            </w:pPr>
            <w:r w:rsidRPr="00111DC0">
              <w:rPr>
                <w:rFonts w:cs="Arial"/>
                <w:sz w:val="20"/>
                <w:szCs w:val="18"/>
              </w:rPr>
              <w:t>26</w:t>
            </w:r>
          </w:p>
        </w:tc>
        <w:tc>
          <w:tcPr>
            <w:tcW w:w="1296" w:type="pct"/>
            <w:tcBorders>
              <w:left w:val="double" w:sz="4" w:space="0" w:color="auto"/>
              <w:right w:val="double" w:sz="4" w:space="0" w:color="auto"/>
            </w:tcBorders>
            <w:vAlign w:val="center"/>
          </w:tcPr>
          <w:p w14:paraId="5FE0A314" w14:textId="7E9FB4A8" w:rsidR="000828F0" w:rsidRPr="00111DC0" w:rsidRDefault="00F4774A" w:rsidP="000F4CC1">
            <w:pPr>
              <w:spacing w:before="0" w:after="0" w:line="259" w:lineRule="auto"/>
              <w:jc w:val="center"/>
              <w:rPr>
                <w:rFonts w:cs="Arial"/>
                <w:sz w:val="20"/>
                <w:szCs w:val="18"/>
              </w:rPr>
            </w:pPr>
            <w:r w:rsidRPr="00111DC0">
              <w:rPr>
                <w:rFonts w:cs="Arial"/>
                <w:sz w:val="20"/>
                <w:szCs w:val="18"/>
              </w:rPr>
              <w:t>1,8</w:t>
            </w:r>
            <w:r w:rsidR="000828F0" w:rsidRPr="00111DC0">
              <w:rPr>
                <w:rFonts w:cs="Arial"/>
                <w:sz w:val="20"/>
                <w:szCs w:val="18"/>
              </w:rPr>
              <w:t>%</w:t>
            </w:r>
          </w:p>
        </w:tc>
        <w:tc>
          <w:tcPr>
            <w:tcW w:w="1248" w:type="pct"/>
            <w:tcBorders>
              <w:left w:val="double" w:sz="4" w:space="0" w:color="auto"/>
              <w:right w:val="double" w:sz="4" w:space="0" w:color="auto"/>
            </w:tcBorders>
            <w:vAlign w:val="center"/>
          </w:tcPr>
          <w:p w14:paraId="47DD2D40" w14:textId="7F547A43" w:rsidR="000828F0" w:rsidRPr="00111DC0" w:rsidRDefault="00263C96" w:rsidP="000F4CC1">
            <w:pPr>
              <w:spacing w:before="0" w:after="0" w:line="259" w:lineRule="auto"/>
              <w:jc w:val="center"/>
              <w:rPr>
                <w:rFonts w:cs="Arial"/>
                <w:sz w:val="20"/>
                <w:szCs w:val="18"/>
              </w:rPr>
            </w:pPr>
            <w:r w:rsidRPr="00111DC0">
              <w:rPr>
                <w:rFonts w:cs="Arial"/>
                <w:sz w:val="20"/>
                <w:szCs w:val="18"/>
              </w:rPr>
              <w:t>3</w:t>
            </w:r>
            <w:r w:rsidR="000828F0" w:rsidRPr="00111DC0">
              <w:rPr>
                <w:rFonts w:cs="Arial"/>
                <w:sz w:val="20"/>
                <w:szCs w:val="18"/>
              </w:rPr>
              <w:t>%</w:t>
            </w:r>
          </w:p>
        </w:tc>
      </w:tr>
      <w:tr w:rsidR="000828F0" w:rsidRPr="00111DC0" w14:paraId="360E86F8" w14:textId="77777777" w:rsidTr="003C175D">
        <w:tc>
          <w:tcPr>
            <w:tcW w:w="1190" w:type="pct"/>
            <w:vMerge/>
            <w:tcBorders>
              <w:left w:val="double" w:sz="4" w:space="0" w:color="auto"/>
              <w:right w:val="double" w:sz="4" w:space="0" w:color="auto"/>
            </w:tcBorders>
            <w:vAlign w:val="center"/>
          </w:tcPr>
          <w:p w14:paraId="136E088B" w14:textId="77777777" w:rsidR="000828F0" w:rsidRPr="00EF2ED1" w:rsidRDefault="000828F0" w:rsidP="000F4CC1">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7F4A8300" w14:textId="77777777" w:rsidR="000828F0" w:rsidRPr="00EF2ED1" w:rsidRDefault="000828F0" w:rsidP="000F4CC1">
            <w:pPr>
              <w:spacing w:before="0" w:after="0" w:line="259" w:lineRule="auto"/>
              <w:jc w:val="center"/>
              <w:rPr>
                <w:rFonts w:eastAsiaTheme="majorEastAsia" w:cs="Arial"/>
                <w:b/>
                <w:bCs/>
                <w:snapToGrid w:val="0"/>
                <w:szCs w:val="26"/>
              </w:rPr>
            </w:pPr>
            <w:r w:rsidRPr="00EF2ED1">
              <w:rPr>
                <w:rFonts w:cs="Arial"/>
                <w:sz w:val="20"/>
                <w:szCs w:val="18"/>
              </w:rPr>
              <w:t>25</w:t>
            </w:r>
          </w:p>
        </w:tc>
        <w:tc>
          <w:tcPr>
            <w:tcW w:w="1296" w:type="pct"/>
            <w:tcBorders>
              <w:left w:val="double" w:sz="4" w:space="0" w:color="auto"/>
              <w:right w:val="double" w:sz="4" w:space="0" w:color="auto"/>
            </w:tcBorders>
            <w:vAlign w:val="center"/>
          </w:tcPr>
          <w:p w14:paraId="68909447" w14:textId="504F320C" w:rsidR="000828F0" w:rsidRPr="00111DC0" w:rsidRDefault="00F4774A" w:rsidP="000F4CC1">
            <w:pPr>
              <w:spacing w:before="0" w:after="0" w:line="259" w:lineRule="auto"/>
              <w:jc w:val="center"/>
              <w:rPr>
                <w:rFonts w:cs="Arial"/>
                <w:sz w:val="20"/>
                <w:szCs w:val="18"/>
              </w:rPr>
            </w:pPr>
            <w:r w:rsidRPr="00111DC0">
              <w:rPr>
                <w:rFonts w:cs="Arial"/>
                <w:sz w:val="20"/>
                <w:szCs w:val="18"/>
              </w:rPr>
              <w:t>0,5</w:t>
            </w:r>
            <w:r w:rsidR="000828F0" w:rsidRPr="00111DC0">
              <w:rPr>
                <w:rFonts w:cs="Arial"/>
                <w:sz w:val="20"/>
                <w:szCs w:val="18"/>
              </w:rPr>
              <w:t>%</w:t>
            </w:r>
          </w:p>
        </w:tc>
        <w:tc>
          <w:tcPr>
            <w:tcW w:w="1248" w:type="pct"/>
            <w:tcBorders>
              <w:left w:val="double" w:sz="4" w:space="0" w:color="auto"/>
              <w:right w:val="double" w:sz="4" w:space="0" w:color="auto"/>
            </w:tcBorders>
            <w:vAlign w:val="center"/>
          </w:tcPr>
          <w:p w14:paraId="0D955C9C" w14:textId="281C3010" w:rsidR="000828F0" w:rsidRPr="00111DC0" w:rsidRDefault="00F4774A" w:rsidP="000F4CC1">
            <w:pPr>
              <w:spacing w:before="0" w:after="0" w:line="259" w:lineRule="auto"/>
              <w:jc w:val="center"/>
              <w:rPr>
                <w:rFonts w:cs="Arial"/>
                <w:sz w:val="20"/>
                <w:szCs w:val="18"/>
              </w:rPr>
            </w:pPr>
            <w:r w:rsidRPr="00111DC0">
              <w:rPr>
                <w:rFonts w:cs="Arial"/>
                <w:sz w:val="20"/>
                <w:szCs w:val="18"/>
              </w:rPr>
              <w:t>0,6</w:t>
            </w:r>
            <w:r w:rsidR="000828F0" w:rsidRPr="00111DC0">
              <w:rPr>
                <w:rFonts w:cs="Arial"/>
                <w:sz w:val="20"/>
                <w:szCs w:val="18"/>
              </w:rPr>
              <w:t>%</w:t>
            </w:r>
          </w:p>
        </w:tc>
      </w:tr>
      <w:tr w:rsidR="000828F0" w:rsidRPr="00111DC0" w14:paraId="0B1248AD" w14:textId="77777777" w:rsidTr="003C175D">
        <w:tc>
          <w:tcPr>
            <w:tcW w:w="1190" w:type="pct"/>
            <w:vMerge/>
            <w:tcBorders>
              <w:left w:val="double" w:sz="4" w:space="0" w:color="auto"/>
              <w:right w:val="double" w:sz="4" w:space="0" w:color="auto"/>
            </w:tcBorders>
            <w:vAlign w:val="center"/>
          </w:tcPr>
          <w:p w14:paraId="665C97B5" w14:textId="77777777" w:rsidR="000828F0" w:rsidRPr="00EF2ED1" w:rsidRDefault="000828F0" w:rsidP="000F4CC1">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0934DCC4" w14:textId="77777777" w:rsidR="000828F0" w:rsidRPr="00111DC0" w:rsidRDefault="000828F0" w:rsidP="000F4CC1">
            <w:pPr>
              <w:spacing w:before="0" w:after="0" w:line="259" w:lineRule="auto"/>
              <w:jc w:val="center"/>
              <w:rPr>
                <w:rFonts w:eastAsiaTheme="majorEastAsia" w:cs="Arial"/>
                <w:b/>
                <w:bCs/>
                <w:snapToGrid w:val="0"/>
                <w:color w:val="78BE20"/>
                <w:szCs w:val="26"/>
              </w:rPr>
            </w:pPr>
            <w:r w:rsidRPr="00111DC0">
              <w:rPr>
                <w:rFonts w:cs="Arial"/>
                <w:sz w:val="20"/>
                <w:szCs w:val="18"/>
              </w:rPr>
              <w:t>24</w:t>
            </w:r>
          </w:p>
        </w:tc>
        <w:tc>
          <w:tcPr>
            <w:tcW w:w="1296" w:type="pct"/>
            <w:tcBorders>
              <w:left w:val="double" w:sz="4" w:space="0" w:color="auto"/>
              <w:right w:val="double" w:sz="4" w:space="0" w:color="auto"/>
            </w:tcBorders>
            <w:vAlign w:val="center"/>
          </w:tcPr>
          <w:p w14:paraId="4C05EECB" w14:textId="19B837DB" w:rsidR="000828F0" w:rsidRPr="00111DC0" w:rsidRDefault="00263C96" w:rsidP="000F4CC1">
            <w:pPr>
              <w:spacing w:before="0" w:after="0" w:line="259" w:lineRule="auto"/>
              <w:jc w:val="center"/>
              <w:rPr>
                <w:rFonts w:cs="Arial"/>
                <w:sz w:val="20"/>
                <w:szCs w:val="18"/>
              </w:rPr>
            </w:pPr>
            <w:r w:rsidRPr="00111DC0">
              <w:rPr>
                <w:rFonts w:cs="Arial"/>
                <w:sz w:val="20"/>
                <w:szCs w:val="18"/>
              </w:rPr>
              <w:t>8</w:t>
            </w:r>
            <w:r w:rsidR="00F4774A" w:rsidRPr="00111DC0">
              <w:rPr>
                <w:rFonts w:cs="Arial"/>
                <w:sz w:val="20"/>
                <w:szCs w:val="18"/>
              </w:rPr>
              <w:t>,1</w:t>
            </w:r>
            <w:r w:rsidR="000828F0" w:rsidRPr="00111DC0">
              <w:rPr>
                <w:rFonts w:cs="Arial"/>
                <w:sz w:val="20"/>
                <w:szCs w:val="18"/>
              </w:rPr>
              <w:t>%</w:t>
            </w:r>
          </w:p>
        </w:tc>
        <w:tc>
          <w:tcPr>
            <w:tcW w:w="1248" w:type="pct"/>
            <w:tcBorders>
              <w:left w:val="double" w:sz="4" w:space="0" w:color="auto"/>
              <w:right w:val="double" w:sz="4" w:space="0" w:color="auto"/>
            </w:tcBorders>
            <w:vAlign w:val="center"/>
          </w:tcPr>
          <w:p w14:paraId="1AA6C64D" w14:textId="26CADD12" w:rsidR="000828F0" w:rsidRPr="00111DC0" w:rsidRDefault="00263C96" w:rsidP="000F4CC1">
            <w:pPr>
              <w:spacing w:before="0" w:after="0" w:line="259" w:lineRule="auto"/>
              <w:jc w:val="center"/>
              <w:rPr>
                <w:rFonts w:cs="Arial"/>
                <w:sz w:val="20"/>
                <w:szCs w:val="18"/>
              </w:rPr>
            </w:pPr>
            <w:r w:rsidRPr="00111DC0">
              <w:rPr>
                <w:rFonts w:cs="Arial"/>
                <w:sz w:val="20"/>
                <w:szCs w:val="18"/>
              </w:rPr>
              <w:t>1</w:t>
            </w:r>
            <w:r w:rsidR="00F4774A" w:rsidRPr="00111DC0">
              <w:rPr>
                <w:rFonts w:cs="Arial"/>
                <w:sz w:val="20"/>
                <w:szCs w:val="18"/>
              </w:rPr>
              <w:t>0,9</w:t>
            </w:r>
            <w:r w:rsidR="000828F0" w:rsidRPr="00111DC0">
              <w:rPr>
                <w:rFonts w:cs="Arial"/>
                <w:sz w:val="20"/>
                <w:szCs w:val="18"/>
              </w:rPr>
              <w:t>%</w:t>
            </w:r>
          </w:p>
        </w:tc>
      </w:tr>
      <w:tr w:rsidR="000828F0" w:rsidRPr="00111DC0" w14:paraId="7C0A900E" w14:textId="77777777" w:rsidTr="003C175D">
        <w:tc>
          <w:tcPr>
            <w:tcW w:w="1190" w:type="pct"/>
            <w:tcBorders>
              <w:left w:val="double" w:sz="4" w:space="0" w:color="auto"/>
              <w:right w:val="double" w:sz="4" w:space="0" w:color="auto"/>
            </w:tcBorders>
            <w:vAlign w:val="center"/>
          </w:tcPr>
          <w:p w14:paraId="577ABA03" w14:textId="77777777" w:rsidR="000828F0" w:rsidRPr="00EF2ED1" w:rsidRDefault="000828F0" w:rsidP="000F4CC1">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1A3EE287" w14:textId="77777777" w:rsidR="000828F0" w:rsidRPr="00111DC0" w:rsidRDefault="000828F0" w:rsidP="000F4CC1">
            <w:pPr>
              <w:spacing w:before="0" w:after="0" w:line="259" w:lineRule="auto"/>
              <w:jc w:val="center"/>
              <w:rPr>
                <w:rFonts w:eastAsiaTheme="majorEastAsia" w:cs="Arial"/>
                <w:b/>
                <w:bCs/>
                <w:snapToGrid w:val="0"/>
                <w:color w:val="78BE20"/>
                <w:szCs w:val="26"/>
              </w:rPr>
            </w:pPr>
            <w:r w:rsidRPr="00111DC0">
              <w:rPr>
                <w:rFonts w:cs="Arial"/>
                <w:sz w:val="20"/>
                <w:szCs w:val="18"/>
              </w:rPr>
              <w:t>23</w:t>
            </w:r>
          </w:p>
        </w:tc>
        <w:tc>
          <w:tcPr>
            <w:tcW w:w="1296" w:type="pct"/>
            <w:tcBorders>
              <w:left w:val="double" w:sz="4" w:space="0" w:color="auto"/>
              <w:right w:val="double" w:sz="4" w:space="0" w:color="auto"/>
            </w:tcBorders>
            <w:vAlign w:val="center"/>
          </w:tcPr>
          <w:p w14:paraId="79851BEC" w14:textId="789DBB4E" w:rsidR="000828F0" w:rsidRPr="00111DC0" w:rsidRDefault="00263C96" w:rsidP="000F4CC1">
            <w:pPr>
              <w:spacing w:before="0" w:after="0" w:line="259" w:lineRule="auto"/>
              <w:jc w:val="center"/>
              <w:rPr>
                <w:rFonts w:cs="Arial"/>
                <w:sz w:val="20"/>
                <w:szCs w:val="18"/>
              </w:rPr>
            </w:pPr>
            <w:r w:rsidRPr="00111DC0">
              <w:rPr>
                <w:rFonts w:cs="Arial"/>
                <w:sz w:val="20"/>
                <w:szCs w:val="18"/>
              </w:rPr>
              <w:t>-</w:t>
            </w:r>
          </w:p>
        </w:tc>
        <w:tc>
          <w:tcPr>
            <w:tcW w:w="1248" w:type="pct"/>
            <w:tcBorders>
              <w:left w:val="double" w:sz="4" w:space="0" w:color="auto"/>
              <w:right w:val="double" w:sz="4" w:space="0" w:color="auto"/>
            </w:tcBorders>
            <w:vAlign w:val="center"/>
          </w:tcPr>
          <w:p w14:paraId="028D267F" w14:textId="0D344699" w:rsidR="000828F0" w:rsidRPr="00111DC0" w:rsidRDefault="00263C96" w:rsidP="000F4CC1">
            <w:pPr>
              <w:spacing w:before="0" w:after="0" w:line="259" w:lineRule="auto"/>
              <w:jc w:val="center"/>
              <w:rPr>
                <w:rFonts w:cs="Arial"/>
                <w:sz w:val="20"/>
                <w:szCs w:val="18"/>
              </w:rPr>
            </w:pPr>
            <w:r w:rsidRPr="00111DC0">
              <w:rPr>
                <w:rFonts w:cs="Arial"/>
                <w:sz w:val="20"/>
                <w:szCs w:val="18"/>
              </w:rPr>
              <w:t>-</w:t>
            </w:r>
          </w:p>
        </w:tc>
      </w:tr>
      <w:tr w:rsidR="000828F0" w:rsidRPr="00111DC0" w14:paraId="200D9FC3" w14:textId="77777777" w:rsidTr="003C175D">
        <w:tc>
          <w:tcPr>
            <w:tcW w:w="1190" w:type="pct"/>
            <w:vMerge w:val="restart"/>
            <w:tcBorders>
              <w:left w:val="double" w:sz="4" w:space="0" w:color="auto"/>
              <w:right w:val="double" w:sz="4" w:space="0" w:color="auto"/>
            </w:tcBorders>
            <w:vAlign w:val="center"/>
          </w:tcPr>
          <w:p w14:paraId="3C455296" w14:textId="77777777" w:rsidR="000828F0" w:rsidRPr="00EF2ED1" w:rsidRDefault="000828F0" w:rsidP="000F4CC1">
            <w:pPr>
              <w:spacing w:before="0" w:after="0" w:line="259" w:lineRule="auto"/>
              <w:jc w:val="center"/>
              <w:rPr>
                <w:rFonts w:eastAsiaTheme="majorEastAsia" w:cs="Arial"/>
                <w:b/>
                <w:bCs/>
                <w:snapToGrid w:val="0"/>
                <w:szCs w:val="26"/>
              </w:rPr>
            </w:pPr>
            <w:r w:rsidRPr="00EF2ED1">
              <w:rPr>
                <w:rFonts w:eastAsiaTheme="majorEastAsia" w:cs="Arial"/>
                <w:b/>
                <w:bCs/>
                <w:snapToGrid w:val="0"/>
                <w:szCs w:val="26"/>
              </w:rPr>
              <w:t>A2 - C1</w:t>
            </w:r>
          </w:p>
        </w:tc>
        <w:tc>
          <w:tcPr>
            <w:tcW w:w="1266" w:type="pct"/>
            <w:tcBorders>
              <w:left w:val="double" w:sz="4" w:space="0" w:color="auto"/>
              <w:right w:val="double" w:sz="4" w:space="0" w:color="auto"/>
            </w:tcBorders>
            <w:vAlign w:val="center"/>
          </w:tcPr>
          <w:p w14:paraId="4A7E2BD1" w14:textId="77777777" w:rsidR="000828F0" w:rsidRPr="00111DC0" w:rsidRDefault="000828F0" w:rsidP="000F4CC1">
            <w:pPr>
              <w:spacing w:before="0" w:after="0" w:line="259" w:lineRule="auto"/>
              <w:jc w:val="center"/>
              <w:rPr>
                <w:rFonts w:eastAsiaTheme="majorEastAsia" w:cs="Arial"/>
                <w:b/>
                <w:bCs/>
                <w:snapToGrid w:val="0"/>
                <w:color w:val="78BE20"/>
                <w:szCs w:val="26"/>
              </w:rPr>
            </w:pPr>
            <w:r w:rsidRPr="00111DC0">
              <w:rPr>
                <w:rFonts w:cs="Arial"/>
                <w:sz w:val="20"/>
                <w:szCs w:val="18"/>
              </w:rPr>
              <w:t>22</w:t>
            </w:r>
          </w:p>
        </w:tc>
        <w:tc>
          <w:tcPr>
            <w:tcW w:w="1296" w:type="pct"/>
            <w:tcBorders>
              <w:left w:val="double" w:sz="4" w:space="0" w:color="auto"/>
              <w:right w:val="double" w:sz="4" w:space="0" w:color="auto"/>
            </w:tcBorders>
            <w:vAlign w:val="center"/>
          </w:tcPr>
          <w:p w14:paraId="6563DD45" w14:textId="7537107F" w:rsidR="000828F0" w:rsidRPr="00111DC0" w:rsidRDefault="00263C96" w:rsidP="000F4CC1">
            <w:pPr>
              <w:spacing w:before="0" w:after="0" w:line="259" w:lineRule="auto"/>
              <w:jc w:val="center"/>
              <w:rPr>
                <w:rFonts w:cs="Arial"/>
                <w:sz w:val="20"/>
                <w:szCs w:val="18"/>
              </w:rPr>
            </w:pPr>
            <w:r w:rsidRPr="00111DC0">
              <w:rPr>
                <w:rFonts w:cs="Arial"/>
                <w:sz w:val="20"/>
                <w:szCs w:val="18"/>
              </w:rPr>
              <w:t>11</w:t>
            </w:r>
            <w:r w:rsidR="00F4774A" w:rsidRPr="00111DC0">
              <w:rPr>
                <w:rFonts w:cs="Arial"/>
                <w:sz w:val="20"/>
                <w:szCs w:val="18"/>
              </w:rPr>
              <w:t>,2</w:t>
            </w:r>
            <w:r w:rsidR="000828F0" w:rsidRPr="00111DC0">
              <w:rPr>
                <w:rFonts w:cs="Arial"/>
                <w:sz w:val="20"/>
                <w:szCs w:val="18"/>
              </w:rPr>
              <w:t>%</w:t>
            </w:r>
          </w:p>
        </w:tc>
        <w:tc>
          <w:tcPr>
            <w:tcW w:w="1248" w:type="pct"/>
            <w:tcBorders>
              <w:left w:val="double" w:sz="4" w:space="0" w:color="auto"/>
              <w:right w:val="double" w:sz="4" w:space="0" w:color="auto"/>
            </w:tcBorders>
            <w:vAlign w:val="center"/>
          </w:tcPr>
          <w:p w14:paraId="432C92EE" w14:textId="0842BB68" w:rsidR="000828F0" w:rsidRPr="00111DC0" w:rsidRDefault="00F4774A" w:rsidP="000F4CC1">
            <w:pPr>
              <w:spacing w:before="0" w:after="0" w:line="259" w:lineRule="auto"/>
              <w:jc w:val="center"/>
              <w:rPr>
                <w:rFonts w:cs="Arial"/>
                <w:sz w:val="20"/>
                <w:szCs w:val="18"/>
              </w:rPr>
            </w:pPr>
            <w:r w:rsidRPr="00111DC0">
              <w:rPr>
                <w:rFonts w:cs="Arial"/>
                <w:sz w:val="20"/>
                <w:szCs w:val="18"/>
              </w:rPr>
              <w:t>13,9</w:t>
            </w:r>
            <w:r w:rsidR="000828F0" w:rsidRPr="00111DC0">
              <w:rPr>
                <w:rFonts w:cs="Arial"/>
                <w:sz w:val="20"/>
                <w:szCs w:val="18"/>
              </w:rPr>
              <w:t>%</w:t>
            </w:r>
          </w:p>
        </w:tc>
      </w:tr>
      <w:tr w:rsidR="000828F0" w:rsidRPr="00111DC0" w14:paraId="28D2237E" w14:textId="77777777" w:rsidTr="003C175D">
        <w:tc>
          <w:tcPr>
            <w:tcW w:w="1190" w:type="pct"/>
            <w:vMerge/>
            <w:tcBorders>
              <w:left w:val="double" w:sz="4" w:space="0" w:color="auto"/>
              <w:right w:val="double" w:sz="4" w:space="0" w:color="auto"/>
            </w:tcBorders>
            <w:vAlign w:val="center"/>
          </w:tcPr>
          <w:p w14:paraId="45B6B383" w14:textId="77777777" w:rsidR="000828F0" w:rsidRPr="00EF2ED1" w:rsidRDefault="000828F0" w:rsidP="000F4CC1">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0D1180DC" w14:textId="77777777" w:rsidR="000828F0" w:rsidRPr="00111DC0" w:rsidRDefault="000828F0" w:rsidP="000F4CC1">
            <w:pPr>
              <w:spacing w:before="0" w:after="0" w:line="259" w:lineRule="auto"/>
              <w:jc w:val="center"/>
              <w:rPr>
                <w:rFonts w:eastAsiaTheme="majorEastAsia" w:cs="Arial"/>
                <w:b/>
                <w:bCs/>
                <w:snapToGrid w:val="0"/>
                <w:color w:val="78BE20"/>
                <w:szCs w:val="26"/>
              </w:rPr>
            </w:pPr>
            <w:r w:rsidRPr="00111DC0">
              <w:rPr>
                <w:rFonts w:cs="Arial"/>
                <w:sz w:val="20"/>
                <w:szCs w:val="18"/>
              </w:rPr>
              <w:t>21</w:t>
            </w:r>
          </w:p>
        </w:tc>
        <w:tc>
          <w:tcPr>
            <w:tcW w:w="1296" w:type="pct"/>
            <w:tcBorders>
              <w:left w:val="double" w:sz="4" w:space="0" w:color="auto"/>
              <w:right w:val="double" w:sz="4" w:space="0" w:color="auto"/>
            </w:tcBorders>
            <w:vAlign w:val="center"/>
          </w:tcPr>
          <w:p w14:paraId="73892A59" w14:textId="4A67F3E8" w:rsidR="000828F0" w:rsidRPr="00111DC0" w:rsidRDefault="00263C96" w:rsidP="000F4CC1">
            <w:pPr>
              <w:spacing w:before="0" w:after="0" w:line="259" w:lineRule="auto"/>
              <w:jc w:val="center"/>
              <w:rPr>
                <w:rFonts w:cs="Arial"/>
                <w:sz w:val="20"/>
                <w:szCs w:val="18"/>
              </w:rPr>
            </w:pPr>
            <w:r w:rsidRPr="00111DC0">
              <w:rPr>
                <w:rFonts w:cs="Arial"/>
                <w:sz w:val="20"/>
                <w:szCs w:val="18"/>
              </w:rPr>
              <w:t>6</w:t>
            </w:r>
            <w:r w:rsidR="00F4774A" w:rsidRPr="00111DC0">
              <w:rPr>
                <w:rFonts w:cs="Arial"/>
                <w:sz w:val="20"/>
                <w:szCs w:val="18"/>
              </w:rPr>
              <w:t>,4</w:t>
            </w:r>
            <w:r w:rsidR="000828F0" w:rsidRPr="00111DC0">
              <w:rPr>
                <w:rFonts w:cs="Arial"/>
                <w:sz w:val="20"/>
                <w:szCs w:val="18"/>
              </w:rPr>
              <w:t>%</w:t>
            </w:r>
          </w:p>
        </w:tc>
        <w:tc>
          <w:tcPr>
            <w:tcW w:w="1248" w:type="pct"/>
            <w:tcBorders>
              <w:left w:val="double" w:sz="4" w:space="0" w:color="auto"/>
              <w:right w:val="double" w:sz="4" w:space="0" w:color="auto"/>
            </w:tcBorders>
            <w:vAlign w:val="center"/>
          </w:tcPr>
          <w:p w14:paraId="702A7B89" w14:textId="204B0A70" w:rsidR="000828F0" w:rsidRPr="00111DC0" w:rsidRDefault="00F4774A" w:rsidP="000F4CC1">
            <w:pPr>
              <w:spacing w:before="0" w:after="0" w:line="259" w:lineRule="auto"/>
              <w:jc w:val="center"/>
              <w:rPr>
                <w:rFonts w:cs="Arial"/>
                <w:sz w:val="20"/>
                <w:szCs w:val="18"/>
              </w:rPr>
            </w:pPr>
            <w:r w:rsidRPr="00111DC0">
              <w:rPr>
                <w:rFonts w:cs="Arial"/>
                <w:sz w:val="20"/>
                <w:szCs w:val="18"/>
              </w:rPr>
              <w:t>1,4</w:t>
            </w:r>
            <w:r w:rsidR="000828F0" w:rsidRPr="00111DC0">
              <w:rPr>
                <w:rFonts w:cs="Arial"/>
                <w:sz w:val="20"/>
                <w:szCs w:val="18"/>
              </w:rPr>
              <w:t>%</w:t>
            </w:r>
          </w:p>
        </w:tc>
      </w:tr>
      <w:tr w:rsidR="000828F0" w:rsidRPr="00111DC0" w14:paraId="1D5D792B" w14:textId="77777777" w:rsidTr="003C175D">
        <w:tc>
          <w:tcPr>
            <w:tcW w:w="1190" w:type="pct"/>
            <w:vMerge/>
            <w:tcBorders>
              <w:left w:val="double" w:sz="4" w:space="0" w:color="auto"/>
              <w:right w:val="double" w:sz="4" w:space="0" w:color="auto"/>
            </w:tcBorders>
            <w:vAlign w:val="center"/>
          </w:tcPr>
          <w:p w14:paraId="20A861D5" w14:textId="77777777" w:rsidR="000828F0" w:rsidRPr="00EF2ED1" w:rsidRDefault="000828F0" w:rsidP="000F4CC1">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76BDDFAC" w14:textId="77777777" w:rsidR="000828F0" w:rsidRPr="00111DC0" w:rsidRDefault="000828F0" w:rsidP="000F4CC1">
            <w:pPr>
              <w:spacing w:before="0" w:after="0" w:line="259" w:lineRule="auto"/>
              <w:jc w:val="center"/>
              <w:rPr>
                <w:rFonts w:eastAsiaTheme="majorEastAsia" w:cs="Arial"/>
                <w:b/>
                <w:bCs/>
                <w:snapToGrid w:val="0"/>
                <w:color w:val="78BE20"/>
                <w:szCs w:val="26"/>
              </w:rPr>
            </w:pPr>
            <w:r w:rsidRPr="00111DC0">
              <w:rPr>
                <w:rFonts w:cs="Arial"/>
                <w:sz w:val="20"/>
                <w:szCs w:val="18"/>
              </w:rPr>
              <w:t>20</w:t>
            </w:r>
          </w:p>
        </w:tc>
        <w:tc>
          <w:tcPr>
            <w:tcW w:w="1296" w:type="pct"/>
            <w:tcBorders>
              <w:left w:val="double" w:sz="4" w:space="0" w:color="auto"/>
              <w:right w:val="double" w:sz="4" w:space="0" w:color="auto"/>
            </w:tcBorders>
            <w:vAlign w:val="center"/>
          </w:tcPr>
          <w:p w14:paraId="6D3ACBA2" w14:textId="106D8EFB" w:rsidR="000828F0" w:rsidRPr="00111DC0" w:rsidRDefault="00F4774A" w:rsidP="000F4CC1">
            <w:pPr>
              <w:spacing w:before="0" w:after="0" w:line="259" w:lineRule="auto"/>
              <w:jc w:val="center"/>
              <w:rPr>
                <w:rFonts w:cs="Arial"/>
                <w:sz w:val="20"/>
                <w:szCs w:val="18"/>
              </w:rPr>
            </w:pPr>
            <w:r w:rsidRPr="00111DC0">
              <w:rPr>
                <w:rFonts w:cs="Arial"/>
                <w:sz w:val="20"/>
                <w:szCs w:val="18"/>
              </w:rPr>
              <w:t>9,6</w:t>
            </w:r>
            <w:r w:rsidR="000828F0" w:rsidRPr="00111DC0">
              <w:rPr>
                <w:rFonts w:cs="Arial"/>
                <w:sz w:val="20"/>
                <w:szCs w:val="18"/>
              </w:rPr>
              <w:t>%</w:t>
            </w:r>
          </w:p>
        </w:tc>
        <w:tc>
          <w:tcPr>
            <w:tcW w:w="1248" w:type="pct"/>
            <w:tcBorders>
              <w:left w:val="double" w:sz="4" w:space="0" w:color="auto"/>
              <w:right w:val="double" w:sz="4" w:space="0" w:color="auto"/>
            </w:tcBorders>
            <w:vAlign w:val="center"/>
          </w:tcPr>
          <w:p w14:paraId="03A2F353" w14:textId="4F3BA21C" w:rsidR="000828F0" w:rsidRPr="00111DC0" w:rsidRDefault="00F4774A" w:rsidP="000F4CC1">
            <w:pPr>
              <w:spacing w:before="0" w:after="0" w:line="259" w:lineRule="auto"/>
              <w:jc w:val="center"/>
              <w:rPr>
                <w:rFonts w:cs="Arial"/>
                <w:sz w:val="20"/>
                <w:szCs w:val="18"/>
              </w:rPr>
            </w:pPr>
            <w:r w:rsidRPr="00111DC0">
              <w:rPr>
                <w:rFonts w:cs="Arial"/>
                <w:sz w:val="20"/>
                <w:szCs w:val="18"/>
              </w:rPr>
              <w:t>1</w:t>
            </w:r>
            <w:r w:rsidR="000828F0" w:rsidRPr="00111DC0">
              <w:rPr>
                <w:rFonts w:cs="Arial"/>
                <w:sz w:val="20"/>
                <w:szCs w:val="18"/>
              </w:rPr>
              <w:t>0%</w:t>
            </w:r>
          </w:p>
        </w:tc>
      </w:tr>
      <w:tr w:rsidR="000828F0" w:rsidRPr="00111DC0" w14:paraId="5F129BE7" w14:textId="77777777" w:rsidTr="003C175D">
        <w:tc>
          <w:tcPr>
            <w:tcW w:w="1190" w:type="pct"/>
            <w:tcBorders>
              <w:left w:val="double" w:sz="4" w:space="0" w:color="auto"/>
              <w:right w:val="double" w:sz="4" w:space="0" w:color="auto"/>
            </w:tcBorders>
            <w:vAlign w:val="center"/>
          </w:tcPr>
          <w:p w14:paraId="25FE1B13" w14:textId="77777777" w:rsidR="000828F0" w:rsidRPr="00EF2ED1" w:rsidRDefault="000828F0" w:rsidP="000F4CC1">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20616113" w14:textId="77777777" w:rsidR="000828F0" w:rsidRPr="00111DC0" w:rsidRDefault="000828F0" w:rsidP="000F4CC1">
            <w:pPr>
              <w:spacing w:before="0" w:after="0" w:line="259" w:lineRule="auto"/>
              <w:jc w:val="center"/>
              <w:rPr>
                <w:rFonts w:eastAsiaTheme="majorEastAsia" w:cs="Arial"/>
                <w:b/>
                <w:bCs/>
                <w:snapToGrid w:val="0"/>
                <w:color w:val="78BE20"/>
                <w:szCs w:val="26"/>
              </w:rPr>
            </w:pPr>
            <w:r w:rsidRPr="00111DC0">
              <w:rPr>
                <w:rFonts w:cs="Arial"/>
                <w:sz w:val="20"/>
                <w:szCs w:val="18"/>
              </w:rPr>
              <w:t>19</w:t>
            </w:r>
          </w:p>
        </w:tc>
        <w:tc>
          <w:tcPr>
            <w:tcW w:w="1296" w:type="pct"/>
            <w:tcBorders>
              <w:left w:val="double" w:sz="4" w:space="0" w:color="auto"/>
              <w:right w:val="double" w:sz="4" w:space="0" w:color="auto"/>
            </w:tcBorders>
            <w:vAlign w:val="center"/>
          </w:tcPr>
          <w:p w14:paraId="52D5E015" w14:textId="4FE762E7" w:rsidR="000828F0" w:rsidRPr="00111DC0" w:rsidRDefault="00263C96" w:rsidP="000F4CC1">
            <w:pPr>
              <w:spacing w:before="0" w:after="0" w:line="259" w:lineRule="auto"/>
              <w:jc w:val="center"/>
              <w:rPr>
                <w:rFonts w:cs="Arial"/>
                <w:sz w:val="20"/>
                <w:szCs w:val="18"/>
              </w:rPr>
            </w:pPr>
            <w:r w:rsidRPr="00111DC0">
              <w:rPr>
                <w:rFonts w:cs="Arial"/>
                <w:sz w:val="20"/>
                <w:szCs w:val="18"/>
              </w:rPr>
              <w:t>-</w:t>
            </w:r>
          </w:p>
        </w:tc>
        <w:tc>
          <w:tcPr>
            <w:tcW w:w="1248" w:type="pct"/>
            <w:tcBorders>
              <w:left w:val="double" w:sz="4" w:space="0" w:color="auto"/>
              <w:right w:val="double" w:sz="4" w:space="0" w:color="auto"/>
            </w:tcBorders>
            <w:vAlign w:val="center"/>
          </w:tcPr>
          <w:p w14:paraId="720258B9" w14:textId="4A7E0A47" w:rsidR="000828F0" w:rsidRPr="00111DC0" w:rsidRDefault="00263C96" w:rsidP="000F4CC1">
            <w:pPr>
              <w:spacing w:before="0" w:after="0" w:line="259" w:lineRule="auto"/>
              <w:jc w:val="center"/>
              <w:rPr>
                <w:rFonts w:cs="Arial"/>
                <w:sz w:val="20"/>
                <w:szCs w:val="18"/>
              </w:rPr>
            </w:pPr>
            <w:r w:rsidRPr="00111DC0">
              <w:rPr>
                <w:rFonts w:cs="Arial"/>
                <w:sz w:val="20"/>
                <w:szCs w:val="18"/>
              </w:rPr>
              <w:t>-</w:t>
            </w:r>
          </w:p>
        </w:tc>
      </w:tr>
      <w:tr w:rsidR="000828F0" w:rsidRPr="00111DC0" w14:paraId="2FAC4D11" w14:textId="77777777" w:rsidTr="003C175D">
        <w:tc>
          <w:tcPr>
            <w:tcW w:w="1190" w:type="pct"/>
            <w:vMerge w:val="restart"/>
            <w:tcBorders>
              <w:left w:val="double" w:sz="4" w:space="0" w:color="auto"/>
              <w:right w:val="double" w:sz="4" w:space="0" w:color="auto"/>
            </w:tcBorders>
            <w:vAlign w:val="center"/>
          </w:tcPr>
          <w:p w14:paraId="67F3DFEE" w14:textId="77777777" w:rsidR="000828F0" w:rsidRPr="00EF2ED1" w:rsidRDefault="000828F0" w:rsidP="000F4CC1">
            <w:pPr>
              <w:spacing w:before="0" w:after="0" w:line="259" w:lineRule="auto"/>
              <w:jc w:val="center"/>
              <w:rPr>
                <w:rFonts w:eastAsiaTheme="majorEastAsia" w:cs="Arial"/>
                <w:b/>
                <w:bCs/>
                <w:snapToGrid w:val="0"/>
                <w:szCs w:val="26"/>
              </w:rPr>
            </w:pPr>
            <w:r w:rsidRPr="00EF2ED1">
              <w:rPr>
                <w:rFonts w:eastAsiaTheme="majorEastAsia" w:cs="Arial"/>
                <w:b/>
                <w:bCs/>
                <w:snapToGrid w:val="0"/>
                <w:szCs w:val="26"/>
              </w:rPr>
              <w:t>C2</w:t>
            </w:r>
          </w:p>
        </w:tc>
        <w:tc>
          <w:tcPr>
            <w:tcW w:w="1266" w:type="pct"/>
            <w:tcBorders>
              <w:left w:val="double" w:sz="4" w:space="0" w:color="auto"/>
              <w:right w:val="double" w:sz="4" w:space="0" w:color="auto"/>
            </w:tcBorders>
            <w:vAlign w:val="center"/>
          </w:tcPr>
          <w:p w14:paraId="11E2A6B3" w14:textId="77777777" w:rsidR="000828F0" w:rsidRPr="00111DC0" w:rsidRDefault="000828F0" w:rsidP="000F4CC1">
            <w:pPr>
              <w:spacing w:before="0" w:after="0" w:line="259" w:lineRule="auto"/>
              <w:jc w:val="center"/>
              <w:rPr>
                <w:rFonts w:eastAsiaTheme="majorEastAsia" w:cs="Arial"/>
                <w:b/>
                <w:bCs/>
                <w:snapToGrid w:val="0"/>
                <w:color w:val="78BE20"/>
                <w:szCs w:val="26"/>
              </w:rPr>
            </w:pPr>
            <w:r w:rsidRPr="00111DC0">
              <w:rPr>
                <w:rFonts w:cs="Arial"/>
                <w:sz w:val="20"/>
                <w:szCs w:val="18"/>
              </w:rPr>
              <w:t>18</w:t>
            </w:r>
          </w:p>
        </w:tc>
        <w:tc>
          <w:tcPr>
            <w:tcW w:w="1296" w:type="pct"/>
            <w:tcBorders>
              <w:left w:val="double" w:sz="4" w:space="0" w:color="auto"/>
              <w:right w:val="double" w:sz="4" w:space="0" w:color="auto"/>
            </w:tcBorders>
            <w:vAlign w:val="center"/>
          </w:tcPr>
          <w:p w14:paraId="3F21D075" w14:textId="17D07929" w:rsidR="000828F0" w:rsidRPr="00111DC0" w:rsidRDefault="00263C96" w:rsidP="000F4CC1">
            <w:pPr>
              <w:spacing w:before="0" w:after="0" w:line="259" w:lineRule="auto"/>
              <w:jc w:val="center"/>
              <w:rPr>
                <w:rFonts w:cs="Arial"/>
                <w:sz w:val="20"/>
                <w:szCs w:val="18"/>
              </w:rPr>
            </w:pPr>
            <w:r w:rsidRPr="00111DC0">
              <w:rPr>
                <w:rFonts w:cs="Arial"/>
                <w:sz w:val="20"/>
                <w:szCs w:val="18"/>
              </w:rPr>
              <w:t>1</w:t>
            </w:r>
            <w:r w:rsidR="00F4774A" w:rsidRPr="00111DC0">
              <w:rPr>
                <w:rFonts w:cs="Arial"/>
                <w:sz w:val="20"/>
                <w:szCs w:val="18"/>
              </w:rPr>
              <w:t>3,9</w:t>
            </w:r>
            <w:r w:rsidR="000828F0" w:rsidRPr="00111DC0">
              <w:rPr>
                <w:rFonts w:cs="Arial"/>
                <w:sz w:val="20"/>
                <w:szCs w:val="18"/>
              </w:rPr>
              <w:t>%</w:t>
            </w:r>
          </w:p>
        </w:tc>
        <w:tc>
          <w:tcPr>
            <w:tcW w:w="1248" w:type="pct"/>
            <w:tcBorders>
              <w:left w:val="double" w:sz="4" w:space="0" w:color="auto"/>
              <w:right w:val="double" w:sz="4" w:space="0" w:color="auto"/>
            </w:tcBorders>
            <w:vAlign w:val="center"/>
          </w:tcPr>
          <w:p w14:paraId="0F46F186" w14:textId="1F52911F" w:rsidR="000828F0" w:rsidRPr="00111DC0" w:rsidRDefault="00F4774A" w:rsidP="000F4CC1">
            <w:pPr>
              <w:spacing w:before="0" w:after="0" w:line="259" w:lineRule="auto"/>
              <w:jc w:val="center"/>
              <w:rPr>
                <w:rFonts w:cs="Arial"/>
                <w:sz w:val="20"/>
                <w:szCs w:val="18"/>
              </w:rPr>
            </w:pPr>
            <w:r w:rsidRPr="00111DC0">
              <w:rPr>
                <w:rFonts w:cs="Arial"/>
                <w:sz w:val="20"/>
                <w:szCs w:val="18"/>
              </w:rPr>
              <w:t>9,4</w:t>
            </w:r>
            <w:r w:rsidR="000828F0" w:rsidRPr="00111DC0">
              <w:rPr>
                <w:rFonts w:cs="Arial"/>
                <w:sz w:val="20"/>
                <w:szCs w:val="18"/>
              </w:rPr>
              <w:t>%</w:t>
            </w:r>
          </w:p>
        </w:tc>
      </w:tr>
      <w:tr w:rsidR="000828F0" w:rsidRPr="00111DC0" w14:paraId="0E87199B" w14:textId="77777777" w:rsidTr="003C175D">
        <w:tc>
          <w:tcPr>
            <w:tcW w:w="1190" w:type="pct"/>
            <w:vMerge/>
            <w:tcBorders>
              <w:left w:val="double" w:sz="4" w:space="0" w:color="auto"/>
              <w:right w:val="double" w:sz="4" w:space="0" w:color="auto"/>
            </w:tcBorders>
            <w:vAlign w:val="center"/>
          </w:tcPr>
          <w:p w14:paraId="00153F2D" w14:textId="77777777" w:rsidR="000828F0" w:rsidRPr="00EF2ED1" w:rsidRDefault="000828F0" w:rsidP="000F4CC1">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4A254517" w14:textId="77777777" w:rsidR="000828F0" w:rsidRPr="00111DC0" w:rsidRDefault="000828F0" w:rsidP="000F4CC1">
            <w:pPr>
              <w:spacing w:before="0" w:after="0" w:line="259" w:lineRule="auto"/>
              <w:jc w:val="center"/>
              <w:rPr>
                <w:rFonts w:eastAsiaTheme="majorEastAsia" w:cs="Arial"/>
                <w:b/>
                <w:bCs/>
                <w:snapToGrid w:val="0"/>
                <w:color w:val="78BE20"/>
                <w:szCs w:val="26"/>
              </w:rPr>
            </w:pPr>
            <w:r w:rsidRPr="00111DC0">
              <w:rPr>
                <w:rFonts w:cs="Arial"/>
                <w:sz w:val="20"/>
                <w:szCs w:val="18"/>
              </w:rPr>
              <w:t>17</w:t>
            </w:r>
          </w:p>
        </w:tc>
        <w:tc>
          <w:tcPr>
            <w:tcW w:w="1296" w:type="pct"/>
            <w:tcBorders>
              <w:left w:val="double" w:sz="4" w:space="0" w:color="auto"/>
              <w:right w:val="double" w:sz="4" w:space="0" w:color="auto"/>
            </w:tcBorders>
            <w:vAlign w:val="center"/>
          </w:tcPr>
          <w:p w14:paraId="12D84F7D" w14:textId="3155249B" w:rsidR="000828F0" w:rsidRPr="00111DC0" w:rsidRDefault="00263C96" w:rsidP="000F4CC1">
            <w:pPr>
              <w:spacing w:before="0" w:after="0" w:line="259" w:lineRule="auto"/>
              <w:jc w:val="center"/>
              <w:rPr>
                <w:rFonts w:cs="Arial"/>
                <w:sz w:val="20"/>
                <w:szCs w:val="18"/>
              </w:rPr>
            </w:pPr>
            <w:r w:rsidRPr="00111DC0">
              <w:rPr>
                <w:rFonts w:cs="Arial"/>
                <w:sz w:val="20"/>
                <w:szCs w:val="18"/>
              </w:rPr>
              <w:t>1</w:t>
            </w:r>
            <w:r w:rsidR="00F4774A" w:rsidRPr="00111DC0">
              <w:rPr>
                <w:rFonts w:cs="Arial"/>
                <w:sz w:val="20"/>
                <w:szCs w:val="18"/>
              </w:rPr>
              <w:t>4,6</w:t>
            </w:r>
            <w:r w:rsidR="000828F0" w:rsidRPr="00111DC0">
              <w:rPr>
                <w:rFonts w:cs="Arial"/>
                <w:sz w:val="20"/>
                <w:szCs w:val="18"/>
              </w:rPr>
              <w:t>%</w:t>
            </w:r>
          </w:p>
        </w:tc>
        <w:tc>
          <w:tcPr>
            <w:tcW w:w="1248" w:type="pct"/>
            <w:tcBorders>
              <w:left w:val="double" w:sz="4" w:space="0" w:color="auto"/>
              <w:right w:val="double" w:sz="4" w:space="0" w:color="auto"/>
            </w:tcBorders>
            <w:vAlign w:val="center"/>
          </w:tcPr>
          <w:p w14:paraId="0F6E1E25" w14:textId="4E9D6881" w:rsidR="000828F0" w:rsidRPr="00111DC0" w:rsidRDefault="00F4774A" w:rsidP="000F4CC1">
            <w:pPr>
              <w:spacing w:before="0" w:after="0" w:line="259" w:lineRule="auto"/>
              <w:jc w:val="center"/>
              <w:rPr>
                <w:rFonts w:cs="Arial"/>
                <w:sz w:val="20"/>
                <w:szCs w:val="18"/>
              </w:rPr>
            </w:pPr>
            <w:r w:rsidRPr="00111DC0">
              <w:rPr>
                <w:rFonts w:cs="Arial"/>
                <w:sz w:val="20"/>
                <w:szCs w:val="18"/>
              </w:rPr>
              <w:t>18,3</w:t>
            </w:r>
            <w:r w:rsidR="000828F0" w:rsidRPr="00111DC0">
              <w:rPr>
                <w:rFonts w:cs="Arial"/>
                <w:sz w:val="20"/>
                <w:szCs w:val="18"/>
              </w:rPr>
              <w:t>%</w:t>
            </w:r>
          </w:p>
        </w:tc>
      </w:tr>
      <w:tr w:rsidR="000828F0" w:rsidRPr="00111DC0" w14:paraId="7A8B1378" w14:textId="77777777" w:rsidTr="003C175D">
        <w:tc>
          <w:tcPr>
            <w:tcW w:w="1190" w:type="pct"/>
            <w:vMerge/>
            <w:tcBorders>
              <w:left w:val="double" w:sz="4" w:space="0" w:color="auto"/>
              <w:right w:val="double" w:sz="4" w:space="0" w:color="auto"/>
            </w:tcBorders>
            <w:vAlign w:val="center"/>
          </w:tcPr>
          <w:p w14:paraId="6FEE1092" w14:textId="77777777" w:rsidR="000828F0" w:rsidRPr="00EF2ED1" w:rsidRDefault="000828F0" w:rsidP="000F4CC1">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1AFE92E6" w14:textId="77777777" w:rsidR="000828F0" w:rsidRPr="00111DC0" w:rsidRDefault="000828F0" w:rsidP="000F4CC1">
            <w:pPr>
              <w:spacing w:before="0" w:after="0" w:line="259" w:lineRule="auto"/>
              <w:jc w:val="center"/>
              <w:rPr>
                <w:rFonts w:eastAsiaTheme="majorEastAsia" w:cs="Arial"/>
                <w:b/>
                <w:bCs/>
                <w:snapToGrid w:val="0"/>
                <w:color w:val="78BE20"/>
                <w:szCs w:val="26"/>
              </w:rPr>
            </w:pPr>
            <w:r w:rsidRPr="00111DC0">
              <w:rPr>
                <w:rFonts w:cs="Arial"/>
                <w:sz w:val="20"/>
                <w:szCs w:val="18"/>
              </w:rPr>
              <w:t>16</w:t>
            </w:r>
          </w:p>
        </w:tc>
        <w:tc>
          <w:tcPr>
            <w:tcW w:w="1296" w:type="pct"/>
            <w:tcBorders>
              <w:left w:val="double" w:sz="4" w:space="0" w:color="auto"/>
              <w:right w:val="double" w:sz="4" w:space="0" w:color="auto"/>
            </w:tcBorders>
            <w:vAlign w:val="center"/>
          </w:tcPr>
          <w:p w14:paraId="33563DB9" w14:textId="62758AB3" w:rsidR="000828F0" w:rsidRPr="00111DC0" w:rsidRDefault="00F4774A" w:rsidP="000F4CC1">
            <w:pPr>
              <w:spacing w:before="0" w:after="0" w:line="259" w:lineRule="auto"/>
              <w:jc w:val="center"/>
              <w:rPr>
                <w:rFonts w:cs="Arial"/>
                <w:sz w:val="20"/>
                <w:szCs w:val="18"/>
              </w:rPr>
            </w:pPr>
            <w:r w:rsidRPr="00111DC0">
              <w:rPr>
                <w:rFonts w:cs="Arial"/>
                <w:sz w:val="20"/>
                <w:szCs w:val="18"/>
              </w:rPr>
              <w:t>0,8</w:t>
            </w:r>
            <w:r w:rsidR="000828F0" w:rsidRPr="00111DC0">
              <w:rPr>
                <w:rFonts w:cs="Arial"/>
                <w:sz w:val="20"/>
                <w:szCs w:val="18"/>
              </w:rPr>
              <w:t>%</w:t>
            </w:r>
          </w:p>
        </w:tc>
        <w:tc>
          <w:tcPr>
            <w:tcW w:w="1248" w:type="pct"/>
            <w:tcBorders>
              <w:left w:val="double" w:sz="4" w:space="0" w:color="auto"/>
              <w:right w:val="double" w:sz="4" w:space="0" w:color="auto"/>
            </w:tcBorders>
            <w:vAlign w:val="center"/>
          </w:tcPr>
          <w:p w14:paraId="0E8AB694" w14:textId="4932173E" w:rsidR="000828F0" w:rsidRPr="00111DC0" w:rsidRDefault="00F4774A" w:rsidP="000F4CC1">
            <w:pPr>
              <w:spacing w:before="0" w:after="0" w:line="259" w:lineRule="auto"/>
              <w:jc w:val="center"/>
              <w:rPr>
                <w:rFonts w:cs="Arial"/>
                <w:sz w:val="20"/>
                <w:szCs w:val="18"/>
              </w:rPr>
            </w:pPr>
            <w:r w:rsidRPr="00111DC0">
              <w:rPr>
                <w:rFonts w:cs="Arial"/>
                <w:sz w:val="20"/>
                <w:szCs w:val="18"/>
              </w:rPr>
              <w:t>0,2</w:t>
            </w:r>
            <w:r w:rsidR="000828F0" w:rsidRPr="00111DC0">
              <w:rPr>
                <w:rFonts w:cs="Arial"/>
                <w:sz w:val="20"/>
                <w:szCs w:val="18"/>
              </w:rPr>
              <w:t>%</w:t>
            </w:r>
          </w:p>
        </w:tc>
      </w:tr>
      <w:tr w:rsidR="000828F0" w:rsidRPr="00111DC0" w14:paraId="797A5A24" w14:textId="77777777" w:rsidTr="003C175D">
        <w:tc>
          <w:tcPr>
            <w:tcW w:w="1190" w:type="pct"/>
            <w:vMerge/>
            <w:tcBorders>
              <w:left w:val="double" w:sz="4" w:space="0" w:color="auto"/>
              <w:right w:val="double" w:sz="4" w:space="0" w:color="auto"/>
            </w:tcBorders>
            <w:vAlign w:val="center"/>
          </w:tcPr>
          <w:p w14:paraId="4476DC47" w14:textId="77777777" w:rsidR="000828F0" w:rsidRPr="00EF2ED1" w:rsidRDefault="000828F0" w:rsidP="000F4CC1">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1EED6909" w14:textId="77777777" w:rsidR="000828F0" w:rsidRPr="00111DC0" w:rsidRDefault="000828F0" w:rsidP="000F4CC1">
            <w:pPr>
              <w:spacing w:before="0" w:after="0" w:line="259" w:lineRule="auto"/>
              <w:jc w:val="center"/>
              <w:rPr>
                <w:rFonts w:eastAsiaTheme="majorEastAsia" w:cs="Arial"/>
                <w:b/>
                <w:bCs/>
                <w:snapToGrid w:val="0"/>
                <w:color w:val="78BE20"/>
                <w:szCs w:val="26"/>
              </w:rPr>
            </w:pPr>
            <w:r w:rsidRPr="00111DC0">
              <w:rPr>
                <w:rFonts w:cs="Arial"/>
                <w:sz w:val="20"/>
                <w:szCs w:val="18"/>
              </w:rPr>
              <w:t>15</w:t>
            </w:r>
          </w:p>
        </w:tc>
        <w:tc>
          <w:tcPr>
            <w:tcW w:w="1296" w:type="pct"/>
            <w:tcBorders>
              <w:left w:val="double" w:sz="4" w:space="0" w:color="auto"/>
              <w:right w:val="double" w:sz="4" w:space="0" w:color="auto"/>
            </w:tcBorders>
            <w:vAlign w:val="center"/>
          </w:tcPr>
          <w:p w14:paraId="14E33E90" w14:textId="5163A65C" w:rsidR="000828F0" w:rsidRPr="00111DC0" w:rsidRDefault="00263C96" w:rsidP="000F4CC1">
            <w:pPr>
              <w:spacing w:before="0" w:after="0" w:line="259" w:lineRule="auto"/>
              <w:jc w:val="center"/>
              <w:rPr>
                <w:rFonts w:cs="Arial"/>
                <w:sz w:val="20"/>
                <w:szCs w:val="18"/>
              </w:rPr>
            </w:pPr>
            <w:r w:rsidRPr="00111DC0">
              <w:rPr>
                <w:rFonts w:cs="Arial"/>
                <w:sz w:val="20"/>
                <w:szCs w:val="18"/>
              </w:rPr>
              <w:t>2</w:t>
            </w:r>
            <w:r w:rsidR="000828F0" w:rsidRPr="00111DC0">
              <w:rPr>
                <w:rFonts w:cs="Arial"/>
                <w:sz w:val="20"/>
                <w:szCs w:val="18"/>
              </w:rPr>
              <w:t>2</w:t>
            </w:r>
            <w:r w:rsidR="00F4774A" w:rsidRPr="00111DC0">
              <w:rPr>
                <w:rFonts w:cs="Arial"/>
                <w:sz w:val="20"/>
                <w:szCs w:val="18"/>
              </w:rPr>
              <w:t>,1</w:t>
            </w:r>
            <w:r w:rsidR="000828F0" w:rsidRPr="00111DC0">
              <w:rPr>
                <w:rFonts w:cs="Arial"/>
                <w:sz w:val="20"/>
                <w:szCs w:val="18"/>
              </w:rPr>
              <w:t>%</w:t>
            </w:r>
          </w:p>
        </w:tc>
        <w:tc>
          <w:tcPr>
            <w:tcW w:w="1248" w:type="pct"/>
            <w:tcBorders>
              <w:left w:val="double" w:sz="4" w:space="0" w:color="auto"/>
              <w:right w:val="double" w:sz="4" w:space="0" w:color="auto"/>
            </w:tcBorders>
            <w:vAlign w:val="center"/>
          </w:tcPr>
          <w:p w14:paraId="6CE3C7F1" w14:textId="6AF3F850" w:rsidR="000828F0" w:rsidRPr="00111DC0" w:rsidRDefault="000828F0" w:rsidP="000F4CC1">
            <w:pPr>
              <w:spacing w:before="0" w:after="0" w:line="259" w:lineRule="auto"/>
              <w:jc w:val="center"/>
              <w:rPr>
                <w:rFonts w:cs="Arial"/>
                <w:sz w:val="20"/>
                <w:szCs w:val="18"/>
              </w:rPr>
            </w:pPr>
            <w:r w:rsidRPr="00111DC0">
              <w:rPr>
                <w:rFonts w:cs="Arial"/>
                <w:sz w:val="20"/>
                <w:szCs w:val="18"/>
              </w:rPr>
              <w:t>1</w:t>
            </w:r>
            <w:r w:rsidR="00F4774A" w:rsidRPr="00111DC0">
              <w:rPr>
                <w:rFonts w:cs="Arial"/>
                <w:sz w:val="20"/>
                <w:szCs w:val="18"/>
              </w:rPr>
              <w:t>1,5</w:t>
            </w:r>
            <w:r w:rsidRPr="00111DC0">
              <w:rPr>
                <w:rFonts w:cs="Arial"/>
                <w:sz w:val="20"/>
                <w:szCs w:val="18"/>
              </w:rPr>
              <w:t>%</w:t>
            </w:r>
          </w:p>
        </w:tc>
      </w:tr>
      <w:tr w:rsidR="000828F0" w:rsidRPr="00111DC0" w14:paraId="4A320520" w14:textId="77777777" w:rsidTr="003C175D">
        <w:tc>
          <w:tcPr>
            <w:tcW w:w="1190" w:type="pct"/>
            <w:vMerge/>
            <w:tcBorders>
              <w:left w:val="double" w:sz="4" w:space="0" w:color="auto"/>
              <w:right w:val="double" w:sz="4" w:space="0" w:color="auto"/>
            </w:tcBorders>
            <w:vAlign w:val="center"/>
          </w:tcPr>
          <w:p w14:paraId="65E0FF00" w14:textId="77777777" w:rsidR="000828F0" w:rsidRPr="00EF2ED1" w:rsidRDefault="000828F0" w:rsidP="000F4CC1">
            <w:pPr>
              <w:spacing w:before="0" w:after="0" w:line="259" w:lineRule="auto"/>
              <w:jc w:val="center"/>
              <w:rPr>
                <w:rFonts w:eastAsiaTheme="majorEastAsia" w:cs="Arial"/>
                <w:b/>
                <w:bCs/>
                <w:snapToGrid w:val="0"/>
                <w:szCs w:val="26"/>
              </w:rPr>
            </w:pPr>
          </w:p>
        </w:tc>
        <w:tc>
          <w:tcPr>
            <w:tcW w:w="1266" w:type="pct"/>
            <w:tcBorders>
              <w:left w:val="double" w:sz="4" w:space="0" w:color="auto"/>
              <w:right w:val="double" w:sz="4" w:space="0" w:color="auto"/>
            </w:tcBorders>
            <w:vAlign w:val="center"/>
          </w:tcPr>
          <w:p w14:paraId="03A3A0CF" w14:textId="77777777" w:rsidR="000828F0" w:rsidRPr="00111DC0" w:rsidRDefault="000828F0" w:rsidP="000F4CC1">
            <w:pPr>
              <w:spacing w:before="0" w:after="0" w:line="259" w:lineRule="auto"/>
              <w:jc w:val="center"/>
              <w:rPr>
                <w:rFonts w:eastAsiaTheme="majorEastAsia" w:cs="Arial"/>
                <w:b/>
                <w:bCs/>
                <w:snapToGrid w:val="0"/>
                <w:color w:val="78BE20"/>
                <w:szCs w:val="26"/>
              </w:rPr>
            </w:pPr>
            <w:r w:rsidRPr="00111DC0">
              <w:rPr>
                <w:rFonts w:cs="Arial"/>
                <w:sz w:val="20"/>
                <w:szCs w:val="18"/>
              </w:rPr>
              <w:t>14</w:t>
            </w:r>
          </w:p>
        </w:tc>
        <w:tc>
          <w:tcPr>
            <w:tcW w:w="1296" w:type="pct"/>
            <w:tcBorders>
              <w:left w:val="double" w:sz="4" w:space="0" w:color="auto"/>
              <w:right w:val="double" w:sz="4" w:space="0" w:color="auto"/>
            </w:tcBorders>
            <w:vAlign w:val="center"/>
          </w:tcPr>
          <w:p w14:paraId="375CD7B4" w14:textId="77777777" w:rsidR="000828F0" w:rsidRPr="00111DC0" w:rsidRDefault="000828F0" w:rsidP="000F4CC1">
            <w:pPr>
              <w:spacing w:before="0" w:after="0" w:line="259" w:lineRule="auto"/>
              <w:jc w:val="center"/>
              <w:rPr>
                <w:rFonts w:cs="Arial"/>
                <w:sz w:val="20"/>
                <w:szCs w:val="18"/>
              </w:rPr>
            </w:pPr>
            <w:r w:rsidRPr="00111DC0">
              <w:rPr>
                <w:rFonts w:cs="Arial"/>
                <w:sz w:val="20"/>
                <w:szCs w:val="18"/>
              </w:rPr>
              <w:t>-</w:t>
            </w:r>
          </w:p>
        </w:tc>
        <w:tc>
          <w:tcPr>
            <w:tcW w:w="1248" w:type="pct"/>
            <w:tcBorders>
              <w:left w:val="double" w:sz="4" w:space="0" w:color="auto"/>
              <w:right w:val="double" w:sz="4" w:space="0" w:color="auto"/>
            </w:tcBorders>
            <w:vAlign w:val="center"/>
          </w:tcPr>
          <w:p w14:paraId="7FCBD832" w14:textId="35166C94" w:rsidR="000828F0" w:rsidRPr="00111DC0" w:rsidRDefault="00F4774A" w:rsidP="000F4CC1">
            <w:pPr>
              <w:spacing w:before="0" w:after="0" w:line="259" w:lineRule="auto"/>
              <w:jc w:val="center"/>
              <w:rPr>
                <w:rFonts w:cs="Arial"/>
                <w:sz w:val="20"/>
                <w:szCs w:val="18"/>
              </w:rPr>
            </w:pPr>
            <w:r w:rsidRPr="00111DC0">
              <w:rPr>
                <w:rFonts w:cs="Arial"/>
                <w:sz w:val="20"/>
                <w:szCs w:val="18"/>
              </w:rPr>
              <w:t>0,2</w:t>
            </w:r>
            <w:r w:rsidR="000828F0" w:rsidRPr="00111DC0">
              <w:rPr>
                <w:rFonts w:cs="Arial"/>
                <w:sz w:val="20"/>
                <w:szCs w:val="18"/>
              </w:rPr>
              <w:t>%</w:t>
            </w:r>
          </w:p>
        </w:tc>
      </w:tr>
      <w:tr w:rsidR="000C0DBF" w:rsidRPr="00111DC0" w14:paraId="70EA3DDF" w14:textId="77777777" w:rsidTr="003C175D">
        <w:tc>
          <w:tcPr>
            <w:tcW w:w="1190" w:type="pct"/>
            <w:tcBorders>
              <w:left w:val="double" w:sz="4" w:space="0" w:color="auto"/>
              <w:bottom w:val="double" w:sz="4" w:space="0" w:color="auto"/>
              <w:right w:val="double" w:sz="4" w:space="0" w:color="auto"/>
            </w:tcBorders>
            <w:vAlign w:val="center"/>
          </w:tcPr>
          <w:p w14:paraId="053FF3E0" w14:textId="3EB7E1E3" w:rsidR="000C0DBF" w:rsidRPr="00EF2ED1" w:rsidRDefault="000C0DBF" w:rsidP="000C0DBF">
            <w:pPr>
              <w:spacing w:before="0" w:after="0" w:line="259" w:lineRule="auto"/>
              <w:jc w:val="center"/>
              <w:rPr>
                <w:rFonts w:cs="Arial"/>
                <w:sz w:val="20"/>
                <w:szCs w:val="18"/>
              </w:rPr>
            </w:pPr>
            <w:r w:rsidRPr="00EF2ED1">
              <w:rPr>
                <w:rFonts w:eastAsiaTheme="majorEastAsia" w:cs="Arial"/>
                <w:b/>
                <w:bCs/>
                <w:snapToGrid w:val="0"/>
                <w:szCs w:val="26"/>
              </w:rPr>
              <w:t>C2 - E</w:t>
            </w:r>
          </w:p>
        </w:tc>
        <w:tc>
          <w:tcPr>
            <w:tcW w:w="1266" w:type="pct"/>
            <w:tcBorders>
              <w:left w:val="double" w:sz="4" w:space="0" w:color="auto"/>
              <w:bottom w:val="double" w:sz="4" w:space="0" w:color="auto"/>
              <w:right w:val="double" w:sz="4" w:space="0" w:color="auto"/>
            </w:tcBorders>
            <w:vAlign w:val="center"/>
          </w:tcPr>
          <w:p w14:paraId="17CC1AB5" w14:textId="2F618C9F" w:rsidR="000C0DBF" w:rsidRPr="00111DC0" w:rsidRDefault="000C0DBF" w:rsidP="004B1F30">
            <w:pPr>
              <w:spacing w:before="0" w:after="0" w:line="259" w:lineRule="auto"/>
              <w:jc w:val="center"/>
              <w:rPr>
                <w:rFonts w:cs="Arial"/>
                <w:sz w:val="20"/>
                <w:szCs w:val="18"/>
              </w:rPr>
            </w:pPr>
            <w:r w:rsidRPr="00111DC0">
              <w:rPr>
                <w:rFonts w:cs="Arial"/>
                <w:sz w:val="20"/>
                <w:szCs w:val="18"/>
              </w:rPr>
              <w:t>13</w:t>
            </w:r>
          </w:p>
        </w:tc>
        <w:tc>
          <w:tcPr>
            <w:tcW w:w="1296" w:type="pct"/>
            <w:tcBorders>
              <w:left w:val="double" w:sz="4" w:space="0" w:color="auto"/>
              <w:bottom w:val="double" w:sz="4" w:space="0" w:color="auto"/>
              <w:right w:val="double" w:sz="4" w:space="0" w:color="auto"/>
            </w:tcBorders>
            <w:vAlign w:val="center"/>
          </w:tcPr>
          <w:p w14:paraId="017B979E" w14:textId="4C5C6A5B" w:rsidR="000C0DBF" w:rsidRPr="000C0DBF" w:rsidRDefault="000C0DBF" w:rsidP="000C0DBF">
            <w:pPr>
              <w:spacing w:before="0" w:after="0" w:line="259" w:lineRule="auto"/>
              <w:jc w:val="center"/>
              <w:rPr>
                <w:rFonts w:cs="Arial"/>
                <w:b/>
                <w:bCs/>
                <w:sz w:val="20"/>
                <w:szCs w:val="18"/>
              </w:rPr>
            </w:pPr>
            <w:r w:rsidRPr="00111DC0">
              <w:rPr>
                <w:rFonts w:cs="Arial"/>
                <w:sz w:val="20"/>
                <w:szCs w:val="18"/>
              </w:rPr>
              <w:t>7,7%</w:t>
            </w:r>
          </w:p>
        </w:tc>
        <w:tc>
          <w:tcPr>
            <w:tcW w:w="1248" w:type="pct"/>
            <w:tcBorders>
              <w:left w:val="double" w:sz="4" w:space="0" w:color="auto"/>
              <w:bottom w:val="double" w:sz="4" w:space="0" w:color="auto"/>
              <w:right w:val="double" w:sz="4" w:space="0" w:color="auto"/>
            </w:tcBorders>
            <w:vAlign w:val="center"/>
          </w:tcPr>
          <w:p w14:paraId="7D74478F" w14:textId="1069008D" w:rsidR="000C0DBF" w:rsidRPr="000C0DBF" w:rsidRDefault="000C0DBF" w:rsidP="000C0DBF">
            <w:pPr>
              <w:spacing w:before="0" w:after="0" w:line="259" w:lineRule="auto"/>
              <w:jc w:val="center"/>
              <w:rPr>
                <w:rFonts w:cs="Arial"/>
                <w:b/>
                <w:bCs/>
                <w:sz w:val="20"/>
                <w:szCs w:val="18"/>
              </w:rPr>
            </w:pPr>
            <w:r w:rsidRPr="00111DC0">
              <w:rPr>
                <w:rFonts w:cs="Arial"/>
                <w:sz w:val="20"/>
                <w:szCs w:val="18"/>
              </w:rPr>
              <w:t>13,2%</w:t>
            </w:r>
          </w:p>
        </w:tc>
      </w:tr>
    </w:tbl>
    <w:p w14:paraId="011F4022" w14:textId="442B3E77" w:rsidR="000828F0" w:rsidRDefault="000828F0" w:rsidP="00A442AB"/>
    <w:p w14:paraId="4CF295DE" w14:textId="678E60EC" w:rsidR="006C5FC2" w:rsidRPr="00111DC0" w:rsidRDefault="004E7805" w:rsidP="00DE69A1">
      <w:pPr>
        <w:pStyle w:val="Ttulo4"/>
        <w:rPr>
          <w:rFonts w:cs="Arial"/>
        </w:rPr>
      </w:pPr>
      <w:r w:rsidRPr="00111DC0">
        <w:rPr>
          <w:rFonts w:cs="Arial"/>
        </w:rPr>
        <w:t>Personal laboral</w:t>
      </w:r>
    </w:p>
    <w:p w14:paraId="5D2F8106" w14:textId="77777777" w:rsidR="000D3E40" w:rsidRDefault="000D3E40" w:rsidP="000D3E40">
      <w:pPr>
        <w:rPr>
          <w:lang w:eastAsia="es-ES"/>
        </w:rPr>
      </w:pPr>
      <w:r w:rsidRPr="001039BD">
        <w:rPr>
          <w:lang w:eastAsia="es-ES"/>
        </w:rPr>
        <w:t xml:space="preserve">De conformidad con el artículo 12 del </w:t>
      </w:r>
      <w:r w:rsidRPr="001039BD">
        <w:rPr>
          <w:rStyle w:val="KursivaCar"/>
          <w:lang w:eastAsia="es-ES"/>
        </w:rPr>
        <w:t>Convenio Colectivo para el personal laboral de la Comunidad Autónoma de La Rioja 2008-2011</w:t>
      </w:r>
      <w:r w:rsidRPr="001039BD">
        <w:rPr>
          <w:lang w:eastAsia="es-ES"/>
        </w:rPr>
        <w:t>, e</w:t>
      </w:r>
      <w:r>
        <w:rPr>
          <w:lang w:eastAsia="es-ES"/>
        </w:rPr>
        <w:t>ste</w:t>
      </w:r>
      <w:r w:rsidRPr="001039BD">
        <w:rPr>
          <w:lang w:eastAsia="es-ES"/>
        </w:rPr>
        <w:t xml:space="preserve"> personal se clasifica en las distintas </w:t>
      </w:r>
      <w:r>
        <w:rPr>
          <w:lang w:eastAsia="es-ES"/>
        </w:rPr>
        <w:t>C</w:t>
      </w:r>
      <w:r w:rsidRPr="001039BD">
        <w:rPr>
          <w:lang w:eastAsia="es-ES"/>
        </w:rPr>
        <w:t xml:space="preserve">ategorías profesionales </w:t>
      </w:r>
      <w:r>
        <w:rPr>
          <w:lang w:eastAsia="es-ES"/>
        </w:rPr>
        <w:t xml:space="preserve">que son específicamente </w:t>
      </w:r>
      <w:r w:rsidRPr="001039BD">
        <w:rPr>
          <w:lang w:eastAsia="es-ES"/>
        </w:rPr>
        <w:t>definidas en el Anexo I.</w:t>
      </w:r>
      <w:r>
        <w:rPr>
          <w:lang w:eastAsia="es-ES"/>
        </w:rPr>
        <w:t xml:space="preserve"> Su </w:t>
      </w:r>
      <w:r w:rsidRPr="001039BD">
        <w:rPr>
          <w:lang w:eastAsia="es-ES"/>
        </w:rPr>
        <w:t xml:space="preserve">apartado tercero </w:t>
      </w:r>
      <w:r>
        <w:rPr>
          <w:lang w:eastAsia="es-ES"/>
        </w:rPr>
        <w:t>determina que c</w:t>
      </w:r>
      <w:r w:rsidRPr="001039BD">
        <w:rPr>
          <w:lang w:eastAsia="es-ES"/>
        </w:rPr>
        <w:t xml:space="preserve">ada una de las </w:t>
      </w:r>
      <w:r>
        <w:rPr>
          <w:lang w:eastAsia="es-ES"/>
        </w:rPr>
        <w:t>C</w:t>
      </w:r>
      <w:r w:rsidRPr="001039BD">
        <w:rPr>
          <w:lang w:eastAsia="es-ES"/>
        </w:rPr>
        <w:t>ategorías se encuadran en los grupos A, B, C, D y E</w:t>
      </w:r>
      <w:r>
        <w:rPr>
          <w:lang w:eastAsia="es-ES"/>
        </w:rPr>
        <w:t>;</w:t>
      </w:r>
      <w:r w:rsidRPr="001039BD">
        <w:rPr>
          <w:lang w:eastAsia="es-ES"/>
        </w:rPr>
        <w:t xml:space="preserve"> asimismo</w:t>
      </w:r>
      <w:r>
        <w:rPr>
          <w:lang w:eastAsia="es-ES"/>
        </w:rPr>
        <w:t>,</w:t>
      </w:r>
      <w:r w:rsidRPr="001039BD">
        <w:rPr>
          <w:lang w:eastAsia="es-ES"/>
        </w:rPr>
        <w:t xml:space="preserve"> a cada </w:t>
      </w:r>
      <w:r>
        <w:rPr>
          <w:lang w:eastAsia="es-ES"/>
        </w:rPr>
        <w:t>C</w:t>
      </w:r>
      <w:r w:rsidRPr="001039BD">
        <w:rPr>
          <w:lang w:eastAsia="es-ES"/>
        </w:rPr>
        <w:t xml:space="preserve">ategoría profesional le corresponde un </w:t>
      </w:r>
      <w:r>
        <w:rPr>
          <w:lang w:eastAsia="es-ES"/>
        </w:rPr>
        <w:t>Salario</w:t>
      </w:r>
      <w:r w:rsidRPr="001039BD">
        <w:rPr>
          <w:lang w:eastAsia="es-ES"/>
        </w:rPr>
        <w:t xml:space="preserve"> </w:t>
      </w:r>
      <w:r>
        <w:rPr>
          <w:lang w:eastAsia="es-ES"/>
        </w:rPr>
        <w:t>B</w:t>
      </w:r>
      <w:r w:rsidRPr="001039BD">
        <w:rPr>
          <w:lang w:eastAsia="es-ES"/>
        </w:rPr>
        <w:t xml:space="preserve">ase, un </w:t>
      </w:r>
      <w:r>
        <w:rPr>
          <w:lang w:eastAsia="es-ES"/>
        </w:rPr>
        <w:t>C</w:t>
      </w:r>
      <w:r w:rsidRPr="001039BD">
        <w:rPr>
          <w:lang w:eastAsia="es-ES"/>
        </w:rPr>
        <w:t xml:space="preserve">omplemento de categoría y un </w:t>
      </w:r>
      <w:r>
        <w:rPr>
          <w:lang w:eastAsia="es-ES"/>
        </w:rPr>
        <w:t>C</w:t>
      </w:r>
      <w:r w:rsidRPr="001039BD">
        <w:rPr>
          <w:lang w:eastAsia="es-ES"/>
        </w:rPr>
        <w:t xml:space="preserve">omplemento de puesto. El </w:t>
      </w:r>
      <w:r>
        <w:rPr>
          <w:lang w:eastAsia="es-ES"/>
        </w:rPr>
        <w:t>C</w:t>
      </w:r>
      <w:r w:rsidRPr="001039BD">
        <w:rPr>
          <w:lang w:eastAsia="es-ES"/>
        </w:rPr>
        <w:t>omplemento de categoría será el equivalente al complemento de destino del puesto base que</w:t>
      </w:r>
      <w:r>
        <w:rPr>
          <w:lang w:eastAsia="es-ES"/>
        </w:rPr>
        <w:t>,</w:t>
      </w:r>
      <w:r w:rsidRPr="001039BD">
        <w:rPr>
          <w:lang w:eastAsia="es-ES"/>
        </w:rPr>
        <w:t xml:space="preserve"> en su caso</w:t>
      </w:r>
      <w:r>
        <w:rPr>
          <w:lang w:eastAsia="es-ES"/>
        </w:rPr>
        <w:t>,</w:t>
      </w:r>
      <w:r w:rsidRPr="001039BD">
        <w:rPr>
          <w:lang w:eastAsia="es-ES"/>
        </w:rPr>
        <w:t xml:space="preserve"> tuviera asignado el personal interino que desempeñe las mismas funciones. </w:t>
      </w:r>
      <w:r>
        <w:rPr>
          <w:lang w:eastAsia="es-ES"/>
        </w:rPr>
        <w:t>Es por esta razón que</w:t>
      </w:r>
      <w:r w:rsidRPr="001039BD">
        <w:rPr>
          <w:lang w:eastAsia="es-ES"/>
        </w:rPr>
        <w:t xml:space="preserve"> el Anexo II del citado convenio asigna a cada </w:t>
      </w:r>
      <w:r>
        <w:rPr>
          <w:lang w:eastAsia="es-ES"/>
        </w:rPr>
        <w:t>Ca</w:t>
      </w:r>
      <w:r w:rsidRPr="001039BD">
        <w:rPr>
          <w:lang w:eastAsia="es-ES"/>
        </w:rPr>
        <w:t xml:space="preserve">tegoría profesional un </w:t>
      </w:r>
      <w:r>
        <w:rPr>
          <w:bCs/>
          <w:lang w:eastAsia="es-ES"/>
        </w:rPr>
        <w:t>N</w:t>
      </w:r>
      <w:r w:rsidRPr="001039BD">
        <w:rPr>
          <w:lang w:eastAsia="es-ES"/>
        </w:rPr>
        <w:t>ivel</w:t>
      </w:r>
      <w:r>
        <w:rPr>
          <w:lang w:eastAsia="es-ES"/>
        </w:rPr>
        <w:t xml:space="preserve">. </w:t>
      </w:r>
    </w:p>
    <w:p w14:paraId="23C785A3" w14:textId="16795233" w:rsidR="00B46898" w:rsidRDefault="000D3E40" w:rsidP="00B46898">
      <w:pPr>
        <w:rPr>
          <w:rFonts w:ascii="HelveticaNeue LT 55 Roman" w:hAnsi="HelveticaNeue LT 55 Roman"/>
        </w:rPr>
      </w:pPr>
      <w:r>
        <w:t>Así, e</w:t>
      </w:r>
      <w:r w:rsidRPr="004F7745">
        <w:t>ntre</w:t>
      </w:r>
      <w:r>
        <w:t xml:space="preserve"> </w:t>
      </w:r>
      <w:r w:rsidR="00B46898" w:rsidRPr="004F7745">
        <w:t>el personal laboral (sin tener en cuenta las sustituciones</w:t>
      </w:r>
      <w:r w:rsidR="00B46898" w:rsidRPr="004F7745">
        <w:rPr>
          <w:b/>
          <w:bCs/>
        </w:rPr>
        <w:t xml:space="preserve">) tanto en el Nivel 20 como en el Nivel 22 la composición de mujeres y hombres está dentro de la horquilla de la presencia equilibrada, </w:t>
      </w:r>
      <w:r w:rsidR="00B46898" w:rsidRPr="004F7745">
        <w:t>mientras que no existe presencia masculina en el nivel 21. A estas categorías se corresponde el Personal Titulado Superior, Educador, de Trabajo Social, etc.</w:t>
      </w:r>
      <w:r w:rsidR="00485E30">
        <w:t xml:space="preserve"> </w:t>
      </w:r>
      <w:r w:rsidR="00B46898" w:rsidRPr="004F7745">
        <w:rPr>
          <w:rFonts w:ascii="HelveticaNeue LT 55 Roman" w:hAnsi="HelveticaNeue LT 55 Roman"/>
        </w:rPr>
        <w:t>En cambio, en los niveles inferiores se produce una alternancia sucesiva en la distribución de mujeres y hombres, mostrando situaciones de clara masculinización (Nivel 14, 89% de empleados) o de clara feminización (Nivel 15, 80% de empleadas)</w:t>
      </w:r>
      <w:r w:rsidR="00485E30">
        <w:rPr>
          <w:rFonts w:ascii="HelveticaNeue LT 55 Roman" w:hAnsi="HelveticaNeue LT 55 Roman"/>
        </w:rPr>
        <w:t>:</w:t>
      </w:r>
    </w:p>
    <w:tbl>
      <w:tblPr>
        <w:tblStyle w:val="Tablaconcuadrcula"/>
        <w:tblW w:w="4938" w:type="pct"/>
        <w:tblInd w:w="108" w:type="dxa"/>
        <w:tblLook w:val="04A0" w:firstRow="1" w:lastRow="0" w:firstColumn="1" w:lastColumn="0" w:noHBand="0" w:noVBand="1"/>
      </w:tblPr>
      <w:tblGrid>
        <w:gridCol w:w="2048"/>
        <w:gridCol w:w="2181"/>
        <w:gridCol w:w="2232"/>
        <w:gridCol w:w="2151"/>
      </w:tblGrid>
      <w:tr w:rsidR="001039BD" w:rsidRPr="00111DC0" w14:paraId="226CA7F5" w14:textId="77777777" w:rsidTr="00485E30">
        <w:trPr>
          <w:trHeight w:val="537"/>
        </w:trPr>
        <w:tc>
          <w:tcPr>
            <w:tcW w:w="5000" w:type="pct"/>
            <w:gridSpan w:val="4"/>
            <w:tcBorders>
              <w:top w:val="double" w:sz="4" w:space="0" w:color="auto"/>
              <w:left w:val="double" w:sz="4" w:space="0" w:color="auto"/>
              <w:right w:val="double" w:sz="4" w:space="0" w:color="auto"/>
            </w:tcBorders>
            <w:shd w:val="clear" w:color="auto" w:fill="78BE20"/>
            <w:vAlign w:val="center"/>
          </w:tcPr>
          <w:p w14:paraId="11293ECE" w14:textId="2BEF33D1" w:rsidR="001039BD" w:rsidRPr="00111DC0" w:rsidRDefault="00B46898" w:rsidP="000F4CC1">
            <w:pPr>
              <w:widowControl w:val="0"/>
              <w:spacing w:before="0" w:after="0" w:line="240" w:lineRule="auto"/>
              <w:jc w:val="left"/>
              <w:rPr>
                <w:rFonts w:cs="Arial"/>
                <w:b/>
                <w:bCs/>
                <w:color w:val="FFFFFF" w:themeColor="background1"/>
                <w:szCs w:val="20"/>
              </w:rPr>
            </w:pPr>
            <w:r>
              <w:rPr>
                <w:lang w:eastAsia="es-ES"/>
              </w:rPr>
              <w:br w:type="page"/>
            </w:r>
            <w:r w:rsidR="001039BD" w:rsidRPr="00111DC0">
              <w:rPr>
                <w:rFonts w:cs="Arial"/>
              </w:rPr>
              <w:br w:type="page"/>
            </w:r>
            <w:r w:rsidR="001039BD" w:rsidRPr="00111DC0">
              <w:rPr>
                <w:rFonts w:cs="Arial"/>
                <w:b/>
                <w:bCs/>
                <w:color w:val="FFFFFF" w:themeColor="background1"/>
                <w:szCs w:val="20"/>
              </w:rPr>
              <w:t>Tabla 5. Distribución por sexo y nivel del personal laboral</w:t>
            </w:r>
          </w:p>
          <w:p w14:paraId="765B2A24" w14:textId="77777777" w:rsidR="001039BD" w:rsidRPr="00111DC0" w:rsidRDefault="001039BD" w:rsidP="000F4CC1">
            <w:pPr>
              <w:widowControl w:val="0"/>
              <w:spacing w:before="0" w:after="0" w:line="240" w:lineRule="auto"/>
              <w:jc w:val="left"/>
              <w:rPr>
                <w:rFonts w:eastAsiaTheme="majorEastAsia" w:cs="Arial"/>
                <w:b/>
                <w:bCs/>
                <w:snapToGrid w:val="0"/>
                <w:color w:val="78BE20"/>
                <w:szCs w:val="26"/>
              </w:rPr>
            </w:pPr>
            <w:r w:rsidRPr="00111DC0">
              <w:rPr>
                <w:rFonts w:cs="Arial"/>
                <w:color w:val="FFFFFF" w:themeColor="background1"/>
                <w:szCs w:val="20"/>
              </w:rPr>
              <w:t>(Servicios Generales)</w:t>
            </w:r>
          </w:p>
        </w:tc>
      </w:tr>
      <w:tr w:rsidR="00612140" w:rsidRPr="00111DC0" w14:paraId="0D540CD3" w14:textId="77777777" w:rsidTr="00485E30">
        <w:trPr>
          <w:trHeight w:val="297"/>
        </w:trPr>
        <w:tc>
          <w:tcPr>
            <w:tcW w:w="2455" w:type="pct"/>
            <w:gridSpan w:val="2"/>
            <w:tcBorders>
              <w:left w:val="double" w:sz="4" w:space="0" w:color="auto"/>
              <w:bottom w:val="double" w:sz="4" w:space="0" w:color="auto"/>
              <w:right w:val="double" w:sz="4" w:space="0" w:color="auto"/>
            </w:tcBorders>
            <w:vAlign w:val="center"/>
          </w:tcPr>
          <w:p w14:paraId="2BD5C56C" w14:textId="77777777" w:rsidR="00612140" w:rsidRPr="00111DC0" w:rsidRDefault="00612140" w:rsidP="000F4CC1">
            <w:pPr>
              <w:spacing w:before="0" w:after="0" w:line="259" w:lineRule="auto"/>
              <w:jc w:val="center"/>
              <w:rPr>
                <w:rFonts w:eastAsiaTheme="majorEastAsia" w:cs="Arial"/>
                <w:b/>
                <w:bCs/>
                <w:snapToGrid w:val="0"/>
                <w:color w:val="78BE20"/>
                <w:szCs w:val="26"/>
              </w:rPr>
            </w:pPr>
          </w:p>
        </w:tc>
        <w:tc>
          <w:tcPr>
            <w:tcW w:w="1296" w:type="pct"/>
            <w:tcBorders>
              <w:left w:val="double" w:sz="4" w:space="0" w:color="auto"/>
              <w:bottom w:val="double" w:sz="4" w:space="0" w:color="auto"/>
              <w:right w:val="double" w:sz="4" w:space="0" w:color="auto"/>
            </w:tcBorders>
            <w:vAlign w:val="center"/>
          </w:tcPr>
          <w:p w14:paraId="430391D5" w14:textId="77777777" w:rsidR="00612140" w:rsidRPr="00111DC0" w:rsidRDefault="00612140" w:rsidP="000F4CC1">
            <w:pPr>
              <w:widowControl w:val="0"/>
              <w:spacing w:before="0" w:after="0" w:line="240" w:lineRule="auto"/>
              <w:jc w:val="center"/>
              <w:rPr>
                <w:rFonts w:eastAsiaTheme="majorEastAsia" w:cs="Arial"/>
                <w:b/>
                <w:bCs/>
                <w:snapToGrid w:val="0"/>
                <w:color w:val="78BE20"/>
                <w:szCs w:val="26"/>
              </w:rPr>
            </w:pPr>
            <w:r w:rsidRPr="00111DC0">
              <w:rPr>
                <w:rFonts w:cs="Arial"/>
                <w:b/>
                <w:bCs/>
                <w:sz w:val="20"/>
                <w:szCs w:val="18"/>
              </w:rPr>
              <w:t>MUJERES</w:t>
            </w:r>
          </w:p>
        </w:tc>
        <w:tc>
          <w:tcPr>
            <w:tcW w:w="1249" w:type="pct"/>
            <w:tcBorders>
              <w:left w:val="double" w:sz="4" w:space="0" w:color="auto"/>
              <w:bottom w:val="double" w:sz="4" w:space="0" w:color="auto"/>
              <w:right w:val="double" w:sz="4" w:space="0" w:color="auto"/>
            </w:tcBorders>
            <w:vAlign w:val="center"/>
          </w:tcPr>
          <w:p w14:paraId="7AFE6ACC" w14:textId="77777777" w:rsidR="00612140" w:rsidRPr="00111DC0" w:rsidRDefault="00612140" w:rsidP="000F4CC1">
            <w:pPr>
              <w:widowControl w:val="0"/>
              <w:spacing w:before="0" w:after="0" w:line="240" w:lineRule="auto"/>
              <w:jc w:val="center"/>
              <w:rPr>
                <w:rFonts w:eastAsiaTheme="majorEastAsia" w:cs="Arial"/>
                <w:b/>
                <w:bCs/>
                <w:snapToGrid w:val="0"/>
                <w:color w:val="78BE20"/>
                <w:szCs w:val="26"/>
              </w:rPr>
            </w:pPr>
            <w:r w:rsidRPr="00111DC0">
              <w:rPr>
                <w:rFonts w:cs="Arial"/>
                <w:b/>
                <w:bCs/>
                <w:sz w:val="20"/>
                <w:szCs w:val="18"/>
              </w:rPr>
              <w:t>HOMBRES</w:t>
            </w:r>
          </w:p>
        </w:tc>
      </w:tr>
      <w:tr w:rsidR="001039BD" w:rsidRPr="00111DC0" w14:paraId="2CB90BBA" w14:textId="77777777" w:rsidTr="001039BD">
        <w:tc>
          <w:tcPr>
            <w:tcW w:w="1189" w:type="pct"/>
            <w:tcBorders>
              <w:top w:val="double" w:sz="4" w:space="0" w:color="auto"/>
              <w:left w:val="double" w:sz="4" w:space="0" w:color="auto"/>
              <w:right w:val="double" w:sz="4" w:space="0" w:color="auto"/>
            </w:tcBorders>
            <w:vAlign w:val="center"/>
          </w:tcPr>
          <w:p w14:paraId="6C7C9FBD" w14:textId="77777777" w:rsidR="001039BD" w:rsidRPr="00111DC0" w:rsidRDefault="001039BD" w:rsidP="000F4CC1">
            <w:pPr>
              <w:spacing w:before="0" w:after="0" w:line="259" w:lineRule="auto"/>
              <w:jc w:val="center"/>
              <w:rPr>
                <w:rFonts w:eastAsiaTheme="majorEastAsia" w:cs="Arial"/>
                <w:b/>
                <w:bCs/>
                <w:snapToGrid w:val="0"/>
                <w:color w:val="78BE20"/>
                <w:szCs w:val="26"/>
              </w:rPr>
            </w:pPr>
          </w:p>
        </w:tc>
        <w:tc>
          <w:tcPr>
            <w:tcW w:w="1266" w:type="pct"/>
            <w:tcBorders>
              <w:top w:val="double" w:sz="4" w:space="0" w:color="auto"/>
              <w:left w:val="double" w:sz="4" w:space="0" w:color="auto"/>
              <w:right w:val="double" w:sz="4" w:space="0" w:color="auto"/>
            </w:tcBorders>
            <w:vAlign w:val="center"/>
          </w:tcPr>
          <w:p w14:paraId="0409127F"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23</w:t>
            </w:r>
          </w:p>
        </w:tc>
        <w:tc>
          <w:tcPr>
            <w:tcW w:w="1296" w:type="pct"/>
            <w:tcBorders>
              <w:top w:val="double" w:sz="4" w:space="0" w:color="auto"/>
              <w:left w:val="double" w:sz="4" w:space="0" w:color="auto"/>
              <w:right w:val="double" w:sz="4" w:space="0" w:color="auto"/>
            </w:tcBorders>
            <w:vAlign w:val="center"/>
          </w:tcPr>
          <w:p w14:paraId="6B1736ED" w14:textId="77777777" w:rsidR="001039BD" w:rsidRPr="00111DC0" w:rsidRDefault="001039BD" w:rsidP="000F4CC1">
            <w:pPr>
              <w:spacing w:before="0" w:after="0" w:line="259" w:lineRule="auto"/>
              <w:jc w:val="center"/>
              <w:rPr>
                <w:rFonts w:cs="Arial"/>
                <w:sz w:val="20"/>
                <w:szCs w:val="18"/>
              </w:rPr>
            </w:pPr>
          </w:p>
        </w:tc>
        <w:tc>
          <w:tcPr>
            <w:tcW w:w="1249" w:type="pct"/>
            <w:tcBorders>
              <w:top w:val="double" w:sz="4" w:space="0" w:color="auto"/>
              <w:left w:val="double" w:sz="4" w:space="0" w:color="auto"/>
              <w:right w:val="double" w:sz="4" w:space="0" w:color="auto"/>
            </w:tcBorders>
            <w:vAlign w:val="center"/>
          </w:tcPr>
          <w:p w14:paraId="74A3030D" w14:textId="77777777" w:rsidR="001039BD" w:rsidRPr="00111DC0" w:rsidRDefault="001039BD" w:rsidP="000F4CC1">
            <w:pPr>
              <w:spacing w:before="0" w:after="0" w:line="259" w:lineRule="auto"/>
              <w:jc w:val="center"/>
              <w:rPr>
                <w:rFonts w:cs="Arial"/>
                <w:sz w:val="20"/>
                <w:szCs w:val="18"/>
              </w:rPr>
            </w:pPr>
          </w:p>
        </w:tc>
      </w:tr>
      <w:tr w:rsidR="001039BD" w:rsidRPr="00111DC0" w14:paraId="64442E68" w14:textId="77777777" w:rsidTr="001039BD">
        <w:tc>
          <w:tcPr>
            <w:tcW w:w="1189" w:type="pct"/>
            <w:tcBorders>
              <w:left w:val="double" w:sz="4" w:space="0" w:color="auto"/>
              <w:right w:val="double" w:sz="4" w:space="0" w:color="auto"/>
            </w:tcBorders>
            <w:vAlign w:val="center"/>
          </w:tcPr>
          <w:p w14:paraId="520397BD" w14:textId="77777777" w:rsidR="001039BD" w:rsidRPr="00111DC0" w:rsidRDefault="001039BD" w:rsidP="000F4CC1">
            <w:pPr>
              <w:spacing w:before="0" w:after="0" w:line="259"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A</w:t>
            </w:r>
          </w:p>
        </w:tc>
        <w:tc>
          <w:tcPr>
            <w:tcW w:w="1266" w:type="pct"/>
            <w:tcBorders>
              <w:left w:val="double" w:sz="4" w:space="0" w:color="auto"/>
              <w:right w:val="double" w:sz="4" w:space="0" w:color="auto"/>
            </w:tcBorders>
            <w:vAlign w:val="center"/>
          </w:tcPr>
          <w:p w14:paraId="6EE11E33"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22</w:t>
            </w:r>
          </w:p>
        </w:tc>
        <w:tc>
          <w:tcPr>
            <w:tcW w:w="1296" w:type="pct"/>
            <w:tcBorders>
              <w:left w:val="double" w:sz="4" w:space="0" w:color="auto"/>
              <w:right w:val="double" w:sz="4" w:space="0" w:color="auto"/>
            </w:tcBorders>
            <w:vAlign w:val="center"/>
          </w:tcPr>
          <w:p w14:paraId="4D5083FC"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59%</w:t>
            </w:r>
          </w:p>
        </w:tc>
        <w:tc>
          <w:tcPr>
            <w:tcW w:w="1249" w:type="pct"/>
            <w:tcBorders>
              <w:left w:val="double" w:sz="4" w:space="0" w:color="auto"/>
              <w:right w:val="double" w:sz="4" w:space="0" w:color="auto"/>
            </w:tcBorders>
            <w:vAlign w:val="center"/>
          </w:tcPr>
          <w:p w14:paraId="24E44552"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41%</w:t>
            </w:r>
          </w:p>
        </w:tc>
      </w:tr>
      <w:tr w:rsidR="001039BD" w:rsidRPr="00111DC0" w14:paraId="746D38D1" w14:textId="77777777" w:rsidTr="001039BD">
        <w:tc>
          <w:tcPr>
            <w:tcW w:w="1189" w:type="pct"/>
            <w:vMerge w:val="restart"/>
            <w:tcBorders>
              <w:left w:val="double" w:sz="4" w:space="0" w:color="auto"/>
              <w:right w:val="double" w:sz="4" w:space="0" w:color="auto"/>
            </w:tcBorders>
            <w:vAlign w:val="center"/>
          </w:tcPr>
          <w:p w14:paraId="26B540E5" w14:textId="77777777" w:rsidR="001039BD" w:rsidRPr="00111DC0" w:rsidRDefault="001039BD" w:rsidP="000F4CC1">
            <w:pPr>
              <w:spacing w:before="0" w:after="0" w:line="259"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B</w:t>
            </w:r>
          </w:p>
        </w:tc>
        <w:tc>
          <w:tcPr>
            <w:tcW w:w="1266" w:type="pct"/>
            <w:tcBorders>
              <w:left w:val="double" w:sz="4" w:space="0" w:color="auto"/>
              <w:right w:val="double" w:sz="4" w:space="0" w:color="auto"/>
            </w:tcBorders>
            <w:vAlign w:val="center"/>
          </w:tcPr>
          <w:p w14:paraId="1287675D"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21</w:t>
            </w:r>
          </w:p>
        </w:tc>
        <w:tc>
          <w:tcPr>
            <w:tcW w:w="1296" w:type="pct"/>
            <w:tcBorders>
              <w:left w:val="double" w:sz="4" w:space="0" w:color="auto"/>
              <w:right w:val="double" w:sz="4" w:space="0" w:color="auto"/>
            </w:tcBorders>
            <w:vAlign w:val="center"/>
          </w:tcPr>
          <w:p w14:paraId="6F9509EA"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100%</w:t>
            </w:r>
          </w:p>
        </w:tc>
        <w:tc>
          <w:tcPr>
            <w:tcW w:w="1249" w:type="pct"/>
            <w:tcBorders>
              <w:left w:val="double" w:sz="4" w:space="0" w:color="auto"/>
              <w:right w:val="double" w:sz="4" w:space="0" w:color="auto"/>
            </w:tcBorders>
            <w:vAlign w:val="center"/>
          </w:tcPr>
          <w:p w14:paraId="43AA3983"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w:t>
            </w:r>
          </w:p>
        </w:tc>
      </w:tr>
      <w:tr w:rsidR="001039BD" w:rsidRPr="00111DC0" w14:paraId="621C78D7" w14:textId="77777777" w:rsidTr="001039BD">
        <w:tc>
          <w:tcPr>
            <w:tcW w:w="1189" w:type="pct"/>
            <w:vMerge/>
            <w:tcBorders>
              <w:left w:val="double" w:sz="4" w:space="0" w:color="auto"/>
              <w:right w:val="double" w:sz="4" w:space="0" w:color="auto"/>
            </w:tcBorders>
            <w:vAlign w:val="center"/>
          </w:tcPr>
          <w:p w14:paraId="1D29AF27" w14:textId="77777777" w:rsidR="001039BD" w:rsidRPr="00111DC0" w:rsidRDefault="001039BD" w:rsidP="000F4CC1">
            <w:pPr>
              <w:spacing w:before="0" w:after="0" w:line="259" w:lineRule="auto"/>
              <w:jc w:val="center"/>
              <w:rPr>
                <w:rFonts w:eastAsiaTheme="majorEastAsia" w:cs="Arial"/>
                <w:b/>
                <w:bCs/>
                <w:snapToGrid w:val="0"/>
                <w:color w:val="78BE20"/>
                <w:szCs w:val="26"/>
              </w:rPr>
            </w:pPr>
          </w:p>
        </w:tc>
        <w:tc>
          <w:tcPr>
            <w:tcW w:w="1266" w:type="pct"/>
            <w:tcBorders>
              <w:left w:val="double" w:sz="4" w:space="0" w:color="auto"/>
              <w:right w:val="double" w:sz="4" w:space="0" w:color="auto"/>
            </w:tcBorders>
            <w:vAlign w:val="center"/>
          </w:tcPr>
          <w:p w14:paraId="63311D25"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20</w:t>
            </w:r>
          </w:p>
        </w:tc>
        <w:tc>
          <w:tcPr>
            <w:tcW w:w="1296" w:type="pct"/>
            <w:tcBorders>
              <w:left w:val="double" w:sz="4" w:space="0" w:color="auto"/>
              <w:right w:val="double" w:sz="4" w:space="0" w:color="auto"/>
            </w:tcBorders>
            <w:vAlign w:val="center"/>
          </w:tcPr>
          <w:p w14:paraId="6E37F433"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45%</w:t>
            </w:r>
          </w:p>
        </w:tc>
        <w:tc>
          <w:tcPr>
            <w:tcW w:w="1249" w:type="pct"/>
            <w:tcBorders>
              <w:left w:val="double" w:sz="4" w:space="0" w:color="auto"/>
              <w:right w:val="double" w:sz="4" w:space="0" w:color="auto"/>
            </w:tcBorders>
            <w:vAlign w:val="center"/>
          </w:tcPr>
          <w:p w14:paraId="73A0279C"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55%</w:t>
            </w:r>
          </w:p>
        </w:tc>
      </w:tr>
      <w:tr w:rsidR="001039BD" w:rsidRPr="00111DC0" w14:paraId="4BEC6884" w14:textId="77777777" w:rsidTr="001039BD">
        <w:tc>
          <w:tcPr>
            <w:tcW w:w="1189" w:type="pct"/>
            <w:tcBorders>
              <w:left w:val="double" w:sz="4" w:space="0" w:color="auto"/>
              <w:right w:val="double" w:sz="4" w:space="0" w:color="auto"/>
            </w:tcBorders>
            <w:vAlign w:val="center"/>
          </w:tcPr>
          <w:p w14:paraId="7954C2F8" w14:textId="77777777" w:rsidR="001039BD" w:rsidRPr="00111DC0" w:rsidRDefault="001039BD" w:rsidP="000F4CC1">
            <w:pPr>
              <w:spacing w:before="0" w:after="0" w:line="259" w:lineRule="auto"/>
              <w:jc w:val="center"/>
              <w:rPr>
                <w:rFonts w:eastAsiaTheme="majorEastAsia" w:cs="Arial"/>
                <w:b/>
                <w:bCs/>
                <w:snapToGrid w:val="0"/>
                <w:color w:val="78BE20"/>
                <w:szCs w:val="26"/>
              </w:rPr>
            </w:pPr>
          </w:p>
        </w:tc>
        <w:tc>
          <w:tcPr>
            <w:tcW w:w="1266" w:type="pct"/>
            <w:tcBorders>
              <w:left w:val="double" w:sz="4" w:space="0" w:color="auto"/>
              <w:right w:val="double" w:sz="4" w:space="0" w:color="auto"/>
            </w:tcBorders>
            <w:vAlign w:val="center"/>
          </w:tcPr>
          <w:p w14:paraId="43C88F64"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19</w:t>
            </w:r>
          </w:p>
        </w:tc>
        <w:tc>
          <w:tcPr>
            <w:tcW w:w="1296" w:type="pct"/>
            <w:tcBorders>
              <w:left w:val="double" w:sz="4" w:space="0" w:color="auto"/>
              <w:right w:val="double" w:sz="4" w:space="0" w:color="auto"/>
            </w:tcBorders>
            <w:vAlign w:val="center"/>
          </w:tcPr>
          <w:p w14:paraId="0031CD5E"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w:t>
            </w:r>
          </w:p>
        </w:tc>
        <w:tc>
          <w:tcPr>
            <w:tcW w:w="1249" w:type="pct"/>
            <w:tcBorders>
              <w:left w:val="double" w:sz="4" w:space="0" w:color="auto"/>
              <w:right w:val="double" w:sz="4" w:space="0" w:color="auto"/>
            </w:tcBorders>
            <w:vAlign w:val="center"/>
          </w:tcPr>
          <w:p w14:paraId="11A0410E"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w:t>
            </w:r>
          </w:p>
        </w:tc>
      </w:tr>
      <w:tr w:rsidR="001039BD" w:rsidRPr="00111DC0" w14:paraId="76D42BAE" w14:textId="77777777" w:rsidTr="001039BD">
        <w:tc>
          <w:tcPr>
            <w:tcW w:w="1189" w:type="pct"/>
            <w:vMerge w:val="restart"/>
            <w:tcBorders>
              <w:left w:val="double" w:sz="4" w:space="0" w:color="auto"/>
              <w:right w:val="double" w:sz="4" w:space="0" w:color="auto"/>
            </w:tcBorders>
            <w:vAlign w:val="center"/>
          </w:tcPr>
          <w:p w14:paraId="47725B2A" w14:textId="77777777" w:rsidR="001039BD" w:rsidRPr="00111DC0" w:rsidRDefault="001039BD" w:rsidP="000F4CC1">
            <w:pPr>
              <w:spacing w:before="0" w:after="0" w:line="259"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C</w:t>
            </w:r>
          </w:p>
        </w:tc>
        <w:tc>
          <w:tcPr>
            <w:tcW w:w="1266" w:type="pct"/>
            <w:tcBorders>
              <w:left w:val="double" w:sz="4" w:space="0" w:color="auto"/>
              <w:right w:val="double" w:sz="4" w:space="0" w:color="auto"/>
            </w:tcBorders>
            <w:vAlign w:val="center"/>
          </w:tcPr>
          <w:p w14:paraId="092023B1"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18</w:t>
            </w:r>
          </w:p>
        </w:tc>
        <w:tc>
          <w:tcPr>
            <w:tcW w:w="1296" w:type="pct"/>
            <w:tcBorders>
              <w:left w:val="double" w:sz="4" w:space="0" w:color="auto"/>
              <w:right w:val="double" w:sz="4" w:space="0" w:color="auto"/>
            </w:tcBorders>
            <w:vAlign w:val="center"/>
          </w:tcPr>
          <w:p w14:paraId="3105F114"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25%</w:t>
            </w:r>
          </w:p>
        </w:tc>
        <w:tc>
          <w:tcPr>
            <w:tcW w:w="1249" w:type="pct"/>
            <w:tcBorders>
              <w:left w:val="double" w:sz="4" w:space="0" w:color="auto"/>
              <w:right w:val="double" w:sz="4" w:space="0" w:color="auto"/>
            </w:tcBorders>
            <w:vAlign w:val="center"/>
          </w:tcPr>
          <w:p w14:paraId="4BFE5372"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75%</w:t>
            </w:r>
          </w:p>
        </w:tc>
      </w:tr>
      <w:tr w:rsidR="001039BD" w:rsidRPr="00111DC0" w14:paraId="23790A80" w14:textId="77777777" w:rsidTr="001039BD">
        <w:tc>
          <w:tcPr>
            <w:tcW w:w="1189" w:type="pct"/>
            <w:vMerge/>
            <w:tcBorders>
              <w:left w:val="double" w:sz="4" w:space="0" w:color="auto"/>
              <w:right w:val="double" w:sz="4" w:space="0" w:color="auto"/>
            </w:tcBorders>
            <w:vAlign w:val="center"/>
          </w:tcPr>
          <w:p w14:paraId="449CA84C" w14:textId="77777777" w:rsidR="001039BD" w:rsidRPr="00111DC0" w:rsidRDefault="001039BD" w:rsidP="000F4CC1">
            <w:pPr>
              <w:spacing w:before="0" w:after="0" w:line="259" w:lineRule="auto"/>
              <w:jc w:val="center"/>
              <w:rPr>
                <w:rFonts w:eastAsiaTheme="majorEastAsia" w:cs="Arial"/>
                <w:b/>
                <w:bCs/>
                <w:snapToGrid w:val="0"/>
                <w:color w:val="78BE20"/>
                <w:szCs w:val="26"/>
              </w:rPr>
            </w:pPr>
          </w:p>
        </w:tc>
        <w:tc>
          <w:tcPr>
            <w:tcW w:w="1266" w:type="pct"/>
            <w:tcBorders>
              <w:left w:val="double" w:sz="4" w:space="0" w:color="auto"/>
              <w:right w:val="double" w:sz="4" w:space="0" w:color="auto"/>
            </w:tcBorders>
            <w:vAlign w:val="center"/>
          </w:tcPr>
          <w:p w14:paraId="48F14FA3"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17</w:t>
            </w:r>
          </w:p>
        </w:tc>
        <w:tc>
          <w:tcPr>
            <w:tcW w:w="1296" w:type="pct"/>
            <w:tcBorders>
              <w:left w:val="double" w:sz="4" w:space="0" w:color="auto"/>
              <w:right w:val="double" w:sz="4" w:space="0" w:color="auto"/>
            </w:tcBorders>
            <w:vAlign w:val="center"/>
          </w:tcPr>
          <w:p w14:paraId="6C890CDC"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71%</w:t>
            </w:r>
          </w:p>
        </w:tc>
        <w:tc>
          <w:tcPr>
            <w:tcW w:w="1249" w:type="pct"/>
            <w:tcBorders>
              <w:left w:val="double" w:sz="4" w:space="0" w:color="auto"/>
              <w:right w:val="double" w:sz="4" w:space="0" w:color="auto"/>
            </w:tcBorders>
            <w:vAlign w:val="center"/>
          </w:tcPr>
          <w:p w14:paraId="60BF3C4C"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29%</w:t>
            </w:r>
          </w:p>
        </w:tc>
      </w:tr>
      <w:tr w:rsidR="001039BD" w:rsidRPr="00111DC0" w14:paraId="1A623B34" w14:textId="77777777" w:rsidTr="001039BD">
        <w:tc>
          <w:tcPr>
            <w:tcW w:w="1189" w:type="pct"/>
            <w:vMerge w:val="restart"/>
            <w:tcBorders>
              <w:left w:val="double" w:sz="4" w:space="0" w:color="auto"/>
              <w:right w:val="double" w:sz="4" w:space="0" w:color="auto"/>
            </w:tcBorders>
            <w:vAlign w:val="center"/>
          </w:tcPr>
          <w:p w14:paraId="759490A3" w14:textId="77777777" w:rsidR="001039BD" w:rsidRPr="00111DC0" w:rsidRDefault="001039BD" w:rsidP="000F4CC1">
            <w:pPr>
              <w:spacing w:before="0" w:after="0" w:line="259"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D</w:t>
            </w:r>
          </w:p>
        </w:tc>
        <w:tc>
          <w:tcPr>
            <w:tcW w:w="1266" w:type="pct"/>
            <w:tcBorders>
              <w:left w:val="double" w:sz="4" w:space="0" w:color="auto"/>
              <w:right w:val="double" w:sz="4" w:space="0" w:color="auto"/>
            </w:tcBorders>
            <w:vAlign w:val="center"/>
          </w:tcPr>
          <w:p w14:paraId="5F7DA9A2"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16</w:t>
            </w:r>
          </w:p>
        </w:tc>
        <w:tc>
          <w:tcPr>
            <w:tcW w:w="1296" w:type="pct"/>
            <w:tcBorders>
              <w:left w:val="double" w:sz="4" w:space="0" w:color="auto"/>
              <w:right w:val="double" w:sz="4" w:space="0" w:color="auto"/>
            </w:tcBorders>
            <w:vAlign w:val="center"/>
          </w:tcPr>
          <w:p w14:paraId="72E1A5C2"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24%</w:t>
            </w:r>
          </w:p>
        </w:tc>
        <w:tc>
          <w:tcPr>
            <w:tcW w:w="1249" w:type="pct"/>
            <w:tcBorders>
              <w:left w:val="double" w:sz="4" w:space="0" w:color="auto"/>
              <w:right w:val="double" w:sz="4" w:space="0" w:color="auto"/>
            </w:tcBorders>
            <w:vAlign w:val="center"/>
          </w:tcPr>
          <w:p w14:paraId="55A0F19F"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76%</w:t>
            </w:r>
          </w:p>
        </w:tc>
      </w:tr>
      <w:tr w:rsidR="001039BD" w:rsidRPr="00111DC0" w14:paraId="1F3364D4" w14:textId="77777777" w:rsidTr="001039BD">
        <w:tc>
          <w:tcPr>
            <w:tcW w:w="1189" w:type="pct"/>
            <w:vMerge/>
            <w:tcBorders>
              <w:left w:val="double" w:sz="4" w:space="0" w:color="auto"/>
              <w:right w:val="double" w:sz="4" w:space="0" w:color="auto"/>
            </w:tcBorders>
            <w:vAlign w:val="center"/>
          </w:tcPr>
          <w:p w14:paraId="4585F695" w14:textId="77777777" w:rsidR="001039BD" w:rsidRPr="00111DC0" w:rsidRDefault="001039BD" w:rsidP="000F4CC1">
            <w:pPr>
              <w:spacing w:before="0" w:after="0" w:line="259" w:lineRule="auto"/>
              <w:jc w:val="center"/>
              <w:rPr>
                <w:rFonts w:eastAsiaTheme="majorEastAsia" w:cs="Arial"/>
                <w:b/>
                <w:bCs/>
                <w:snapToGrid w:val="0"/>
                <w:color w:val="78BE20"/>
                <w:szCs w:val="26"/>
              </w:rPr>
            </w:pPr>
          </w:p>
        </w:tc>
        <w:tc>
          <w:tcPr>
            <w:tcW w:w="1266" w:type="pct"/>
            <w:tcBorders>
              <w:left w:val="double" w:sz="4" w:space="0" w:color="auto"/>
              <w:right w:val="double" w:sz="4" w:space="0" w:color="auto"/>
            </w:tcBorders>
            <w:vAlign w:val="center"/>
          </w:tcPr>
          <w:p w14:paraId="3F5190EA"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15</w:t>
            </w:r>
          </w:p>
        </w:tc>
        <w:tc>
          <w:tcPr>
            <w:tcW w:w="1296" w:type="pct"/>
            <w:tcBorders>
              <w:left w:val="double" w:sz="4" w:space="0" w:color="auto"/>
              <w:right w:val="double" w:sz="4" w:space="0" w:color="auto"/>
            </w:tcBorders>
            <w:vAlign w:val="center"/>
          </w:tcPr>
          <w:p w14:paraId="3731323B"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80%</w:t>
            </w:r>
          </w:p>
        </w:tc>
        <w:tc>
          <w:tcPr>
            <w:tcW w:w="1249" w:type="pct"/>
            <w:tcBorders>
              <w:left w:val="double" w:sz="4" w:space="0" w:color="auto"/>
              <w:right w:val="double" w:sz="4" w:space="0" w:color="auto"/>
            </w:tcBorders>
            <w:vAlign w:val="center"/>
          </w:tcPr>
          <w:p w14:paraId="7560D760"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20%</w:t>
            </w:r>
          </w:p>
        </w:tc>
      </w:tr>
      <w:tr w:rsidR="001039BD" w:rsidRPr="00111DC0" w14:paraId="14D9F8CA" w14:textId="77777777" w:rsidTr="000C0DBF">
        <w:tc>
          <w:tcPr>
            <w:tcW w:w="1189" w:type="pct"/>
            <w:vMerge w:val="restart"/>
            <w:tcBorders>
              <w:left w:val="double" w:sz="4" w:space="0" w:color="auto"/>
              <w:right w:val="double" w:sz="4" w:space="0" w:color="auto"/>
            </w:tcBorders>
            <w:vAlign w:val="center"/>
          </w:tcPr>
          <w:p w14:paraId="11AFE2AC" w14:textId="77777777" w:rsidR="001039BD" w:rsidRPr="00111DC0" w:rsidRDefault="001039BD" w:rsidP="000F4CC1">
            <w:pPr>
              <w:spacing w:before="0" w:after="0" w:line="259"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E</w:t>
            </w:r>
          </w:p>
        </w:tc>
        <w:tc>
          <w:tcPr>
            <w:tcW w:w="1266" w:type="pct"/>
            <w:tcBorders>
              <w:left w:val="double" w:sz="4" w:space="0" w:color="auto"/>
              <w:bottom w:val="single" w:sz="4" w:space="0" w:color="auto"/>
              <w:right w:val="double" w:sz="4" w:space="0" w:color="auto"/>
            </w:tcBorders>
            <w:vAlign w:val="center"/>
          </w:tcPr>
          <w:p w14:paraId="2397A92B"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14</w:t>
            </w:r>
          </w:p>
        </w:tc>
        <w:tc>
          <w:tcPr>
            <w:tcW w:w="1296" w:type="pct"/>
            <w:tcBorders>
              <w:left w:val="double" w:sz="4" w:space="0" w:color="auto"/>
              <w:right w:val="double" w:sz="4" w:space="0" w:color="auto"/>
            </w:tcBorders>
            <w:vAlign w:val="center"/>
          </w:tcPr>
          <w:p w14:paraId="0C419171"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11%</w:t>
            </w:r>
          </w:p>
        </w:tc>
        <w:tc>
          <w:tcPr>
            <w:tcW w:w="1249" w:type="pct"/>
            <w:tcBorders>
              <w:left w:val="double" w:sz="4" w:space="0" w:color="auto"/>
              <w:right w:val="double" w:sz="4" w:space="0" w:color="auto"/>
            </w:tcBorders>
            <w:vAlign w:val="center"/>
          </w:tcPr>
          <w:p w14:paraId="4A756614"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89%</w:t>
            </w:r>
          </w:p>
        </w:tc>
      </w:tr>
      <w:tr w:rsidR="001039BD" w:rsidRPr="00111DC0" w14:paraId="5E6E6AEB" w14:textId="77777777" w:rsidTr="000C0DBF">
        <w:tc>
          <w:tcPr>
            <w:tcW w:w="1189" w:type="pct"/>
            <w:vMerge/>
            <w:tcBorders>
              <w:left w:val="double" w:sz="4" w:space="0" w:color="auto"/>
              <w:bottom w:val="double" w:sz="4" w:space="0" w:color="auto"/>
              <w:right w:val="double" w:sz="4" w:space="0" w:color="auto"/>
            </w:tcBorders>
            <w:vAlign w:val="center"/>
          </w:tcPr>
          <w:p w14:paraId="092A29F7" w14:textId="77777777" w:rsidR="001039BD" w:rsidRPr="00111DC0" w:rsidRDefault="001039BD" w:rsidP="000F4CC1">
            <w:pPr>
              <w:spacing w:before="0" w:after="0" w:line="259" w:lineRule="auto"/>
              <w:jc w:val="center"/>
              <w:rPr>
                <w:rFonts w:eastAsiaTheme="majorEastAsia" w:cs="Arial"/>
                <w:b/>
                <w:bCs/>
                <w:snapToGrid w:val="0"/>
                <w:color w:val="78BE20"/>
                <w:szCs w:val="26"/>
              </w:rPr>
            </w:pPr>
          </w:p>
        </w:tc>
        <w:tc>
          <w:tcPr>
            <w:tcW w:w="1266" w:type="pct"/>
            <w:tcBorders>
              <w:left w:val="double" w:sz="4" w:space="0" w:color="auto"/>
              <w:bottom w:val="double" w:sz="4" w:space="0" w:color="auto"/>
              <w:right w:val="double" w:sz="4" w:space="0" w:color="auto"/>
            </w:tcBorders>
            <w:vAlign w:val="center"/>
          </w:tcPr>
          <w:p w14:paraId="31988E45"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13</w:t>
            </w:r>
          </w:p>
        </w:tc>
        <w:tc>
          <w:tcPr>
            <w:tcW w:w="1296" w:type="pct"/>
            <w:tcBorders>
              <w:left w:val="double" w:sz="4" w:space="0" w:color="auto"/>
              <w:bottom w:val="double" w:sz="4" w:space="0" w:color="auto"/>
              <w:right w:val="double" w:sz="4" w:space="0" w:color="auto"/>
            </w:tcBorders>
            <w:vAlign w:val="center"/>
          </w:tcPr>
          <w:p w14:paraId="4496C6FB"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57%</w:t>
            </w:r>
          </w:p>
        </w:tc>
        <w:tc>
          <w:tcPr>
            <w:tcW w:w="1249" w:type="pct"/>
            <w:tcBorders>
              <w:left w:val="double" w:sz="4" w:space="0" w:color="auto"/>
              <w:bottom w:val="double" w:sz="4" w:space="0" w:color="auto"/>
              <w:right w:val="double" w:sz="4" w:space="0" w:color="auto"/>
            </w:tcBorders>
            <w:vAlign w:val="center"/>
          </w:tcPr>
          <w:p w14:paraId="675C63D2" w14:textId="77777777" w:rsidR="001039BD" w:rsidRPr="00111DC0" w:rsidRDefault="001039BD" w:rsidP="000F4CC1">
            <w:pPr>
              <w:spacing w:before="0" w:after="0" w:line="259" w:lineRule="auto"/>
              <w:jc w:val="center"/>
              <w:rPr>
                <w:rFonts w:cs="Arial"/>
                <w:sz w:val="20"/>
                <w:szCs w:val="18"/>
              </w:rPr>
            </w:pPr>
            <w:r w:rsidRPr="00111DC0">
              <w:rPr>
                <w:rFonts w:cs="Arial"/>
                <w:sz w:val="20"/>
                <w:szCs w:val="18"/>
              </w:rPr>
              <w:t>43%</w:t>
            </w:r>
          </w:p>
        </w:tc>
      </w:tr>
    </w:tbl>
    <w:p w14:paraId="3464915C" w14:textId="4AFC22F3" w:rsidR="001039BD" w:rsidRDefault="001039BD" w:rsidP="00A20210">
      <w:pPr>
        <w:rPr>
          <w:lang w:eastAsia="es-ES"/>
        </w:rPr>
      </w:pPr>
    </w:p>
    <w:p w14:paraId="1A97BBE6" w14:textId="77777777" w:rsidR="00766159" w:rsidRDefault="00766159">
      <w:pPr>
        <w:spacing w:before="0" w:after="160" w:line="259" w:lineRule="auto"/>
        <w:jc w:val="left"/>
        <w:rPr>
          <w:rFonts w:cs="Arial"/>
        </w:rPr>
      </w:pPr>
      <w:r>
        <w:rPr>
          <w:rFonts w:cs="Arial"/>
        </w:rPr>
        <w:br w:type="page"/>
      </w:r>
    </w:p>
    <w:p w14:paraId="2F2ABEFE" w14:textId="274EF19C" w:rsidR="00272C57" w:rsidRPr="00111DC0" w:rsidRDefault="005B65E1" w:rsidP="00485E30">
      <w:pPr>
        <w:rPr>
          <w:rFonts w:cs="Arial"/>
        </w:rPr>
      </w:pPr>
      <w:r w:rsidRPr="00111DC0">
        <w:rPr>
          <w:rFonts w:cs="Arial"/>
        </w:rPr>
        <w:t>En referencia a</w:t>
      </w:r>
      <w:r w:rsidR="000B7E21" w:rsidRPr="00111DC0">
        <w:rPr>
          <w:rFonts w:cs="Arial"/>
        </w:rPr>
        <w:t xml:space="preserve"> </w:t>
      </w:r>
      <w:r w:rsidRPr="00111DC0">
        <w:rPr>
          <w:rFonts w:cs="Arial"/>
        </w:rPr>
        <w:t>l</w:t>
      </w:r>
      <w:r w:rsidR="000B7E21" w:rsidRPr="00111DC0">
        <w:rPr>
          <w:rFonts w:cs="Arial"/>
        </w:rPr>
        <w:t>a</w:t>
      </w:r>
      <w:r w:rsidRPr="00111DC0">
        <w:rPr>
          <w:rFonts w:cs="Arial"/>
        </w:rPr>
        <w:t xml:space="preserve"> concentración, </w:t>
      </w:r>
      <w:r w:rsidR="006F414C" w:rsidRPr="00111DC0">
        <w:rPr>
          <w:rFonts w:cs="Arial"/>
          <w:b/>
          <w:bCs/>
        </w:rPr>
        <w:t>en este caso existe una mayor presencia correlativa de mujeres en los niveles más altos</w:t>
      </w:r>
      <w:r w:rsidR="00485E30">
        <w:rPr>
          <w:rFonts w:cs="Arial"/>
        </w:rPr>
        <w:t>:</w:t>
      </w:r>
    </w:p>
    <w:tbl>
      <w:tblPr>
        <w:tblStyle w:val="Tablaconcuadrcula"/>
        <w:tblW w:w="4938" w:type="pct"/>
        <w:tblInd w:w="108" w:type="dxa"/>
        <w:tblLook w:val="04A0" w:firstRow="1" w:lastRow="0" w:firstColumn="1" w:lastColumn="0" w:noHBand="0" w:noVBand="1"/>
      </w:tblPr>
      <w:tblGrid>
        <w:gridCol w:w="2048"/>
        <w:gridCol w:w="2181"/>
        <w:gridCol w:w="2232"/>
        <w:gridCol w:w="2151"/>
      </w:tblGrid>
      <w:tr w:rsidR="004842C0" w:rsidRPr="00111DC0" w14:paraId="55882CFE" w14:textId="77777777" w:rsidTr="00485E30">
        <w:trPr>
          <w:trHeight w:val="514"/>
        </w:trPr>
        <w:tc>
          <w:tcPr>
            <w:tcW w:w="5000" w:type="pct"/>
            <w:gridSpan w:val="4"/>
            <w:tcBorders>
              <w:top w:val="double" w:sz="4" w:space="0" w:color="auto"/>
              <w:left w:val="double" w:sz="4" w:space="0" w:color="auto"/>
              <w:bottom w:val="double" w:sz="4" w:space="0" w:color="auto"/>
              <w:right w:val="double" w:sz="4" w:space="0" w:color="auto"/>
            </w:tcBorders>
            <w:shd w:val="clear" w:color="auto" w:fill="78BE20"/>
            <w:vAlign w:val="center"/>
          </w:tcPr>
          <w:p w14:paraId="10469DDD" w14:textId="3085A735" w:rsidR="004842C0" w:rsidRPr="00111DC0" w:rsidRDefault="004842C0" w:rsidP="000F4CC1">
            <w:pPr>
              <w:widowControl w:val="0"/>
              <w:spacing w:before="0" w:after="0" w:line="240" w:lineRule="auto"/>
              <w:jc w:val="left"/>
              <w:rPr>
                <w:rFonts w:cs="Arial"/>
                <w:b/>
                <w:bCs/>
                <w:color w:val="FFFFFF" w:themeColor="background1"/>
                <w:szCs w:val="20"/>
              </w:rPr>
            </w:pPr>
            <w:r w:rsidRPr="00111DC0">
              <w:rPr>
                <w:rFonts w:cs="Arial"/>
                <w:b/>
                <w:bCs/>
                <w:color w:val="FFFFFF" w:themeColor="background1"/>
                <w:szCs w:val="20"/>
              </w:rPr>
              <w:t xml:space="preserve">Tabla </w:t>
            </w:r>
            <w:r w:rsidR="008230DC" w:rsidRPr="00111DC0">
              <w:rPr>
                <w:rFonts w:cs="Arial"/>
                <w:b/>
                <w:bCs/>
                <w:color w:val="FFFFFF" w:themeColor="background1"/>
                <w:szCs w:val="20"/>
              </w:rPr>
              <w:t>6</w:t>
            </w:r>
            <w:r w:rsidRPr="00111DC0">
              <w:rPr>
                <w:rFonts w:cs="Arial"/>
                <w:b/>
                <w:bCs/>
                <w:color w:val="FFFFFF" w:themeColor="background1"/>
                <w:szCs w:val="20"/>
              </w:rPr>
              <w:t>. Concentración por sexo y nivel del personal laboral</w:t>
            </w:r>
          </w:p>
          <w:p w14:paraId="0022E3C2" w14:textId="77777777" w:rsidR="004842C0" w:rsidRPr="00111DC0" w:rsidRDefault="004842C0" w:rsidP="000F4CC1">
            <w:pPr>
              <w:widowControl w:val="0"/>
              <w:spacing w:before="0" w:after="0" w:line="240" w:lineRule="auto"/>
              <w:jc w:val="left"/>
              <w:rPr>
                <w:rFonts w:eastAsiaTheme="majorEastAsia" w:cs="Arial"/>
                <w:b/>
                <w:bCs/>
                <w:snapToGrid w:val="0"/>
                <w:color w:val="78BE20"/>
                <w:szCs w:val="26"/>
              </w:rPr>
            </w:pPr>
            <w:r w:rsidRPr="00111DC0">
              <w:rPr>
                <w:rFonts w:cs="Arial"/>
                <w:color w:val="FFFFFF" w:themeColor="background1"/>
                <w:szCs w:val="20"/>
              </w:rPr>
              <w:t>(Servicios Generales)</w:t>
            </w:r>
          </w:p>
        </w:tc>
      </w:tr>
      <w:tr w:rsidR="00612140" w:rsidRPr="00111DC0" w14:paraId="373E0EC1" w14:textId="77777777" w:rsidTr="00485E30">
        <w:trPr>
          <w:trHeight w:val="267"/>
        </w:trPr>
        <w:tc>
          <w:tcPr>
            <w:tcW w:w="2455" w:type="pct"/>
            <w:gridSpan w:val="2"/>
            <w:tcBorders>
              <w:top w:val="double" w:sz="4" w:space="0" w:color="auto"/>
              <w:left w:val="double" w:sz="4" w:space="0" w:color="auto"/>
              <w:bottom w:val="double" w:sz="4" w:space="0" w:color="auto"/>
              <w:right w:val="double" w:sz="4" w:space="0" w:color="auto"/>
            </w:tcBorders>
            <w:vAlign w:val="center"/>
          </w:tcPr>
          <w:p w14:paraId="10428021" w14:textId="77777777" w:rsidR="00612140" w:rsidRPr="00111DC0" w:rsidRDefault="00612140" w:rsidP="000F4CC1">
            <w:pPr>
              <w:spacing w:before="0" w:after="0" w:line="259" w:lineRule="auto"/>
              <w:jc w:val="center"/>
              <w:rPr>
                <w:rFonts w:eastAsiaTheme="majorEastAsia" w:cs="Arial"/>
                <w:b/>
                <w:bCs/>
                <w:snapToGrid w:val="0"/>
                <w:color w:val="78BE20"/>
                <w:szCs w:val="26"/>
              </w:rPr>
            </w:pPr>
          </w:p>
        </w:tc>
        <w:tc>
          <w:tcPr>
            <w:tcW w:w="1296" w:type="pct"/>
            <w:tcBorders>
              <w:top w:val="double" w:sz="4" w:space="0" w:color="auto"/>
              <w:left w:val="double" w:sz="4" w:space="0" w:color="auto"/>
              <w:bottom w:val="double" w:sz="4" w:space="0" w:color="auto"/>
              <w:right w:val="double" w:sz="4" w:space="0" w:color="auto"/>
            </w:tcBorders>
            <w:vAlign w:val="center"/>
          </w:tcPr>
          <w:p w14:paraId="623A3858" w14:textId="77777777" w:rsidR="00612140" w:rsidRPr="00111DC0" w:rsidRDefault="00612140" w:rsidP="000F4CC1">
            <w:pPr>
              <w:widowControl w:val="0"/>
              <w:spacing w:before="0" w:after="0" w:line="240" w:lineRule="auto"/>
              <w:jc w:val="center"/>
              <w:rPr>
                <w:rFonts w:eastAsiaTheme="majorEastAsia" w:cs="Arial"/>
                <w:b/>
                <w:bCs/>
                <w:snapToGrid w:val="0"/>
                <w:color w:val="78BE20"/>
                <w:szCs w:val="26"/>
              </w:rPr>
            </w:pPr>
            <w:r w:rsidRPr="00111DC0">
              <w:rPr>
                <w:rFonts w:cs="Arial"/>
                <w:b/>
                <w:bCs/>
                <w:sz w:val="20"/>
                <w:szCs w:val="18"/>
              </w:rPr>
              <w:t>MUJERES</w:t>
            </w:r>
          </w:p>
        </w:tc>
        <w:tc>
          <w:tcPr>
            <w:tcW w:w="1249" w:type="pct"/>
            <w:tcBorders>
              <w:top w:val="double" w:sz="4" w:space="0" w:color="auto"/>
              <w:left w:val="double" w:sz="4" w:space="0" w:color="auto"/>
              <w:bottom w:val="double" w:sz="4" w:space="0" w:color="auto"/>
              <w:right w:val="double" w:sz="4" w:space="0" w:color="auto"/>
            </w:tcBorders>
            <w:vAlign w:val="center"/>
          </w:tcPr>
          <w:p w14:paraId="6E90774F" w14:textId="77777777" w:rsidR="00612140" w:rsidRPr="00111DC0" w:rsidRDefault="00612140" w:rsidP="000F4CC1">
            <w:pPr>
              <w:widowControl w:val="0"/>
              <w:spacing w:before="0" w:after="0" w:line="240" w:lineRule="auto"/>
              <w:jc w:val="center"/>
              <w:rPr>
                <w:rFonts w:eastAsiaTheme="majorEastAsia" w:cs="Arial"/>
                <w:b/>
                <w:bCs/>
                <w:snapToGrid w:val="0"/>
                <w:color w:val="78BE20"/>
                <w:szCs w:val="26"/>
              </w:rPr>
            </w:pPr>
            <w:r w:rsidRPr="00111DC0">
              <w:rPr>
                <w:rFonts w:cs="Arial"/>
                <w:b/>
                <w:bCs/>
                <w:sz w:val="20"/>
                <w:szCs w:val="18"/>
              </w:rPr>
              <w:t>HOMBRES</w:t>
            </w:r>
          </w:p>
        </w:tc>
      </w:tr>
      <w:tr w:rsidR="004842C0" w:rsidRPr="00111DC0" w14:paraId="0ED40929" w14:textId="77777777" w:rsidTr="0038508D">
        <w:tc>
          <w:tcPr>
            <w:tcW w:w="1189" w:type="pct"/>
            <w:tcBorders>
              <w:top w:val="double" w:sz="4" w:space="0" w:color="auto"/>
              <w:left w:val="double" w:sz="4" w:space="0" w:color="auto"/>
              <w:right w:val="double" w:sz="4" w:space="0" w:color="auto"/>
            </w:tcBorders>
            <w:vAlign w:val="center"/>
          </w:tcPr>
          <w:p w14:paraId="62C8E218" w14:textId="77777777" w:rsidR="004842C0" w:rsidRPr="00111DC0" w:rsidRDefault="004842C0" w:rsidP="000F4CC1">
            <w:pPr>
              <w:spacing w:before="0" w:after="0" w:line="259" w:lineRule="auto"/>
              <w:jc w:val="center"/>
              <w:rPr>
                <w:rFonts w:eastAsiaTheme="majorEastAsia" w:cs="Arial"/>
                <w:b/>
                <w:bCs/>
                <w:snapToGrid w:val="0"/>
                <w:color w:val="78BE20"/>
                <w:szCs w:val="26"/>
              </w:rPr>
            </w:pPr>
          </w:p>
        </w:tc>
        <w:tc>
          <w:tcPr>
            <w:tcW w:w="1266" w:type="pct"/>
            <w:tcBorders>
              <w:top w:val="double" w:sz="4" w:space="0" w:color="auto"/>
              <w:left w:val="double" w:sz="4" w:space="0" w:color="auto"/>
              <w:right w:val="double" w:sz="4" w:space="0" w:color="auto"/>
            </w:tcBorders>
            <w:vAlign w:val="center"/>
          </w:tcPr>
          <w:p w14:paraId="4F96A6B5" w14:textId="77777777" w:rsidR="004842C0" w:rsidRPr="00111DC0" w:rsidRDefault="004842C0" w:rsidP="000F4CC1">
            <w:pPr>
              <w:spacing w:before="0" w:after="0" w:line="259" w:lineRule="auto"/>
              <w:jc w:val="center"/>
              <w:rPr>
                <w:rFonts w:cs="Arial"/>
                <w:sz w:val="20"/>
                <w:szCs w:val="18"/>
              </w:rPr>
            </w:pPr>
            <w:r w:rsidRPr="00111DC0">
              <w:rPr>
                <w:rFonts w:cs="Arial"/>
                <w:sz w:val="20"/>
                <w:szCs w:val="18"/>
              </w:rPr>
              <w:t>23</w:t>
            </w:r>
          </w:p>
        </w:tc>
        <w:tc>
          <w:tcPr>
            <w:tcW w:w="1296" w:type="pct"/>
            <w:tcBorders>
              <w:top w:val="double" w:sz="4" w:space="0" w:color="auto"/>
              <w:left w:val="double" w:sz="4" w:space="0" w:color="auto"/>
              <w:right w:val="double" w:sz="4" w:space="0" w:color="auto"/>
            </w:tcBorders>
            <w:vAlign w:val="center"/>
          </w:tcPr>
          <w:p w14:paraId="61864E7C" w14:textId="77777777" w:rsidR="004842C0" w:rsidRPr="00111DC0" w:rsidRDefault="004842C0" w:rsidP="000F4CC1">
            <w:pPr>
              <w:spacing w:before="0" w:after="0" w:line="259" w:lineRule="auto"/>
              <w:jc w:val="center"/>
              <w:rPr>
                <w:rFonts w:cs="Arial"/>
                <w:sz w:val="20"/>
                <w:szCs w:val="18"/>
              </w:rPr>
            </w:pPr>
          </w:p>
        </w:tc>
        <w:tc>
          <w:tcPr>
            <w:tcW w:w="1249" w:type="pct"/>
            <w:tcBorders>
              <w:top w:val="double" w:sz="4" w:space="0" w:color="auto"/>
              <w:left w:val="double" w:sz="4" w:space="0" w:color="auto"/>
              <w:right w:val="double" w:sz="4" w:space="0" w:color="auto"/>
            </w:tcBorders>
            <w:vAlign w:val="center"/>
          </w:tcPr>
          <w:p w14:paraId="787DD7FD" w14:textId="77777777" w:rsidR="004842C0" w:rsidRPr="00111DC0" w:rsidRDefault="004842C0" w:rsidP="000F4CC1">
            <w:pPr>
              <w:spacing w:before="0" w:after="0" w:line="259" w:lineRule="auto"/>
              <w:jc w:val="center"/>
              <w:rPr>
                <w:rFonts w:cs="Arial"/>
                <w:sz w:val="20"/>
                <w:szCs w:val="18"/>
              </w:rPr>
            </w:pPr>
          </w:p>
        </w:tc>
      </w:tr>
      <w:tr w:rsidR="004842C0" w:rsidRPr="00111DC0" w14:paraId="6E4EF151" w14:textId="77777777" w:rsidTr="0038508D">
        <w:tc>
          <w:tcPr>
            <w:tcW w:w="1189" w:type="pct"/>
            <w:tcBorders>
              <w:left w:val="double" w:sz="4" w:space="0" w:color="auto"/>
              <w:right w:val="double" w:sz="4" w:space="0" w:color="auto"/>
            </w:tcBorders>
            <w:vAlign w:val="center"/>
          </w:tcPr>
          <w:p w14:paraId="7770344C" w14:textId="77777777" w:rsidR="004842C0" w:rsidRPr="00111DC0" w:rsidRDefault="004842C0" w:rsidP="000F4CC1">
            <w:pPr>
              <w:spacing w:before="0" w:after="0" w:line="259"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A</w:t>
            </w:r>
          </w:p>
        </w:tc>
        <w:tc>
          <w:tcPr>
            <w:tcW w:w="1266" w:type="pct"/>
            <w:tcBorders>
              <w:left w:val="double" w:sz="4" w:space="0" w:color="auto"/>
              <w:right w:val="double" w:sz="4" w:space="0" w:color="auto"/>
            </w:tcBorders>
            <w:vAlign w:val="center"/>
          </w:tcPr>
          <w:p w14:paraId="26932F9D" w14:textId="77777777" w:rsidR="004842C0" w:rsidRPr="00111DC0" w:rsidRDefault="004842C0" w:rsidP="000F4CC1">
            <w:pPr>
              <w:spacing w:before="0" w:after="0" w:line="259" w:lineRule="auto"/>
              <w:jc w:val="center"/>
              <w:rPr>
                <w:rFonts w:cs="Arial"/>
                <w:sz w:val="20"/>
                <w:szCs w:val="18"/>
              </w:rPr>
            </w:pPr>
            <w:r w:rsidRPr="00111DC0">
              <w:rPr>
                <w:rFonts w:cs="Arial"/>
                <w:sz w:val="20"/>
                <w:szCs w:val="18"/>
              </w:rPr>
              <w:t>22</w:t>
            </w:r>
          </w:p>
        </w:tc>
        <w:tc>
          <w:tcPr>
            <w:tcW w:w="1296" w:type="pct"/>
            <w:tcBorders>
              <w:left w:val="double" w:sz="4" w:space="0" w:color="auto"/>
              <w:right w:val="double" w:sz="4" w:space="0" w:color="auto"/>
            </w:tcBorders>
            <w:vAlign w:val="center"/>
          </w:tcPr>
          <w:p w14:paraId="77965201" w14:textId="1A6F5486" w:rsidR="004842C0" w:rsidRPr="00111DC0" w:rsidRDefault="00272C57" w:rsidP="000F4CC1">
            <w:pPr>
              <w:spacing w:before="0" w:after="0" w:line="259" w:lineRule="auto"/>
              <w:jc w:val="center"/>
              <w:rPr>
                <w:rFonts w:cs="Arial"/>
                <w:sz w:val="20"/>
                <w:szCs w:val="18"/>
              </w:rPr>
            </w:pPr>
            <w:r w:rsidRPr="00111DC0">
              <w:rPr>
                <w:rFonts w:cs="Arial"/>
                <w:sz w:val="20"/>
                <w:szCs w:val="18"/>
              </w:rPr>
              <w:t>10,7</w:t>
            </w:r>
            <w:r w:rsidR="004842C0" w:rsidRPr="00111DC0">
              <w:rPr>
                <w:rFonts w:cs="Arial"/>
                <w:sz w:val="20"/>
                <w:szCs w:val="18"/>
              </w:rPr>
              <w:t>%</w:t>
            </w:r>
          </w:p>
        </w:tc>
        <w:tc>
          <w:tcPr>
            <w:tcW w:w="1249" w:type="pct"/>
            <w:tcBorders>
              <w:left w:val="double" w:sz="4" w:space="0" w:color="auto"/>
              <w:right w:val="double" w:sz="4" w:space="0" w:color="auto"/>
            </w:tcBorders>
            <w:vAlign w:val="center"/>
          </w:tcPr>
          <w:p w14:paraId="5CD4E480" w14:textId="1434A735" w:rsidR="004842C0" w:rsidRPr="00111DC0" w:rsidRDefault="004842C0" w:rsidP="000F4CC1">
            <w:pPr>
              <w:spacing w:before="0" w:after="0" w:line="259" w:lineRule="auto"/>
              <w:jc w:val="center"/>
              <w:rPr>
                <w:rFonts w:cs="Arial"/>
                <w:sz w:val="20"/>
                <w:szCs w:val="18"/>
              </w:rPr>
            </w:pPr>
            <w:r w:rsidRPr="00111DC0">
              <w:rPr>
                <w:rFonts w:cs="Arial"/>
                <w:sz w:val="20"/>
                <w:szCs w:val="18"/>
              </w:rPr>
              <w:t>4</w:t>
            </w:r>
            <w:r w:rsidR="00272C57" w:rsidRPr="00111DC0">
              <w:rPr>
                <w:rFonts w:cs="Arial"/>
                <w:sz w:val="20"/>
                <w:szCs w:val="18"/>
              </w:rPr>
              <w:t>,3</w:t>
            </w:r>
            <w:r w:rsidRPr="00111DC0">
              <w:rPr>
                <w:rFonts w:cs="Arial"/>
                <w:sz w:val="20"/>
                <w:szCs w:val="18"/>
              </w:rPr>
              <w:t>%</w:t>
            </w:r>
          </w:p>
        </w:tc>
      </w:tr>
      <w:tr w:rsidR="004842C0" w:rsidRPr="00111DC0" w14:paraId="76C1A3C1" w14:textId="77777777" w:rsidTr="0038508D">
        <w:tc>
          <w:tcPr>
            <w:tcW w:w="1189" w:type="pct"/>
            <w:vMerge w:val="restart"/>
            <w:tcBorders>
              <w:left w:val="double" w:sz="4" w:space="0" w:color="auto"/>
              <w:right w:val="double" w:sz="4" w:space="0" w:color="auto"/>
            </w:tcBorders>
            <w:vAlign w:val="center"/>
          </w:tcPr>
          <w:p w14:paraId="658CA310" w14:textId="77777777" w:rsidR="004842C0" w:rsidRPr="00111DC0" w:rsidRDefault="004842C0" w:rsidP="000F4CC1">
            <w:pPr>
              <w:spacing w:before="0" w:after="0" w:line="259"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B</w:t>
            </w:r>
          </w:p>
        </w:tc>
        <w:tc>
          <w:tcPr>
            <w:tcW w:w="1266" w:type="pct"/>
            <w:tcBorders>
              <w:left w:val="double" w:sz="4" w:space="0" w:color="auto"/>
              <w:right w:val="double" w:sz="4" w:space="0" w:color="auto"/>
            </w:tcBorders>
            <w:vAlign w:val="center"/>
          </w:tcPr>
          <w:p w14:paraId="5F5899B7" w14:textId="77777777" w:rsidR="004842C0" w:rsidRPr="00111DC0" w:rsidRDefault="004842C0" w:rsidP="000F4CC1">
            <w:pPr>
              <w:spacing w:before="0" w:after="0" w:line="259" w:lineRule="auto"/>
              <w:jc w:val="center"/>
              <w:rPr>
                <w:rFonts w:cs="Arial"/>
                <w:sz w:val="20"/>
                <w:szCs w:val="18"/>
              </w:rPr>
            </w:pPr>
            <w:r w:rsidRPr="00111DC0">
              <w:rPr>
                <w:rFonts w:cs="Arial"/>
                <w:sz w:val="20"/>
                <w:szCs w:val="18"/>
              </w:rPr>
              <w:t>21</w:t>
            </w:r>
          </w:p>
        </w:tc>
        <w:tc>
          <w:tcPr>
            <w:tcW w:w="1296" w:type="pct"/>
            <w:tcBorders>
              <w:left w:val="double" w:sz="4" w:space="0" w:color="auto"/>
              <w:right w:val="double" w:sz="4" w:space="0" w:color="auto"/>
            </w:tcBorders>
            <w:vAlign w:val="center"/>
          </w:tcPr>
          <w:p w14:paraId="650DF9D0" w14:textId="3EB26996" w:rsidR="004842C0" w:rsidRPr="00111DC0" w:rsidRDefault="00272C57" w:rsidP="000F4CC1">
            <w:pPr>
              <w:spacing w:before="0" w:after="0" w:line="259" w:lineRule="auto"/>
              <w:jc w:val="center"/>
              <w:rPr>
                <w:rFonts w:cs="Arial"/>
                <w:sz w:val="20"/>
                <w:szCs w:val="18"/>
              </w:rPr>
            </w:pPr>
            <w:r w:rsidRPr="00111DC0">
              <w:rPr>
                <w:rFonts w:cs="Arial"/>
                <w:sz w:val="20"/>
                <w:szCs w:val="18"/>
              </w:rPr>
              <w:t>1,5</w:t>
            </w:r>
            <w:r w:rsidR="004842C0" w:rsidRPr="00111DC0">
              <w:rPr>
                <w:rFonts w:cs="Arial"/>
                <w:sz w:val="20"/>
                <w:szCs w:val="18"/>
              </w:rPr>
              <w:t>%</w:t>
            </w:r>
          </w:p>
        </w:tc>
        <w:tc>
          <w:tcPr>
            <w:tcW w:w="1249" w:type="pct"/>
            <w:tcBorders>
              <w:left w:val="double" w:sz="4" w:space="0" w:color="auto"/>
              <w:right w:val="double" w:sz="4" w:space="0" w:color="auto"/>
            </w:tcBorders>
            <w:vAlign w:val="center"/>
          </w:tcPr>
          <w:p w14:paraId="643595D3" w14:textId="77777777" w:rsidR="004842C0" w:rsidRPr="00111DC0" w:rsidRDefault="004842C0" w:rsidP="000F4CC1">
            <w:pPr>
              <w:spacing w:before="0" w:after="0" w:line="259" w:lineRule="auto"/>
              <w:jc w:val="center"/>
              <w:rPr>
                <w:rFonts w:cs="Arial"/>
                <w:sz w:val="20"/>
                <w:szCs w:val="18"/>
              </w:rPr>
            </w:pPr>
            <w:r w:rsidRPr="00111DC0">
              <w:rPr>
                <w:rFonts w:cs="Arial"/>
                <w:sz w:val="20"/>
                <w:szCs w:val="18"/>
              </w:rPr>
              <w:t>-</w:t>
            </w:r>
          </w:p>
        </w:tc>
      </w:tr>
      <w:tr w:rsidR="004842C0" w:rsidRPr="00111DC0" w14:paraId="7D402A6D" w14:textId="77777777" w:rsidTr="0038508D">
        <w:tc>
          <w:tcPr>
            <w:tcW w:w="1189" w:type="pct"/>
            <w:vMerge/>
            <w:tcBorders>
              <w:left w:val="double" w:sz="4" w:space="0" w:color="auto"/>
              <w:right w:val="double" w:sz="4" w:space="0" w:color="auto"/>
            </w:tcBorders>
            <w:vAlign w:val="center"/>
          </w:tcPr>
          <w:p w14:paraId="7DB416B9" w14:textId="77777777" w:rsidR="004842C0" w:rsidRPr="00111DC0" w:rsidRDefault="004842C0" w:rsidP="000F4CC1">
            <w:pPr>
              <w:spacing w:before="0" w:after="0" w:line="259" w:lineRule="auto"/>
              <w:jc w:val="center"/>
              <w:rPr>
                <w:rFonts w:eastAsiaTheme="majorEastAsia" w:cs="Arial"/>
                <w:b/>
                <w:bCs/>
                <w:snapToGrid w:val="0"/>
                <w:color w:val="78BE20"/>
                <w:szCs w:val="26"/>
              </w:rPr>
            </w:pPr>
          </w:p>
        </w:tc>
        <w:tc>
          <w:tcPr>
            <w:tcW w:w="1266" w:type="pct"/>
            <w:tcBorders>
              <w:left w:val="double" w:sz="4" w:space="0" w:color="auto"/>
              <w:right w:val="double" w:sz="4" w:space="0" w:color="auto"/>
            </w:tcBorders>
            <w:vAlign w:val="center"/>
          </w:tcPr>
          <w:p w14:paraId="00D8C1E7" w14:textId="77777777" w:rsidR="004842C0" w:rsidRPr="00111DC0" w:rsidRDefault="004842C0" w:rsidP="000F4CC1">
            <w:pPr>
              <w:spacing w:before="0" w:after="0" w:line="259" w:lineRule="auto"/>
              <w:jc w:val="center"/>
              <w:rPr>
                <w:rFonts w:cs="Arial"/>
                <w:sz w:val="20"/>
                <w:szCs w:val="18"/>
              </w:rPr>
            </w:pPr>
            <w:r w:rsidRPr="00111DC0">
              <w:rPr>
                <w:rFonts w:cs="Arial"/>
                <w:sz w:val="20"/>
                <w:szCs w:val="18"/>
              </w:rPr>
              <w:t>20</w:t>
            </w:r>
          </w:p>
        </w:tc>
        <w:tc>
          <w:tcPr>
            <w:tcW w:w="1296" w:type="pct"/>
            <w:tcBorders>
              <w:left w:val="double" w:sz="4" w:space="0" w:color="auto"/>
              <w:right w:val="double" w:sz="4" w:space="0" w:color="auto"/>
            </w:tcBorders>
            <w:vAlign w:val="center"/>
          </w:tcPr>
          <w:p w14:paraId="169376CA" w14:textId="58FBC46E" w:rsidR="004842C0" w:rsidRPr="00111DC0" w:rsidRDefault="00272C57" w:rsidP="000F4CC1">
            <w:pPr>
              <w:spacing w:before="0" w:after="0" w:line="259" w:lineRule="auto"/>
              <w:jc w:val="center"/>
              <w:rPr>
                <w:rFonts w:cs="Arial"/>
                <w:sz w:val="20"/>
                <w:szCs w:val="18"/>
              </w:rPr>
            </w:pPr>
            <w:r w:rsidRPr="00111DC0">
              <w:rPr>
                <w:rFonts w:cs="Arial"/>
                <w:sz w:val="20"/>
                <w:szCs w:val="18"/>
              </w:rPr>
              <w:t>6,8</w:t>
            </w:r>
            <w:r w:rsidR="004842C0" w:rsidRPr="00111DC0">
              <w:rPr>
                <w:rFonts w:cs="Arial"/>
                <w:sz w:val="20"/>
                <w:szCs w:val="18"/>
              </w:rPr>
              <w:t>%</w:t>
            </w:r>
          </w:p>
        </w:tc>
        <w:tc>
          <w:tcPr>
            <w:tcW w:w="1249" w:type="pct"/>
            <w:tcBorders>
              <w:left w:val="double" w:sz="4" w:space="0" w:color="auto"/>
              <w:right w:val="double" w:sz="4" w:space="0" w:color="auto"/>
            </w:tcBorders>
            <w:vAlign w:val="center"/>
          </w:tcPr>
          <w:p w14:paraId="3240DBE2" w14:textId="0843B5DD" w:rsidR="004842C0" w:rsidRPr="00111DC0" w:rsidRDefault="00272C57" w:rsidP="000F4CC1">
            <w:pPr>
              <w:spacing w:before="0" w:after="0" w:line="259" w:lineRule="auto"/>
              <w:jc w:val="center"/>
              <w:rPr>
                <w:rFonts w:cs="Arial"/>
                <w:sz w:val="20"/>
                <w:szCs w:val="18"/>
              </w:rPr>
            </w:pPr>
            <w:r w:rsidRPr="00111DC0">
              <w:rPr>
                <w:rFonts w:cs="Arial"/>
                <w:sz w:val="20"/>
                <w:szCs w:val="18"/>
              </w:rPr>
              <w:t>4,9</w:t>
            </w:r>
            <w:r w:rsidR="004842C0" w:rsidRPr="00111DC0">
              <w:rPr>
                <w:rFonts w:cs="Arial"/>
                <w:sz w:val="20"/>
                <w:szCs w:val="18"/>
              </w:rPr>
              <w:t>%</w:t>
            </w:r>
          </w:p>
        </w:tc>
      </w:tr>
      <w:tr w:rsidR="004842C0" w:rsidRPr="00111DC0" w14:paraId="146C5452" w14:textId="77777777" w:rsidTr="0038508D">
        <w:tc>
          <w:tcPr>
            <w:tcW w:w="1189" w:type="pct"/>
            <w:tcBorders>
              <w:left w:val="double" w:sz="4" w:space="0" w:color="auto"/>
              <w:right w:val="double" w:sz="4" w:space="0" w:color="auto"/>
            </w:tcBorders>
            <w:vAlign w:val="center"/>
          </w:tcPr>
          <w:p w14:paraId="21A89E6F" w14:textId="77777777" w:rsidR="004842C0" w:rsidRPr="00111DC0" w:rsidRDefault="004842C0" w:rsidP="000F4CC1">
            <w:pPr>
              <w:spacing w:before="0" w:after="0" w:line="259" w:lineRule="auto"/>
              <w:jc w:val="center"/>
              <w:rPr>
                <w:rFonts w:eastAsiaTheme="majorEastAsia" w:cs="Arial"/>
                <w:b/>
                <w:bCs/>
                <w:snapToGrid w:val="0"/>
                <w:color w:val="78BE20"/>
                <w:szCs w:val="26"/>
              </w:rPr>
            </w:pPr>
          </w:p>
        </w:tc>
        <w:tc>
          <w:tcPr>
            <w:tcW w:w="1266" w:type="pct"/>
            <w:tcBorders>
              <w:left w:val="double" w:sz="4" w:space="0" w:color="auto"/>
              <w:right w:val="double" w:sz="4" w:space="0" w:color="auto"/>
            </w:tcBorders>
            <w:vAlign w:val="center"/>
          </w:tcPr>
          <w:p w14:paraId="5CD2C9BC" w14:textId="77777777" w:rsidR="004842C0" w:rsidRPr="00111DC0" w:rsidRDefault="004842C0" w:rsidP="000F4CC1">
            <w:pPr>
              <w:spacing w:before="0" w:after="0" w:line="259" w:lineRule="auto"/>
              <w:jc w:val="center"/>
              <w:rPr>
                <w:rFonts w:cs="Arial"/>
                <w:sz w:val="20"/>
                <w:szCs w:val="18"/>
              </w:rPr>
            </w:pPr>
            <w:r w:rsidRPr="00111DC0">
              <w:rPr>
                <w:rFonts w:cs="Arial"/>
                <w:sz w:val="20"/>
                <w:szCs w:val="18"/>
              </w:rPr>
              <w:t>19</w:t>
            </w:r>
          </w:p>
        </w:tc>
        <w:tc>
          <w:tcPr>
            <w:tcW w:w="1296" w:type="pct"/>
            <w:tcBorders>
              <w:left w:val="double" w:sz="4" w:space="0" w:color="auto"/>
              <w:right w:val="double" w:sz="4" w:space="0" w:color="auto"/>
            </w:tcBorders>
            <w:vAlign w:val="center"/>
          </w:tcPr>
          <w:p w14:paraId="1D922118" w14:textId="4D4764C8" w:rsidR="004842C0" w:rsidRPr="00111DC0" w:rsidRDefault="00272C57" w:rsidP="000F4CC1">
            <w:pPr>
              <w:spacing w:before="0" w:after="0" w:line="259" w:lineRule="auto"/>
              <w:jc w:val="center"/>
              <w:rPr>
                <w:rFonts w:cs="Arial"/>
                <w:sz w:val="20"/>
                <w:szCs w:val="18"/>
              </w:rPr>
            </w:pPr>
            <w:r w:rsidRPr="00111DC0">
              <w:rPr>
                <w:rFonts w:cs="Arial"/>
                <w:sz w:val="20"/>
                <w:szCs w:val="18"/>
              </w:rPr>
              <w:t>-</w:t>
            </w:r>
          </w:p>
        </w:tc>
        <w:tc>
          <w:tcPr>
            <w:tcW w:w="1249" w:type="pct"/>
            <w:tcBorders>
              <w:left w:val="double" w:sz="4" w:space="0" w:color="auto"/>
              <w:right w:val="double" w:sz="4" w:space="0" w:color="auto"/>
            </w:tcBorders>
            <w:vAlign w:val="center"/>
          </w:tcPr>
          <w:p w14:paraId="0A0C497F" w14:textId="6560FBE2" w:rsidR="004842C0" w:rsidRPr="00111DC0" w:rsidRDefault="00272C57" w:rsidP="000F4CC1">
            <w:pPr>
              <w:spacing w:before="0" w:after="0" w:line="259" w:lineRule="auto"/>
              <w:jc w:val="center"/>
              <w:rPr>
                <w:rFonts w:cs="Arial"/>
                <w:sz w:val="20"/>
                <w:szCs w:val="18"/>
              </w:rPr>
            </w:pPr>
            <w:r w:rsidRPr="00111DC0">
              <w:rPr>
                <w:rFonts w:cs="Arial"/>
                <w:sz w:val="20"/>
                <w:szCs w:val="18"/>
              </w:rPr>
              <w:t>-</w:t>
            </w:r>
          </w:p>
        </w:tc>
      </w:tr>
      <w:tr w:rsidR="004842C0" w:rsidRPr="00111DC0" w14:paraId="6DCBCEBE" w14:textId="77777777" w:rsidTr="0038508D">
        <w:tc>
          <w:tcPr>
            <w:tcW w:w="1189" w:type="pct"/>
            <w:vMerge w:val="restart"/>
            <w:tcBorders>
              <w:left w:val="double" w:sz="4" w:space="0" w:color="auto"/>
              <w:right w:val="double" w:sz="4" w:space="0" w:color="auto"/>
            </w:tcBorders>
            <w:vAlign w:val="center"/>
          </w:tcPr>
          <w:p w14:paraId="1AEB96B2" w14:textId="77777777" w:rsidR="004842C0" w:rsidRPr="00111DC0" w:rsidRDefault="004842C0" w:rsidP="000F4CC1">
            <w:pPr>
              <w:spacing w:before="0" w:after="0" w:line="259"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C</w:t>
            </w:r>
          </w:p>
        </w:tc>
        <w:tc>
          <w:tcPr>
            <w:tcW w:w="1266" w:type="pct"/>
            <w:tcBorders>
              <w:left w:val="double" w:sz="4" w:space="0" w:color="auto"/>
              <w:right w:val="double" w:sz="4" w:space="0" w:color="auto"/>
            </w:tcBorders>
            <w:vAlign w:val="center"/>
          </w:tcPr>
          <w:p w14:paraId="5B00FA63" w14:textId="77777777" w:rsidR="004842C0" w:rsidRPr="00111DC0" w:rsidRDefault="004842C0" w:rsidP="000F4CC1">
            <w:pPr>
              <w:spacing w:before="0" w:after="0" w:line="259" w:lineRule="auto"/>
              <w:jc w:val="center"/>
              <w:rPr>
                <w:rFonts w:cs="Arial"/>
                <w:sz w:val="20"/>
                <w:szCs w:val="18"/>
              </w:rPr>
            </w:pPr>
            <w:r w:rsidRPr="00111DC0">
              <w:rPr>
                <w:rFonts w:cs="Arial"/>
                <w:sz w:val="20"/>
                <w:szCs w:val="18"/>
              </w:rPr>
              <w:t>18</w:t>
            </w:r>
          </w:p>
        </w:tc>
        <w:tc>
          <w:tcPr>
            <w:tcW w:w="1296" w:type="pct"/>
            <w:tcBorders>
              <w:left w:val="double" w:sz="4" w:space="0" w:color="auto"/>
              <w:right w:val="double" w:sz="4" w:space="0" w:color="auto"/>
            </w:tcBorders>
            <w:vAlign w:val="center"/>
          </w:tcPr>
          <w:p w14:paraId="4F928BFE" w14:textId="0F1CBC2D" w:rsidR="004842C0" w:rsidRPr="00111DC0" w:rsidRDefault="004842C0" w:rsidP="000F4CC1">
            <w:pPr>
              <w:spacing w:before="0" w:after="0" w:line="259" w:lineRule="auto"/>
              <w:jc w:val="center"/>
              <w:rPr>
                <w:rFonts w:cs="Arial"/>
                <w:sz w:val="20"/>
                <w:szCs w:val="18"/>
              </w:rPr>
            </w:pPr>
            <w:r w:rsidRPr="00111DC0">
              <w:rPr>
                <w:rFonts w:cs="Arial"/>
                <w:sz w:val="20"/>
                <w:szCs w:val="18"/>
              </w:rPr>
              <w:t>5%</w:t>
            </w:r>
          </w:p>
        </w:tc>
        <w:tc>
          <w:tcPr>
            <w:tcW w:w="1249" w:type="pct"/>
            <w:tcBorders>
              <w:left w:val="double" w:sz="4" w:space="0" w:color="auto"/>
              <w:right w:val="double" w:sz="4" w:space="0" w:color="auto"/>
            </w:tcBorders>
            <w:vAlign w:val="center"/>
          </w:tcPr>
          <w:p w14:paraId="44117BEB" w14:textId="18234857" w:rsidR="004842C0" w:rsidRPr="00111DC0" w:rsidRDefault="00272C57" w:rsidP="000F4CC1">
            <w:pPr>
              <w:spacing w:before="0" w:after="0" w:line="259" w:lineRule="auto"/>
              <w:jc w:val="center"/>
              <w:rPr>
                <w:rFonts w:cs="Arial"/>
                <w:sz w:val="20"/>
                <w:szCs w:val="18"/>
              </w:rPr>
            </w:pPr>
            <w:r w:rsidRPr="00111DC0">
              <w:rPr>
                <w:rFonts w:cs="Arial"/>
                <w:sz w:val="20"/>
                <w:szCs w:val="18"/>
              </w:rPr>
              <w:t>9</w:t>
            </w:r>
            <w:r w:rsidR="004842C0" w:rsidRPr="00111DC0">
              <w:rPr>
                <w:rFonts w:cs="Arial"/>
                <w:sz w:val="20"/>
                <w:szCs w:val="18"/>
              </w:rPr>
              <w:t>%</w:t>
            </w:r>
          </w:p>
        </w:tc>
      </w:tr>
      <w:tr w:rsidR="004842C0" w:rsidRPr="00111DC0" w14:paraId="5C5D0296" w14:textId="77777777" w:rsidTr="0038508D">
        <w:tc>
          <w:tcPr>
            <w:tcW w:w="1189" w:type="pct"/>
            <w:vMerge/>
            <w:tcBorders>
              <w:left w:val="double" w:sz="4" w:space="0" w:color="auto"/>
              <w:right w:val="double" w:sz="4" w:space="0" w:color="auto"/>
            </w:tcBorders>
            <w:vAlign w:val="center"/>
          </w:tcPr>
          <w:p w14:paraId="3EC75033" w14:textId="77777777" w:rsidR="004842C0" w:rsidRPr="00111DC0" w:rsidRDefault="004842C0" w:rsidP="000F4CC1">
            <w:pPr>
              <w:spacing w:before="0" w:after="0" w:line="259" w:lineRule="auto"/>
              <w:jc w:val="center"/>
              <w:rPr>
                <w:rFonts w:eastAsiaTheme="majorEastAsia" w:cs="Arial"/>
                <w:b/>
                <w:bCs/>
                <w:snapToGrid w:val="0"/>
                <w:color w:val="78BE20"/>
                <w:szCs w:val="26"/>
              </w:rPr>
            </w:pPr>
          </w:p>
        </w:tc>
        <w:tc>
          <w:tcPr>
            <w:tcW w:w="1266" w:type="pct"/>
            <w:tcBorders>
              <w:left w:val="double" w:sz="4" w:space="0" w:color="auto"/>
              <w:right w:val="double" w:sz="4" w:space="0" w:color="auto"/>
            </w:tcBorders>
            <w:vAlign w:val="center"/>
          </w:tcPr>
          <w:p w14:paraId="7F5C940F" w14:textId="77777777" w:rsidR="004842C0" w:rsidRPr="00111DC0" w:rsidRDefault="004842C0" w:rsidP="000F4CC1">
            <w:pPr>
              <w:spacing w:before="0" w:after="0" w:line="259" w:lineRule="auto"/>
              <w:jc w:val="center"/>
              <w:rPr>
                <w:rFonts w:cs="Arial"/>
                <w:sz w:val="20"/>
                <w:szCs w:val="18"/>
              </w:rPr>
            </w:pPr>
            <w:r w:rsidRPr="00111DC0">
              <w:rPr>
                <w:rFonts w:cs="Arial"/>
                <w:sz w:val="20"/>
                <w:szCs w:val="18"/>
              </w:rPr>
              <w:t>17</w:t>
            </w:r>
          </w:p>
        </w:tc>
        <w:tc>
          <w:tcPr>
            <w:tcW w:w="1296" w:type="pct"/>
            <w:tcBorders>
              <w:left w:val="double" w:sz="4" w:space="0" w:color="auto"/>
              <w:right w:val="double" w:sz="4" w:space="0" w:color="auto"/>
            </w:tcBorders>
            <w:vAlign w:val="center"/>
          </w:tcPr>
          <w:p w14:paraId="1DA8F3FE" w14:textId="2DE05AB9" w:rsidR="004842C0" w:rsidRPr="00111DC0" w:rsidRDefault="004842C0" w:rsidP="000F4CC1">
            <w:pPr>
              <w:spacing w:before="0" w:after="0" w:line="259" w:lineRule="auto"/>
              <w:jc w:val="center"/>
              <w:rPr>
                <w:rFonts w:cs="Arial"/>
                <w:sz w:val="20"/>
                <w:szCs w:val="18"/>
              </w:rPr>
            </w:pPr>
            <w:r w:rsidRPr="00111DC0">
              <w:rPr>
                <w:rFonts w:cs="Arial"/>
                <w:sz w:val="20"/>
                <w:szCs w:val="18"/>
              </w:rPr>
              <w:t>1%</w:t>
            </w:r>
          </w:p>
        </w:tc>
        <w:tc>
          <w:tcPr>
            <w:tcW w:w="1249" w:type="pct"/>
            <w:tcBorders>
              <w:left w:val="double" w:sz="4" w:space="0" w:color="auto"/>
              <w:right w:val="double" w:sz="4" w:space="0" w:color="auto"/>
            </w:tcBorders>
            <w:vAlign w:val="center"/>
          </w:tcPr>
          <w:p w14:paraId="75A52A84" w14:textId="1BCFB770" w:rsidR="004842C0" w:rsidRPr="00111DC0" w:rsidRDefault="004842C0" w:rsidP="000F4CC1">
            <w:pPr>
              <w:spacing w:before="0" w:after="0" w:line="259" w:lineRule="auto"/>
              <w:jc w:val="center"/>
              <w:rPr>
                <w:rFonts w:cs="Arial"/>
                <w:sz w:val="20"/>
                <w:szCs w:val="18"/>
              </w:rPr>
            </w:pPr>
            <w:r w:rsidRPr="00111DC0">
              <w:rPr>
                <w:rFonts w:cs="Arial"/>
                <w:sz w:val="20"/>
                <w:szCs w:val="18"/>
              </w:rPr>
              <w:t>2%</w:t>
            </w:r>
          </w:p>
        </w:tc>
      </w:tr>
      <w:tr w:rsidR="004842C0" w:rsidRPr="00111DC0" w14:paraId="1B99D902" w14:textId="77777777" w:rsidTr="0038508D">
        <w:tc>
          <w:tcPr>
            <w:tcW w:w="1189" w:type="pct"/>
            <w:vMerge w:val="restart"/>
            <w:tcBorders>
              <w:left w:val="double" w:sz="4" w:space="0" w:color="auto"/>
              <w:right w:val="double" w:sz="4" w:space="0" w:color="auto"/>
            </w:tcBorders>
            <w:vAlign w:val="center"/>
          </w:tcPr>
          <w:p w14:paraId="77391F69" w14:textId="77777777" w:rsidR="004842C0" w:rsidRPr="00111DC0" w:rsidRDefault="004842C0" w:rsidP="000F4CC1">
            <w:pPr>
              <w:spacing w:before="0" w:after="0" w:line="259"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D</w:t>
            </w:r>
          </w:p>
        </w:tc>
        <w:tc>
          <w:tcPr>
            <w:tcW w:w="1266" w:type="pct"/>
            <w:tcBorders>
              <w:left w:val="double" w:sz="4" w:space="0" w:color="auto"/>
              <w:right w:val="double" w:sz="4" w:space="0" w:color="auto"/>
            </w:tcBorders>
            <w:vAlign w:val="center"/>
          </w:tcPr>
          <w:p w14:paraId="65770710" w14:textId="77777777" w:rsidR="004842C0" w:rsidRPr="00111DC0" w:rsidRDefault="004842C0" w:rsidP="000F4CC1">
            <w:pPr>
              <w:spacing w:before="0" w:after="0" w:line="259" w:lineRule="auto"/>
              <w:jc w:val="center"/>
              <w:rPr>
                <w:rFonts w:cs="Arial"/>
                <w:sz w:val="20"/>
                <w:szCs w:val="18"/>
              </w:rPr>
            </w:pPr>
            <w:r w:rsidRPr="00111DC0">
              <w:rPr>
                <w:rFonts w:cs="Arial"/>
                <w:sz w:val="20"/>
                <w:szCs w:val="18"/>
              </w:rPr>
              <w:t>16</w:t>
            </w:r>
          </w:p>
        </w:tc>
        <w:tc>
          <w:tcPr>
            <w:tcW w:w="1296" w:type="pct"/>
            <w:tcBorders>
              <w:left w:val="double" w:sz="4" w:space="0" w:color="auto"/>
              <w:right w:val="double" w:sz="4" w:space="0" w:color="auto"/>
            </w:tcBorders>
            <w:vAlign w:val="center"/>
          </w:tcPr>
          <w:p w14:paraId="2256DDD6" w14:textId="5DCE699F" w:rsidR="004842C0" w:rsidRPr="00111DC0" w:rsidRDefault="00272C57" w:rsidP="000F4CC1">
            <w:pPr>
              <w:spacing w:before="0" w:after="0" w:line="259" w:lineRule="auto"/>
              <w:jc w:val="center"/>
              <w:rPr>
                <w:rFonts w:cs="Arial"/>
                <w:sz w:val="20"/>
                <w:szCs w:val="18"/>
              </w:rPr>
            </w:pPr>
            <w:r w:rsidRPr="00111DC0">
              <w:rPr>
                <w:rFonts w:cs="Arial"/>
                <w:sz w:val="20"/>
                <w:szCs w:val="18"/>
              </w:rPr>
              <w:t>10</w:t>
            </w:r>
            <w:r w:rsidR="004842C0" w:rsidRPr="00111DC0">
              <w:rPr>
                <w:rFonts w:cs="Arial"/>
                <w:sz w:val="20"/>
                <w:szCs w:val="18"/>
              </w:rPr>
              <w:t>%</w:t>
            </w:r>
          </w:p>
        </w:tc>
        <w:tc>
          <w:tcPr>
            <w:tcW w:w="1249" w:type="pct"/>
            <w:tcBorders>
              <w:left w:val="double" w:sz="4" w:space="0" w:color="auto"/>
              <w:right w:val="double" w:sz="4" w:space="0" w:color="auto"/>
            </w:tcBorders>
            <w:vAlign w:val="center"/>
          </w:tcPr>
          <w:p w14:paraId="7989193B" w14:textId="2FF2F10D" w:rsidR="004842C0" w:rsidRPr="00111DC0" w:rsidRDefault="00272C57" w:rsidP="000F4CC1">
            <w:pPr>
              <w:spacing w:before="0" w:after="0" w:line="259" w:lineRule="auto"/>
              <w:jc w:val="center"/>
              <w:rPr>
                <w:rFonts w:cs="Arial"/>
                <w:sz w:val="20"/>
                <w:szCs w:val="18"/>
              </w:rPr>
            </w:pPr>
            <w:r w:rsidRPr="00111DC0">
              <w:rPr>
                <w:rFonts w:cs="Arial"/>
                <w:sz w:val="20"/>
                <w:szCs w:val="18"/>
              </w:rPr>
              <w:t>19</w:t>
            </w:r>
            <w:r w:rsidR="004842C0" w:rsidRPr="00111DC0">
              <w:rPr>
                <w:rFonts w:cs="Arial"/>
                <w:sz w:val="20"/>
                <w:szCs w:val="18"/>
              </w:rPr>
              <w:t>%</w:t>
            </w:r>
          </w:p>
        </w:tc>
      </w:tr>
      <w:tr w:rsidR="004842C0" w:rsidRPr="00111DC0" w14:paraId="1C6619CA" w14:textId="77777777" w:rsidTr="0038508D">
        <w:tc>
          <w:tcPr>
            <w:tcW w:w="1189" w:type="pct"/>
            <w:vMerge/>
            <w:tcBorders>
              <w:left w:val="double" w:sz="4" w:space="0" w:color="auto"/>
              <w:right w:val="double" w:sz="4" w:space="0" w:color="auto"/>
            </w:tcBorders>
            <w:vAlign w:val="center"/>
          </w:tcPr>
          <w:p w14:paraId="7826DCD8" w14:textId="77777777" w:rsidR="004842C0" w:rsidRPr="00111DC0" w:rsidRDefault="004842C0" w:rsidP="000F4CC1">
            <w:pPr>
              <w:spacing w:before="0" w:after="0" w:line="259" w:lineRule="auto"/>
              <w:jc w:val="center"/>
              <w:rPr>
                <w:rFonts w:eastAsiaTheme="majorEastAsia" w:cs="Arial"/>
                <w:b/>
                <w:bCs/>
                <w:snapToGrid w:val="0"/>
                <w:color w:val="78BE20"/>
                <w:szCs w:val="26"/>
              </w:rPr>
            </w:pPr>
          </w:p>
        </w:tc>
        <w:tc>
          <w:tcPr>
            <w:tcW w:w="1266" w:type="pct"/>
            <w:tcBorders>
              <w:left w:val="double" w:sz="4" w:space="0" w:color="auto"/>
              <w:right w:val="double" w:sz="4" w:space="0" w:color="auto"/>
            </w:tcBorders>
            <w:vAlign w:val="center"/>
          </w:tcPr>
          <w:p w14:paraId="05F33060" w14:textId="77777777" w:rsidR="004842C0" w:rsidRPr="00111DC0" w:rsidRDefault="004842C0" w:rsidP="000F4CC1">
            <w:pPr>
              <w:spacing w:before="0" w:after="0" w:line="259" w:lineRule="auto"/>
              <w:jc w:val="center"/>
              <w:rPr>
                <w:rFonts w:cs="Arial"/>
                <w:sz w:val="20"/>
                <w:szCs w:val="18"/>
              </w:rPr>
            </w:pPr>
            <w:r w:rsidRPr="00111DC0">
              <w:rPr>
                <w:rFonts w:cs="Arial"/>
                <w:sz w:val="20"/>
                <w:szCs w:val="18"/>
              </w:rPr>
              <w:t>15</w:t>
            </w:r>
          </w:p>
        </w:tc>
        <w:tc>
          <w:tcPr>
            <w:tcW w:w="1296" w:type="pct"/>
            <w:tcBorders>
              <w:left w:val="double" w:sz="4" w:space="0" w:color="auto"/>
              <w:right w:val="double" w:sz="4" w:space="0" w:color="auto"/>
            </w:tcBorders>
            <w:vAlign w:val="center"/>
          </w:tcPr>
          <w:p w14:paraId="5D93878C" w14:textId="25CB4A29" w:rsidR="004842C0" w:rsidRPr="00111DC0" w:rsidRDefault="00272C57" w:rsidP="000F4CC1">
            <w:pPr>
              <w:spacing w:before="0" w:after="0" w:line="259" w:lineRule="auto"/>
              <w:jc w:val="center"/>
              <w:rPr>
                <w:rFonts w:cs="Arial"/>
                <w:sz w:val="20"/>
                <w:szCs w:val="18"/>
              </w:rPr>
            </w:pPr>
            <w:r w:rsidRPr="00111DC0">
              <w:rPr>
                <w:rFonts w:cs="Arial"/>
                <w:sz w:val="20"/>
                <w:szCs w:val="18"/>
              </w:rPr>
              <w:t>4</w:t>
            </w:r>
            <w:r w:rsidR="004842C0" w:rsidRPr="00111DC0">
              <w:rPr>
                <w:rFonts w:cs="Arial"/>
                <w:sz w:val="20"/>
                <w:szCs w:val="18"/>
              </w:rPr>
              <w:t>%</w:t>
            </w:r>
          </w:p>
        </w:tc>
        <w:tc>
          <w:tcPr>
            <w:tcW w:w="1249" w:type="pct"/>
            <w:tcBorders>
              <w:left w:val="double" w:sz="4" w:space="0" w:color="auto"/>
              <w:right w:val="double" w:sz="4" w:space="0" w:color="auto"/>
            </w:tcBorders>
            <w:vAlign w:val="center"/>
          </w:tcPr>
          <w:p w14:paraId="7FC3FA4B" w14:textId="38AA7E48" w:rsidR="004842C0" w:rsidRPr="00111DC0" w:rsidRDefault="00272C57" w:rsidP="000F4CC1">
            <w:pPr>
              <w:spacing w:before="0" w:after="0" w:line="259" w:lineRule="auto"/>
              <w:jc w:val="center"/>
              <w:rPr>
                <w:rFonts w:cs="Arial"/>
                <w:sz w:val="20"/>
                <w:szCs w:val="18"/>
              </w:rPr>
            </w:pPr>
            <w:r w:rsidRPr="00111DC0">
              <w:rPr>
                <w:rFonts w:cs="Arial"/>
                <w:sz w:val="20"/>
                <w:szCs w:val="18"/>
              </w:rPr>
              <w:t>1</w:t>
            </w:r>
            <w:r w:rsidR="004842C0" w:rsidRPr="00111DC0">
              <w:rPr>
                <w:rFonts w:cs="Arial"/>
                <w:sz w:val="20"/>
                <w:szCs w:val="18"/>
              </w:rPr>
              <w:t>%</w:t>
            </w:r>
          </w:p>
        </w:tc>
      </w:tr>
      <w:tr w:rsidR="004842C0" w:rsidRPr="00111DC0" w14:paraId="5C1B9F13" w14:textId="77777777" w:rsidTr="0038508D">
        <w:tc>
          <w:tcPr>
            <w:tcW w:w="1189" w:type="pct"/>
            <w:vMerge w:val="restart"/>
            <w:tcBorders>
              <w:left w:val="double" w:sz="4" w:space="0" w:color="auto"/>
              <w:right w:val="double" w:sz="4" w:space="0" w:color="auto"/>
            </w:tcBorders>
            <w:vAlign w:val="center"/>
          </w:tcPr>
          <w:p w14:paraId="13F82EAE" w14:textId="77777777" w:rsidR="004842C0" w:rsidRPr="00111DC0" w:rsidRDefault="004842C0" w:rsidP="000F4CC1">
            <w:pPr>
              <w:spacing w:before="0" w:after="0" w:line="259"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E</w:t>
            </w:r>
          </w:p>
        </w:tc>
        <w:tc>
          <w:tcPr>
            <w:tcW w:w="1266" w:type="pct"/>
            <w:tcBorders>
              <w:left w:val="double" w:sz="4" w:space="0" w:color="auto"/>
              <w:right w:val="double" w:sz="4" w:space="0" w:color="auto"/>
            </w:tcBorders>
            <w:vAlign w:val="center"/>
          </w:tcPr>
          <w:p w14:paraId="332389F3" w14:textId="77777777" w:rsidR="004842C0" w:rsidRPr="00111DC0" w:rsidRDefault="004842C0" w:rsidP="000F4CC1">
            <w:pPr>
              <w:spacing w:before="0" w:after="0" w:line="259" w:lineRule="auto"/>
              <w:jc w:val="center"/>
              <w:rPr>
                <w:rFonts w:cs="Arial"/>
                <w:sz w:val="20"/>
                <w:szCs w:val="18"/>
              </w:rPr>
            </w:pPr>
            <w:r w:rsidRPr="00111DC0">
              <w:rPr>
                <w:rFonts w:cs="Arial"/>
                <w:sz w:val="20"/>
                <w:szCs w:val="18"/>
              </w:rPr>
              <w:t>14</w:t>
            </w:r>
          </w:p>
        </w:tc>
        <w:tc>
          <w:tcPr>
            <w:tcW w:w="1296" w:type="pct"/>
            <w:tcBorders>
              <w:left w:val="double" w:sz="4" w:space="0" w:color="auto"/>
              <w:right w:val="double" w:sz="4" w:space="0" w:color="auto"/>
            </w:tcBorders>
            <w:vAlign w:val="center"/>
          </w:tcPr>
          <w:p w14:paraId="757006B7" w14:textId="71D60AD5" w:rsidR="004842C0" w:rsidRPr="00111DC0" w:rsidRDefault="00272C57" w:rsidP="000F4CC1">
            <w:pPr>
              <w:spacing w:before="0" w:after="0" w:line="259" w:lineRule="auto"/>
              <w:jc w:val="center"/>
              <w:rPr>
                <w:rFonts w:cs="Arial"/>
                <w:sz w:val="20"/>
                <w:szCs w:val="18"/>
              </w:rPr>
            </w:pPr>
            <w:r w:rsidRPr="00111DC0">
              <w:rPr>
                <w:rFonts w:cs="Arial"/>
                <w:sz w:val="20"/>
                <w:szCs w:val="18"/>
              </w:rPr>
              <w:t>8</w:t>
            </w:r>
            <w:r w:rsidR="004842C0" w:rsidRPr="00111DC0">
              <w:rPr>
                <w:rFonts w:cs="Arial"/>
                <w:sz w:val="20"/>
                <w:szCs w:val="18"/>
              </w:rPr>
              <w:t>%</w:t>
            </w:r>
          </w:p>
        </w:tc>
        <w:tc>
          <w:tcPr>
            <w:tcW w:w="1249" w:type="pct"/>
            <w:tcBorders>
              <w:left w:val="double" w:sz="4" w:space="0" w:color="auto"/>
              <w:right w:val="double" w:sz="4" w:space="0" w:color="auto"/>
            </w:tcBorders>
            <w:vAlign w:val="center"/>
          </w:tcPr>
          <w:p w14:paraId="65BE99B5" w14:textId="435C8574" w:rsidR="004842C0" w:rsidRPr="00111DC0" w:rsidRDefault="00272C57" w:rsidP="000F4CC1">
            <w:pPr>
              <w:spacing w:before="0" w:after="0" w:line="259" w:lineRule="auto"/>
              <w:jc w:val="center"/>
              <w:rPr>
                <w:rFonts w:cs="Arial"/>
                <w:sz w:val="20"/>
                <w:szCs w:val="18"/>
              </w:rPr>
            </w:pPr>
            <w:r w:rsidRPr="00111DC0">
              <w:rPr>
                <w:rFonts w:cs="Arial"/>
                <w:sz w:val="20"/>
                <w:szCs w:val="18"/>
              </w:rPr>
              <w:t>39</w:t>
            </w:r>
            <w:r w:rsidR="004842C0" w:rsidRPr="00111DC0">
              <w:rPr>
                <w:rFonts w:cs="Arial"/>
                <w:sz w:val="20"/>
                <w:szCs w:val="18"/>
              </w:rPr>
              <w:t>%</w:t>
            </w:r>
          </w:p>
        </w:tc>
      </w:tr>
      <w:tr w:rsidR="004842C0" w:rsidRPr="00111DC0" w14:paraId="1AC81725" w14:textId="77777777" w:rsidTr="00612140">
        <w:tc>
          <w:tcPr>
            <w:tcW w:w="1189" w:type="pct"/>
            <w:vMerge/>
            <w:tcBorders>
              <w:left w:val="double" w:sz="4" w:space="0" w:color="auto"/>
              <w:bottom w:val="double" w:sz="4" w:space="0" w:color="auto"/>
              <w:right w:val="double" w:sz="4" w:space="0" w:color="auto"/>
            </w:tcBorders>
            <w:vAlign w:val="center"/>
          </w:tcPr>
          <w:p w14:paraId="2AB29271" w14:textId="77777777" w:rsidR="004842C0" w:rsidRPr="00111DC0" w:rsidRDefault="004842C0" w:rsidP="000F4CC1">
            <w:pPr>
              <w:spacing w:before="0" w:after="0" w:line="259" w:lineRule="auto"/>
              <w:jc w:val="center"/>
              <w:rPr>
                <w:rFonts w:eastAsiaTheme="majorEastAsia" w:cs="Arial"/>
                <w:b/>
                <w:bCs/>
                <w:snapToGrid w:val="0"/>
                <w:color w:val="78BE20"/>
                <w:szCs w:val="26"/>
              </w:rPr>
            </w:pPr>
          </w:p>
        </w:tc>
        <w:tc>
          <w:tcPr>
            <w:tcW w:w="1266" w:type="pct"/>
            <w:tcBorders>
              <w:left w:val="double" w:sz="4" w:space="0" w:color="auto"/>
              <w:bottom w:val="double" w:sz="4" w:space="0" w:color="auto"/>
              <w:right w:val="double" w:sz="4" w:space="0" w:color="auto"/>
            </w:tcBorders>
            <w:vAlign w:val="center"/>
          </w:tcPr>
          <w:p w14:paraId="1FA8BA2A" w14:textId="77777777" w:rsidR="004842C0" w:rsidRPr="00111DC0" w:rsidRDefault="004842C0" w:rsidP="000F4CC1">
            <w:pPr>
              <w:spacing w:before="0" w:after="0" w:line="259" w:lineRule="auto"/>
              <w:jc w:val="center"/>
              <w:rPr>
                <w:rFonts w:cs="Arial"/>
                <w:sz w:val="20"/>
                <w:szCs w:val="18"/>
              </w:rPr>
            </w:pPr>
            <w:r w:rsidRPr="00111DC0">
              <w:rPr>
                <w:rFonts w:cs="Arial"/>
                <w:sz w:val="20"/>
                <w:szCs w:val="18"/>
              </w:rPr>
              <w:t>13</w:t>
            </w:r>
          </w:p>
        </w:tc>
        <w:tc>
          <w:tcPr>
            <w:tcW w:w="1296" w:type="pct"/>
            <w:tcBorders>
              <w:left w:val="double" w:sz="4" w:space="0" w:color="auto"/>
              <w:bottom w:val="double" w:sz="4" w:space="0" w:color="auto"/>
              <w:right w:val="double" w:sz="4" w:space="0" w:color="auto"/>
            </w:tcBorders>
            <w:vAlign w:val="center"/>
          </w:tcPr>
          <w:p w14:paraId="26FAB12E" w14:textId="65716405" w:rsidR="004842C0" w:rsidRPr="00111DC0" w:rsidRDefault="00272C57" w:rsidP="000F4CC1">
            <w:pPr>
              <w:spacing w:before="0" w:after="0" w:line="259" w:lineRule="auto"/>
              <w:jc w:val="center"/>
              <w:rPr>
                <w:rFonts w:cs="Arial"/>
                <w:sz w:val="20"/>
                <w:szCs w:val="18"/>
              </w:rPr>
            </w:pPr>
            <w:r w:rsidRPr="00111DC0">
              <w:rPr>
                <w:rFonts w:cs="Arial"/>
                <w:sz w:val="20"/>
                <w:szCs w:val="18"/>
              </w:rPr>
              <w:t>49</w:t>
            </w:r>
            <w:r w:rsidR="004842C0" w:rsidRPr="00111DC0">
              <w:rPr>
                <w:rFonts w:cs="Arial"/>
                <w:sz w:val="20"/>
                <w:szCs w:val="18"/>
              </w:rPr>
              <w:t>%</w:t>
            </w:r>
          </w:p>
        </w:tc>
        <w:tc>
          <w:tcPr>
            <w:tcW w:w="1249" w:type="pct"/>
            <w:tcBorders>
              <w:left w:val="double" w:sz="4" w:space="0" w:color="auto"/>
              <w:bottom w:val="double" w:sz="4" w:space="0" w:color="auto"/>
              <w:right w:val="double" w:sz="4" w:space="0" w:color="auto"/>
            </w:tcBorders>
            <w:vAlign w:val="center"/>
          </w:tcPr>
          <w:p w14:paraId="7A6BF5F8" w14:textId="3C623125" w:rsidR="004842C0" w:rsidRPr="00111DC0" w:rsidRDefault="00272C57" w:rsidP="000F4CC1">
            <w:pPr>
              <w:spacing w:before="0" w:after="0" w:line="259" w:lineRule="auto"/>
              <w:jc w:val="center"/>
              <w:rPr>
                <w:rFonts w:cs="Arial"/>
                <w:sz w:val="20"/>
                <w:szCs w:val="18"/>
              </w:rPr>
            </w:pPr>
            <w:r w:rsidRPr="00111DC0">
              <w:rPr>
                <w:rFonts w:cs="Arial"/>
                <w:sz w:val="20"/>
                <w:szCs w:val="18"/>
              </w:rPr>
              <w:t>22</w:t>
            </w:r>
            <w:r w:rsidR="004842C0" w:rsidRPr="00111DC0">
              <w:rPr>
                <w:rFonts w:cs="Arial"/>
                <w:sz w:val="20"/>
                <w:szCs w:val="18"/>
              </w:rPr>
              <w:t>%</w:t>
            </w:r>
          </w:p>
        </w:tc>
      </w:tr>
    </w:tbl>
    <w:p w14:paraId="0A837465" w14:textId="4A10324F" w:rsidR="00F053C8" w:rsidRDefault="00F053C8" w:rsidP="00A442AB"/>
    <w:p w14:paraId="1CCF904E" w14:textId="3F19C338" w:rsidR="00797450" w:rsidRPr="00111DC0" w:rsidRDefault="0049160E" w:rsidP="00DE69A1">
      <w:pPr>
        <w:pStyle w:val="Ttulo4"/>
        <w:rPr>
          <w:rFonts w:cs="Arial"/>
        </w:rPr>
      </w:pPr>
      <w:r w:rsidRPr="00111DC0">
        <w:rPr>
          <w:rFonts w:cs="Arial"/>
        </w:rPr>
        <w:t xml:space="preserve">Personal </w:t>
      </w:r>
      <w:r w:rsidR="00797450" w:rsidRPr="00111DC0">
        <w:rPr>
          <w:rFonts w:cs="Arial"/>
        </w:rPr>
        <w:t>Docente</w:t>
      </w:r>
    </w:p>
    <w:p w14:paraId="747E3B60" w14:textId="5B13FC4C" w:rsidR="00A42044" w:rsidRPr="00111DC0" w:rsidRDefault="006D04C8" w:rsidP="00F35A3A">
      <w:pPr>
        <w:rPr>
          <w:rFonts w:cs="Arial"/>
        </w:rPr>
      </w:pPr>
      <w:r w:rsidRPr="00111DC0">
        <w:rPr>
          <w:rFonts w:cs="Arial"/>
        </w:rPr>
        <w:t xml:space="preserve">La </w:t>
      </w:r>
      <w:r w:rsidR="00154B22" w:rsidRPr="00111DC0">
        <w:rPr>
          <w:rFonts w:cs="Arial"/>
        </w:rPr>
        <w:t>presencia</w:t>
      </w:r>
      <w:r w:rsidRPr="00111DC0">
        <w:rPr>
          <w:rFonts w:cs="Arial"/>
        </w:rPr>
        <w:t xml:space="preserve"> de mujeres y hombres en los </w:t>
      </w:r>
      <w:r w:rsidR="004A25A9" w:rsidRPr="00111DC0">
        <w:rPr>
          <w:rFonts w:cs="Arial"/>
        </w:rPr>
        <w:t xml:space="preserve">puestos directivos </w:t>
      </w:r>
      <w:r w:rsidRPr="00111DC0">
        <w:rPr>
          <w:rFonts w:cs="Arial"/>
        </w:rPr>
        <w:t>de</w:t>
      </w:r>
      <w:r w:rsidR="004A25A9" w:rsidRPr="00111DC0">
        <w:rPr>
          <w:rFonts w:cs="Arial"/>
        </w:rPr>
        <w:t xml:space="preserve"> los centros </w:t>
      </w:r>
      <w:r w:rsidR="000D1ACC" w:rsidRPr="00111DC0">
        <w:rPr>
          <w:rFonts w:cs="Arial"/>
        </w:rPr>
        <w:t>docentes</w:t>
      </w:r>
      <w:r w:rsidR="004A25A9" w:rsidRPr="00111DC0">
        <w:rPr>
          <w:rFonts w:cs="Arial"/>
        </w:rPr>
        <w:t xml:space="preserve"> </w:t>
      </w:r>
      <w:r w:rsidR="000D1ACC" w:rsidRPr="00111DC0">
        <w:rPr>
          <w:rFonts w:cs="Arial"/>
        </w:rPr>
        <w:t>es equilibrad</w:t>
      </w:r>
      <w:r w:rsidRPr="00111DC0">
        <w:rPr>
          <w:rFonts w:cs="Arial"/>
        </w:rPr>
        <w:t>a</w:t>
      </w:r>
      <w:r w:rsidR="000D1ACC" w:rsidRPr="00111DC0">
        <w:rPr>
          <w:rFonts w:cs="Arial"/>
        </w:rPr>
        <w:t xml:space="preserve"> y estable</w:t>
      </w:r>
      <w:r w:rsidRPr="00111DC0">
        <w:rPr>
          <w:rFonts w:cs="Arial"/>
        </w:rPr>
        <w:t xml:space="preserve"> </w:t>
      </w:r>
      <w:r w:rsidR="000D1ACC" w:rsidRPr="00111DC0">
        <w:rPr>
          <w:rFonts w:cs="Arial"/>
        </w:rPr>
        <w:t xml:space="preserve">a lo largo del tiempo. </w:t>
      </w:r>
      <w:r w:rsidRPr="00111DC0">
        <w:rPr>
          <w:rFonts w:cs="Arial"/>
          <w:b/>
          <w:bCs/>
        </w:rPr>
        <w:t>En el año 2018 se produjo una inversión de la tendencia y, aún dentro de la horquilla 40%-60%, la presencia de mujeres pasó a ser mayor.</w:t>
      </w:r>
      <w:r w:rsidRPr="00111DC0">
        <w:rPr>
          <w:rFonts w:cs="Arial"/>
        </w:rPr>
        <w:t xml:space="preserve"> </w:t>
      </w:r>
    </w:p>
    <w:p w14:paraId="114BC867" w14:textId="228D72F0" w:rsidR="00DD024A" w:rsidRDefault="000D1ACC" w:rsidP="00F35A3A">
      <w:pPr>
        <w:rPr>
          <w:rFonts w:cs="Arial"/>
        </w:rPr>
      </w:pPr>
      <w:r w:rsidRPr="00111DC0">
        <w:rPr>
          <w:rFonts w:cs="Arial"/>
        </w:rPr>
        <w:t xml:space="preserve">Aunque </w:t>
      </w:r>
      <w:r w:rsidR="006D04C8" w:rsidRPr="00111DC0">
        <w:rPr>
          <w:rFonts w:cs="Arial"/>
        </w:rPr>
        <w:t xml:space="preserve">todavía </w:t>
      </w:r>
      <w:r w:rsidRPr="00111DC0">
        <w:rPr>
          <w:rFonts w:cs="Arial"/>
        </w:rPr>
        <w:t>en el año 2021 los datos se mantienen</w:t>
      </w:r>
      <w:r w:rsidR="006D04C8" w:rsidRPr="00111DC0">
        <w:rPr>
          <w:rFonts w:cs="Arial"/>
        </w:rPr>
        <w:t xml:space="preserve"> estables</w:t>
      </w:r>
      <w:r w:rsidRPr="00111DC0">
        <w:rPr>
          <w:rFonts w:cs="Arial"/>
        </w:rPr>
        <w:t>, de continuar la tendencia a este ritmo, en poco</w:t>
      </w:r>
      <w:r w:rsidR="00F51C34" w:rsidRPr="00111DC0">
        <w:rPr>
          <w:rFonts w:cs="Arial"/>
        </w:rPr>
        <w:t xml:space="preserve">s </w:t>
      </w:r>
      <w:r w:rsidRPr="00111DC0">
        <w:rPr>
          <w:rFonts w:cs="Arial"/>
        </w:rPr>
        <w:t xml:space="preserve">años la </w:t>
      </w:r>
      <w:r w:rsidR="00F51C34" w:rsidRPr="00111DC0">
        <w:rPr>
          <w:rFonts w:cs="Arial"/>
        </w:rPr>
        <w:t xml:space="preserve">ocupación </w:t>
      </w:r>
      <w:r w:rsidRPr="00111DC0">
        <w:rPr>
          <w:rFonts w:cs="Arial"/>
        </w:rPr>
        <w:t xml:space="preserve">de mujeres </w:t>
      </w:r>
      <w:r w:rsidR="00F51C34" w:rsidRPr="00111DC0">
        <w:rPr>
          <w:rFonts w:cs="Arial"/>
        </w:rPr>
        <w:t xml:space="preserve">en </w:t>
      </w:r>
      <w:r w:rsidRPr="00111DC0">
        <w:rPr>
          <w:rFonts w:cs="Arial"/>
        </w:rPr>
        <w:t>estos puestos sobrepasar</w:t>
      </w:r>
      <w:r w:rsidR="006D04C8" w:rsidRPr="00111DC0">
        <w:rPr>
          <w:rFonts w:cs="Arial"/>
        </w:rPr>
        <w:t>á</w:t>
      </w:r>
      <w:r w:rsidRPr="00111DC0">
        <w:rPr>
          <w:rFonts w:cs="Arial"/>
        </w:rPr>
        <w:t xml:space="preserve"> el 60%</w:t>
      </w:r>
      <w:r w:rsidR="00F51C34" w:rsidRPr="00111DC0">
        <w:rPr>
          <w:rFonts w:cs="Arial"/>
        </w:rPr>
        <w:t xml:space="preserve">. De producirse la hipótesis, la participación de mujeres entre el personal directivo sería más coherente con </w:t>
      </w:r>
      <w:r w:rsidR="000E1CFD" w:rsidRPr="00111DC0">
        <w:rPr>
          <w:rFonts w:cs="Arial"/>
        </w:rPr>
        <w:t xml:space="preserve">el 70% </w:t>
      </w:r>
      <w:r w:rsidR="00F51C34" w:rsidRPr="00111DC0">
        <w:rPr>
          <w:rFonts w:cs="Arial"/>
        </w:rPr>
        <w:t xml:space="preserve">que ocupa </w:t>
      </w:r>
      <w:r w:rsidR="000E1CFD" w:rsidRPr="00111DC0">
        <w:rPr>
          <w:rFonts w:cs="Arial"/>
        </w:rPr>
        <w:t xml:space="preserve">en el total del Personal Docente. </w:t>
      </w:r>
      <w:r w:rsidR="007E4667" w:rsidRPr="00111DC0">
        <w:rPr>
          <w:rFonts w:cs="Arial"/>
        </w:rPr>
        <w:t>Dicha orientación rompería</w:t>
      </w:r>
      <w:r w:rsidR="00EE0FAC" w:rsidRPr="00111DC0">
        <w:rPr>
          <w:rFonts w:cs="Arial"/>
        </w:rPr>
        <w:t xml:space="preserve">, pues, </w:t>
      </w:r>
      <w:r w:rsidR="007E4667" w:rsidRPr="00111DC0">
        <w:rPr>
          <w:rFonts w:cs="Arial"/>
        </w:rPr>
        <w:t xml:space="preserve">con la sobrerrepresentación </w:t>
      </w:r>
      <w:r w:rsidR="009F2C41" w:rsidRPr="00111DC0">
        <w:rPr>
          <w:rFonts w:cs="Arial"/>
        </w:rPr>
        <w:t>masculina</w:t>
      </w:r>
      <w:r w:rsidR="007E4667" w:rsidRPr="00111DC0">
        <w:rPr>
          <w:rFonts w:cs="Arial"/>
        </w:rPr>
        <w:t xml:space="preserve"> en estos cargos</w:t>
      </w:r>
      <w:r w:rsidR="00F51C34" w:rsidRPr="00111DC0">
        <w:rPr>
          <w:rFonts w:cs="Arial"/>
        </w:rPr>
        <w:t>.</w:t>
      </w:r>
    </w:p>
    <w:p w14:paraId="2BF30680" w14:textId="254D197F" w:rsidR="004A25A9" w:rsidRPr="00111DC0" w:rsidRDefault="004A25A9" w:rsidP="00A442AB">
      <w:r w:rsidRPr="00111DC0">
        <w:rPr>
          <w:noProof/>
          <w:lang w:eastAsia="es-ES"/>
        </w:rPr>
        <w:drawing>
          <wp:inline distT="0" distB="0" distL="0" distR="0" wp14:anchorId="19D7E213" wp14:editId="3F33D40A">
            <wp:extent cx="5349240" cy="2331720"/>
            <wp:effectExtent l="0" t="0" r="0" b="0"/>
            <wp:docPr id="25" name="Gráfico 25"/>
            <wp:cNvGraphicFramePr/>
            <a:graphic xmlns:a="http://schemas.openxmlformats.org/drawingml/2006/main">
              <a:graphicData uri="http://schemas.openxmlformats.org/drawingml/2006/chart">
                <c:chart xmlns:c="http://schemas.openxmlformats.org/drawingml/2006/chart" r:id="rId34"/>
              </a:graphicData>
            </a:graphic>
          </wp:inline>
        </w:drawing>
      </w:r>
    </w:p>
    <w:p w14:paraId="6F86552C" w14:textId="060FC83A" w:rsidR="00202F70" w:rsidRPr="00111DC0" w:rsidRDefault="00355755" w:rsidP="004B6A1B">
      <w:pPr>
        <w:pStyle w:val="Ttulo3"/>
        <w:rPr>
          <w:rFonts w:cs="Arial"/>
        </w:rPr>
      </w:pPr>
      <w:r w:rsidRPr="00111DC0">
        <w:rPr>
          <w:rFonts w:cs="Arial"/>
        </w:rPr>
        <w:t>Altos cargos</w:t>
      </w:r>
    </w:p>
    <w:p w14:paraId="5775B02E" w14:textId="0A4E85B7" w:rsidR="00EE0FAC" w:rsidRPr="00111DC0" w:rsidRDefault="00D72902" w:rsidP="00F35A3A">
      <w:pPr>
        <w:rPr>
          <w:rFonts w:cs="Arial"/>
        </w:rPr>
      </w:pPr>
      <w:r w:rsidRPr="00F60539">
        <w:rPr>
          <w:rFonts w:cs="Arial"/>
          <w:b/>
          <w:bCs/>
        </w:rPr>
        <w:t xml:space="preserve">Actualmente, el Gobierno de La Rioja se articula en torno a </w:t>
      </w:r>
      <w:r w:rsidR="00A42044" w:rsidRPr="00F60539">
        <w:rPr>
          <w:rFonts w:cs="Arial"/>
          <w:b/>
          <w:bCs/>
        </w:rPr>
        <w:t xml:space="preserve">ocho </w:t>
      </w:r>
      <w:r w:rsidRPr="00F60539">
        <w:rPr>
          <w:rFonts w:cs="Arial"/>
          <w:b/>
          <w:bCs/>
        </w:rPr>
        <w:t>Consejerías, cinco de las cuales cuentan con liderazgo masculino.</w:t>
      </w:r>
      <w:r w:rsidRPr="00111DC0">
        <w:rPr>
          <w:rFonts w:cs="Arial"/>
        </w:rPr>
        <w:t xml:space="preserve"> </w:t>
      </w:r>
      <w:r w:rsidR="00B77A15" w:rsidRPr="00111DC0">
        <w:rPr>
          <w:rFonts w:cs="Arial"/>
        </w:rPr>
        <w:t>Bajo la autoridad de la</w:t>
      </w:r>
      <w:r w:rsidR="00AC791B" w:rsidRPr="00111DC0">
        <w:rPr>
          <w:rFonts w:cs="Arial"/>
        </w:rPr>
        <w:t xml:space="preserve">s Consejeras o Consejeros </w:t>
      </w:r>
      <w:r w:rsidR="00B77A15" w:rsidRPr="00111DC0">
        <w:rPr>
          <w:rFonts w:cs="Arial"/>
        </w:rPr>
        <w:t>se sitúan la Secretaría General Técnica y las Direccione</w:t>
      </w:r>
      <w:r w:rsidR="00AC791B" w:rsidRPr="00111DC0">
        <w:rPr>
          <w:rFonts w:cs="Arial"/>
        </w:rPr>
        <w:t>s</w:t>
      </w:r>
      <w:r w:rsidR="00B77A15" w:rsidRPr="00111DC0">
        <w:rPr>
          <w:rFonts w:cs="Arial"/>
        </w:rPr>
        <w:t xml:space="preserve"> Generales </w:t>
      </w:r>
    </w:p>
    <w:p w14:paraId="4A1F1A7A" w14:textId="77777777" w:rsidR="00E65480" w:rsidRDefault="00A26D84" w:rsidP="00F35A3A">
      <w:pPr>
        <w:rPr>
          <w:rFonts w:cs="Arial"/>
          <w:b/>
          <w:bCs/>
        </w:rPr>
      </w:pPr>
      <w:r w:rsidRPr="00111DC0">
        <w:rPr>
          <w:rFonts w:cs="Arial"/>
        </w:rPr>
        <w:t>La aplicación del índice de distribución</w:t>
      </w:r>
      <w:r w:rsidR="00E40D5D" w:rsidRPr="00111DC0">
        <w:rPr>
          <w:rFonts w:cs="Arial"/>
        </w:rPr>
        <w:t xml:space="preserve"> a los tipos de Altos Cargos</w:t>
      </w:r>
      <w:r w:rsidR="00F60539">
        <w:rPr>
          <w:rFonts w:cs="Arial"/>
        </w:rPr>
        <w:t xml:space="preserve"> muestra</w:t>
      </w:r>
      <w:r w:rsidR="00E40D5D" w:rsidRPr="00111DC0">
        <w:rPr>
          <w:rFonts w:cs="Arial"/>
        </w:rPr>
        <w:t xml:space="preserve"> que</w:t>
      </w:r>
      <w:r w:rsidRPr="00111DC0">
        <w:rPr>
          <w:rFonts w:cs="Arial"/>
        </w:rPr>
        <w:t>,</w:t>
      </w:r>
      <w:r w:rsidR="00E40D5D" w:rsidRPr="00111DC0">
        <w:rPr>
          <w:rFonts w:cs="Arial"/>
        </w:rPr>
        <w:t xml:space="preserve"> </w:t>
      </w:r>
      <w:r w:rsidR="00E40D5D" w:rsidRPr="00111DC0">
        <w:rPr>
          <w:rFonts w:cs="Arial"/>
          <w:b/>
          <w:bCs/>
        </w:rPr>
        <w:t>desde el año 2019</w:t>
      </w:r>
      <w:r w:rsidRPr="00111DC0">
        <w:rPr>
          <w:rFonts w:cs="Arial"/>
          <w:b/>
          <w:bCs/>
        </w:rPr>
        <w:t>,</w:t>
      </w:r>
      <w:r w:rsidR="00E40D5D" w:rsidRPr="00111DC0">
        <w:rPr>
          <w:rFonts w:cs="Arial"/>
          <w:b/>
          <w:bCs/>
        </w:rPr>
        <w:t xml:space="preserve"> la </w:t>
      </w:r>
      <w:r w:rsidR="002B4F24" w:rsidRPr="00111DC0">
        <w:rPr>
          <w:rFonts w:cs="Arial"/>
          <w:b/>
          <w:bCs/>
        </w:rPr>
        <w:t xml:space="preserve">Presidencia del Gobierno de La Rioja </w:t>
      </w:r>
      <w:r w:rsidR="00E40D5D" w:rsidRPr="00111DC0">
        <w:rPr>
          <w:rFonts w:cs="Arial"/>
          <w:b/>
          <w:bCs/>
        </w:rPr>
        <w:t>ha estado ocupada</w:t>
      </w:r>
      <w:r w:rsidR="002B4F24" w:rsidRPr="00111DC0">
        <w:rPr>
          <w:rFonts w:cs="Arial"/>
          <w:b/>
          <w:bCs/>
        </w:rPr>
        <w:t xml:space="preserve"> por una mujer</w:t>
      </w:r>
      <w:r w:rsidR="007117C1" w:rsidRPr="00111DC0">
        <w:rPr>
          <w:rFonts w:cs="Arial"/>
          <w:b/>
          <w:bCs/>
        </w:rPr>
        <w:t>, hecho que no se había producido anteriormente</w:t>
      </w:r>
      <w:r w:rsidR="002B4F24" w:rsidRPr="00111DC0">
        <w:rPr>
          <w:rFonts w:cs="Arial"/>
          <w:b/>
          <w:bCs/>
        </w:rPr>
        <w:t>.</w:t>
      </w:r>
    </w:p>
    <w:p w14:paraId="66C6128A" w14:textId="2D2045B6" w:rsidR="00F35A3A" w:rsidRDefault="00A26D84" w:rsidP="00F35A3A">
      <w:pPr>
        <w:rPr>
          <w:rFonts w:cs="Arial"/>
        </w:rPr>
      </w:pPr>
      <w:r w:rsidRPr="00F60539">
        <w:rPr>
          <w:rFonts w:cs="Arial"/>
        </w:rPr>
        <w:t>Por su parte, t</w:t>
      </w:r>
      <w:r w:rsidR="00762E3A" w:rsidRPr="00F60539">
        <w:rPr>
          <w:rFonts w:cs="Arial"/>
        </w:rPr>
        <w:t>anto las Consejerías como las Direcciones Generales están encabezadas mayoritariamente por hombres (63% y 58% respectivamente),</w:t>
      </w:r>
      <w:r w:rsidR="00762E3A" w:rsidRPr="00111DC0">
        <w:rPr>
          <w:rFonts w:cs="Arial"/>
        </w:rPr>
        <w:t xml:space="preserve"> si bien </w:t>
      </w:r>
      <w:r w:rsidRPr="00111DC0">
        <w:rPr>
          <w:rFonts w:cs="Arial"/>
        </w:rPr>
        <w:t>los datos se encuentran dentro</w:t>
      </w:r>
      <w:r w:rsidR="00762E3A" w:rsidRPr="00111DC0">
        <w:rPr>
          <w:rFonts w:cs="Arial"/>
        </w:rPr>
        <w:t xml:space="preserve"> o cerca de la horquilla de la representación equilibrada. </w:t>
      </w:r>
      <w:r w:rsidRPr="00111DC0">
        <w:rPr>
          <w:rFonts w:cs="Arial"/>
        </w:rPr>
        <w:t>De otro lado</w:t>
      </w:r>
      <w:r w:rsidR="00762E3A" w:rsidRPr="00111DC0">
        <w:rPr>
          <w:rFonts w:cs="Arial"/>
        </w:rPr>
        <w:t>, las Secretarías Generales Técnicas están ocupadas mayoritariamente por mujeres,</w:t>
      </w:r>
      <w:r w:rsidRPr="00111DC0">
        <w:rPr>
          <w:rFonts w:cs="Arial"/>
        </w:rPr>
        <w:t xml:space="preserve"> alcanzando niveles de </w:t>
      </w:r>
      <w:r w:rsidR="00762E3A" w:rsidRPr="00111DC0">
        <w:rPr>
          <w:rFonts w:cs="Arial"/>
        </w:rPr>
        <w:t xml:space="preserve">feminización (75%).  </w:t>
      </w:r>
    </w:p>
    <w:p w14:paraId="649046BB" w14:textId="77777777" w:rsidR="00687DB8" w:rsidRPr="00111DC0" w:rsidRDefault="00687DB8" w:rsidP="00A442AB">
      <w:r w:rsidRPr="00111DC0">
        <w:rPr>
          <w:noProof/>
          <w:lang w:eastAsia="es-ES"/>
        </w:rPr>
        <w:drawing>
          <wp:inline distT="0" distB="0" distL="0" distR="0" wp14:anchorId="7E7279A7" wp14:editId="00471109">
            <wp:extent cx="5374256" cy="2579298"/>
            <wp:effectExtent l="0" t="0" r="0" b="0"/>
            <wp:docPr id="27" name="Gráfico 27"/>
            <wp:cNvGraphicFramePr/>
            <a:graphic xmlns:a="http://schemas.openxmlformats.org/drawingml/2006/main">
              <a:graphicData uri="http://schemas.openxmlformats.org/drawingml/2006/chart">
                <c:chart xmlns:c="http://schemas.openxmlformats.org/drawingml/2006/chart" r:id="rId35"/>
              </a:graphicData>
            </a:graphic>
          </wp:inline>
        </w:drawing>
      </w:r>
    </w:p>
    <w:p w14:paraId="78A4F34F" w14:textId="77777777" w:rsidR="00175E46" w:rsidRPr="00111DC0" w:rsidRDefault="00175E46" w:rsidP="00A442AB"/>
    <w:p w14:paraId="7D217704" w14:textId="77777777" w:rsidR="00E65480" w:rsidRDefault="00175E46" w:rsidP="00AD5FC3">
      <w:pPr>
        <w:rPr>
          <w:rFonts w:cs="Arial"/>
        </w:rPr>
      </w:pPr>
      <w:r w:rsidRPr="00111DC0">
        <w:rPr>
          <w:rFonts w:cs="Arial"/>
        </w:rPr>
        <w:t>En relación con</w:t>
      </w:r>
      <w:r w:rsidR="005D4CAC" w:rsidRPr="00111DC0">
        <w:rPr>
          <w:rFonts w:cs="Arial"/>
        </w:rPr>
        <w:t xml:space="preserve"> la concentración relativa </w:t>
      </w:r>
      <w:r w:rsidR="00CC6BAD" w:rsidRPr="00111DC0">
        <w:rPr>
          <w:rFonts w:cs="Arial"/>
        </w:rPr>
        <w:t>de mujeres y hombres</w:t>
      </w:r>
      <w:r w:rsidR="005D4CAC" w:rsidRPr="00111DC0">
        <w:rPr>
          <w:rFonts w:cs="Arial"/>
        </w:rPr>
        <w:t xml:space="preserve"> en cada uno de los tipos de Altos Cargos </w:t>
      </w:r>
      <w:r w:rsidRPr="00111DC0">
        <w:rPr>
          <w:rFonts w:cs="Arial"/>
        </w:rPr>
        <w:t>los datos ofrecen una lectura bastante similar a la anterior. Las Direcciones Generales</w:t>
      </w:r>
      <w:r w:rsidR="001C28EB" w:rsidRPr="00111DC0">
        <w:rPr>
          <w:rFonts w:cs="Arial"/>
        </w:rPr>
        <w:t xml:space="preserve">, más numerosas que el resto de </w:t>
      </w:r>
      <w:r w:rsidR="00F60539" w:rsidRPr="00111DC0">
        <w:rPr>
          <w:rFonts w:cs="Arial"/>
        </w:rPr>
        <w:t>las posiciones</w:t>
      </w:r>
      <w:r w:rsidR="001C28EB" w:rsidRPr="00111DC0">
        <w:rPr>
          <w:rFonts w:cs="Arial"/>
        </w:rPr>
        <w:t>, están encabezadas por un 76% y un 62% de hombres y mujeres respectivamente</w:t>
      </w:r>
      <w:r w:rsidR="00F60539">
        <w:rPr>
          <w:rFonts w:cs="Arial"/>
        </w:rPr>
        <w:t>.</w:t>
      </w:r>
      <w:r w:rsidR="001C28EB" w:rsidRPr="00111DC0">
        <w:rPr>
          <w:rFonts w:cs="Arial"/>
        </w:rPr>
        <w:t xml:space="preserve"> En las Secretarías Generales Técnicas se concentra un 7% de hombres y un 23% de mujeres</w:t>
      </w:r>
      <w:r w:rsidR="00F60539">
        <w:rPr>
          <w:rFonts w:cs="Arial"/>
        </w:rPr>
        <w:t>:</w:t>
      </w:r>
    </w:p>
    <w:p w14:paraId="77567510" w14:textId="1F899B8F" w:rsidR="00AD5FC3" w:rsidRPr="00111DC0" w:rsidRDefault="00687DB8" w:rsidP="00AD5FC3">
      <w:pPr>
        <w:rPr>
          <w:rFonts w:cs="Arial"/>
        </w:rPr>
      </w:pPr>
      <w:r w:rsidRPr="00111DC0">
        <w:rPr>
          <w:rFonts w:cs="Arial"/>
          <w:noProof/>
          <w:color w:val="EA0000"/>
          <w:sz w:val="24"/>
          <w:szCs w:val="24"/>
          <w:lang w:eastAsia="es-ES"/>
        </w:rPr>
        <w:drawing>
          <wp:inline distT="0" distB="0" distL="0" distR="0" wp14:anchorId="062FEE5A" wp14:editId="127EF7F5">
            <wp:extent cx="5279366" cy="2518913"/>
            <wp:effectExtent l="0" t="0" r="0" b="0"/>
            <wp:docPr id="28" name="Gráfico 28"/>
            <wp:cNvGraphicFramePr/>
            <a:graphic xmlns:a="http://schemas.openxmlformats.org/drawingml/2006/main">
              <a:graphicData uri="http://schemas.openxmlformats.org/drawingml/2006/chart">
                <c:chart xmlns:c="http://schemas.openxmlformats.org/drawingml/2006/chart" r:id="rId36"/>
              </a:graphicData>
            </a:graphic>
          </wp:inline>
        </w:drawing>
      </w:r>
    </w:p>
    <w:p w14:paraId="43B16CCA" w14:textId="77777777" w:rsidR="00766159" w:rsidRDefault="00766159" w:rsidP="00AD5FC3">
      <w:pPr>
        <w:rPr>
          <w:rFonts w:cs="Arial"/>
        </w:rPr>
      </w:pPr>
    </w:p>
    <w:p w14:paraId="5EEAE7A3" w14:textId="26DB3C9F" w:rsidR="00D72902" w:rsidRDefault="00F60539" w:rsidP="00AD5FC3">
      <w:pPr>
        <w:rPr>
          <w:rFonts w:cs="Arial"/>
        </w:rPr>
      </w:pPr>
      <w:r>
        <w:rPr>
          <w:rFonts w:cs="Arial"/>
        </w:rPr>
        <w:t xml:space="preserve">En la evolución </w:t>
      </w:r>
      <w:r w:rsidR="00D72902" w:rsidRPr="00111DC0">
        <w:rPr>
          <w:rFonts w:cs="Arial"/>
        </w:rPr>
        <w:t>2017 a 2021</w:t>
      </w:r>
      <w:r>
        <w:rPr>
          <w:rFonts w:cs="Arial"/>
        </w:rPr>
        <w:t xml:space="preserve">, </w:t>
      </w:r>
      <w:r w:rsidRPr="00111DC0">
        <w:rPr>
          <w:rFonts w:cs="Arial"/>
          <w:b/>
          <w:bCs/>
        </w:rPr>
        <w:t>la presencia de mujeres entre los Altos Cargos del Gobierno de La Rioja muestra una evolución positiva</w:t>
      </w:r>
      <w:r>
        <w:rPr>
          <w:rFonts w:cs="Arial"/>
          <w:b/>
          <w:bCs/>
        </w:rPr>
        <w:t xml:space="preserve"> ya que </w:t>
      </w:r>
      <w:r w:rsidR="00D72902" w:rsidRPr="00F60539">
        <w:rPr>
          <w:rFonts w:cs="Arial"/>
          <w:b/>
          <w:bCs/>
        </w:rPr>
        <w:t>se ha producido un aumento aproximado del 30%</w:t>
      </w:r>
      <w:r w:rsidR="00D72902" w:rsidRPr="00111DC0">
        <w:rPr>
          <w:rFonts w:cs="Arial"/>
        </w:rPr>
        <w:t>, pasando de 16 a 26 mujeres</w:t>
      </w:r>
      <w:r>
        <w:rPr>
          <w:rFonts w:cs="Arial"/>
        </w:rPr>
        <w:t>:</w:t>
      </w:r>
    </w:p>
    <w:p w14:paraId="2F9DB1FC" w14:textId="77777777" w:rsidR="00E65480" w:rsidRPr="00111DC0" w:rsidRDefault="00E65480" w:rsidP="00AD5FC3">
      <w:pPr>
        <w:rPr>
          <w:rFonts w:cs="Arial"/>
          <w:b/>
          <w:bCs/>
        </w:rPr>
      </w:pPr>
    </w:p>
    <w:p w14:paraId="5000FDD0" w14:textId="77777777" w:rsidR="00D72902" w:rsidRPr="00111DC0" w:rsidRDefault="00D72902" w:rsidP="00350BA5">
      <w:pPr>
        <w:spacing w:after="0" w:line="259" w:lineRule="auto"/>
        <w:jc w:val="left"/>
        <w:rPr>
          <w:rFonts w:cs="Arial"/>
        </w:rPr>
      </w:pPr>
      <w:r w:rsidRPr="00957AE5">
        <w:rPr>
          <w:rFonts w:cs="Arial"/>
          <w:noProof/>
          <w:lang w:eastAsia="es-ES"/>
        </w:rPr>
        <w:drawing>
          <wp:inline distT="0" distB="0" distL="0" distR="0" wp14:anchorId="51160029" wp14:editId="0160452B">
            <wp:extent cx="5349240" cy="2766252"/>
            <wp:effectExtent l="0" t="0" r="0" b="0"/>
            <wp:docPr id="26" name="Gráfico 26"/>
            <wp:cNvGraphicFramePr/>
            <a:graphic xmlns:a="http://schemas.openxmlformats.org/drawingml/2006/main">
              <a:graphicData uri="http://schemas.openxmlformats.org/drawingml/2006/chart">
                <c:chart xmlns:c="http://schemas.openxmlformats.org/drawingml/2006/chart" r:id="rId37"/>
              </a:graphicData>
            </a:graphic>
          </wp:inline>
        </w:drawing>
      </w:r>
    </w:p>
    <w:p w14:paraId="2F400ADF" w14:textId="382C5C64" w:rsidR="001C28EB" w:rsidRPr="00111DC0" w:rsidRDefault="001C28EB" w:rsidP="00B62C8B"/>
    <w:p w14:paraId="6B6A568D" w14:textId="77777777" w:rsidR="00F053C8" w:rsidRDefault="00F053C8" w:rsidP="004B6A1B">
      <w:pPr>
        <w:pStyle w:val="Ttulo3"/>
        <w:rPr>
          <w:rFonts w:cs="Arial"/>
        </w:rPr>
      </w:pPr>
      <w:r>
        <w:rPr>
          <w:rFonts w:cs="Arial"/>
        </w:rPr>
        <w:br w:type="page"/>
      </w:r>
    </w:p>
    <w:p w14:paraId="78E3E28E" w14:textId="57D6EDB6" w:rsidR="00BC373E" w:rsidRPr="00111DC0" w:rsidRDefault="00613309" w:rsidP="004B6A1B">
      <w:pPr>
        <w:pStyle w:val="Ttulo3"/>
        <w:rPr>
          <w:rFonts w:cs="Arial"/>
        </w:rPr>
      </w:pPr>
      <w:r w:rsidRPr="00111DC0">
        <w:rPr>
          <w:rFonts w:cs="Arial"/>
        </w:rPr>
        <w:t>Conclusiones</w:t>
      </w:r>
    </w:p>
    <w:p w14:paraId="1B24FCB7" w14:textId="5B194940" w:rsidR="00613309" w:rsidRPr="00111DC0" w:rsidRDefault="00613309" w:rsidP="00DE69A1">
      <w:pPr>
        <w:pStyle w:val="Ttulo4"/>
        <w:rPr>
          <w:rFonts w:cs="Arial"/>
        </w:rPr>
      </w:pPr>
      <w:r w:rsidRPr="00111DC0">
        <w:rPr>
          <w:rFonts w:cs="Arial"/>
        </w:rPr>
        <w:t>Fortalezas</w:t>
      </w:r>
    </w:p>
    <w:p w14:paraId="0050B95B" w14:textId="33E2549E" w:rsidR="00613309" w:rsidRPr="00111DC0" w:rsidRDefault="00613309" w:rsidP="00613309">
      <w:pPr>
        <w:jc w:val="left"/>
        <w:rPr>
          <w:rFonts w:cs="Arial"/>
        </w:rPr>
      </w:pPr>
      <w:r w:rsidRPr="00111DC0">
        <w:rPr>
          <w:rFonts w:cs="Arial"/>
          <w:noProof/>
          <w:sz w:val="20"/>
          <w:szCs w:val="18"/>
          <w:lang w:eastAsia="es-ES"/>
        </w:rPr>
        <w:drawing>
          <wp:inline distT="0" distB="0" distL="0" distR="0" wp14:anchorId="2301F8E1" wp14:editId="1DB59A4B">
            <wp:extent cx="299923" cy="299923"/>
            <wp:effectExtent l="0" t="0" r="0" b="0"/>
            <wp:docPr id="100" name="Gráfico 100"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E65480">
        <w:rPr>
          <w:rFonts w:cs="Arial"/>
          <w:b/>
          <w:bCs/>
        </w:rPr>
        <w:t>Todos los Grupos</w:t>
      </w:r>
      <w:r w:rsidR="004B1DBA" w:rsidRPr="00E65480">
        <w:rPr>
          <w:rFonts w:cs="Arial"/>
          <w:b/>
          <w:bCs/>
        </w:rPr>
        <w:t xml:space="preserve"> profesionales</w:t>
      </w:r>
      <w:r w:rsidRPr="00E65480">
        <w:rPr>
          <w:rFonts w:cs="Arial"/>
          <w:b/>
          <w:bCs/>
        </w:rPr>
        <w:t xml:space="preserve"> salvo el E</w:t>
      </w:r>
      <w:r w:rsidRPr="00111DC0">
        <w:rPr>
          <w:rFonts w:cs="Arial"/>
        </w:rPr>
        <w:t xml:space="preserve"> guardan una proporción de mujeres y hombres muy similar a la de la distribución global.</w:t>
      </w:r>
    </w:p>
    <w:p w14:paraId="4E71D56B" w14:textId="77777777" w:rsidR="00E756D5" w:rsidRPr="004F7745" w:rsidRDefault="00613309" w:rsidP="00E756D5">
      <w:r w:rsidRPr="00111DC0">
        <w:rPr>
          <w:rFonts w:cs="Arial"/>
          <w:noProof/>
          <w:sz w:val="20"/>
          <w:szCs w:val="18"/>
          <w:lang w:eastAsia="es-ES"/>
        </w:rPr>
        <w:drawing>
          <wp:inline distT="0" distB="0" distL="0" distR="0" wp14:anchorId="72AB50AD" wp14:editId="3142FF26">
            <wp:extent cx="299923" cy="299923"/>
            <wp:effectExtent l="0" t="0" r="0" b="0"/>
            <wp:docPr id="102" name="Gráfico 102"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E65480">
        <w:rPr>
          <w:rFonts w:cs="Arial"/>
          <w:b/>
          <w:bCs/>
        </w:rPr>
        <w:t xml:space="preserve">Entre el personal laboral existe una mayor presencia correlativa de mujeres en </w:t>
      </w:r>
      <w:r w:rsidR="00E756D5" w:rsidRPr="00E65480">
        <w:rPr>
          <w:rFonts w:cs="Arial"/>
          <w:b/>
          <w:bCs/>
        </w:rPr>
        <w:t xml:space="preserve">las Categorías que se corresponden con </w:t>
      </w:r>
      <w:r w:rsidRPr="00E65480">
        <w:rPr>
          <w:rFonts w:cs="Arial"/>
          <w:b/>
          <w:bCs/>
        </w:rPr>
        <w:t>los niveles más altos</w:t>
      </w:r>
      <w:r w:rsidR="00E756D5">
        <w:rPr>
          <w:rFonts w:cs="Arial"/>
        </w:rPr>
        <w:t xml:space="preserve"> según lo estipulado en el Anexo II del Convenio, son aquellas que concentran al Personal </w:t>
      </w:r>
      <w:r w:rsidR="00E756D5" w:rsidRPr="004F7745">
        <w:t>Titulado Superior, Educador, de Trabajo Social, etc.</w:t>
      </w:r>
    </w:p>
    <w:p w14:paraId="52B48C2D" w14:textId="0015559F" w:rsidR="00613309" w:rsidRPr="00111DC0" w:rsidRDefault="00613309" w:rsidP="00613309">
      <w:pPr>
        <w:rPr>
          <w:rFonts w:cs="Arial"/>
        </w:rPr>
      </w:pPr>
      <w:r w:rsidRPr="00111DC0">
        <w:rPr>
          <w:rFonts w:cs="Arial"/>
          <w:noProof/>
          <w:sz w:val="20"/>
          <w:szCs w:val="18"/>
          <w:lang w:eastAsia="es-ES"/>
        </w:rPr>
        <w:drawing>
          <wp:inline distT="0" distB="0" distL="0" distR="0" wp14:anchorId="34267E5E" wp14:editId="43CAAF2C">
            <wp:extent cx="299923" cy="299923"/>
            <wp:effectExtent l="0" t="0" r="0" b="0"/>
            <wp:docPr id="103" name="Gráfico 103"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E65480">
        <w:rPr>
          <w:rFonts w:cs="Arial"/>
          <w:b/>
          <w:bCs/>
        </w:rPr>
        <w:t>Entre el Personal Docente se está produciendo un cambio de tendencia en la ocupación de los puestos directivos</w:t>
      </w:r>
      <w:r w:rsidR="00CC1950" w:rsidRPr="00111DC0">
        <w:rPr>
          <w:rFonts w:cs="Arial"/>
        </w:rPr>
        <w:t xml:space="preserve"> que derivará en un mayor grado de igualdad al incrementarse la presencia de mujeres, que ha ascendido </w:t>
      </w:r>
      <w:r w:rsidRPr="00111DC0">
        <w:rPr>
          <w:rFonts w:cs="Arial"/>
        </w:rPr>
        <w:t xml:space="preserve">del 46% </w:t>
      </w:r>
      <w:r w:rsidR="00CC1950" w:rsidRPr="00111DC0">
        <w:rPr>
          <w:rFonts w:cs="Arial"/>
        </w:rPr>
        <w:t xml:space="preserve">en 2017 </w:t>
      </w:r>
      <w:r w:rsidRPr="00111DC0">
        <w:rPr>
          <w:rFonts w:cs="Arial"/>
        </w:rPr>
        <w:t xml:space="preserve">al 56% en </w:t>
      </w:r>
      <w:r w:rsidR="00CC1950" w:rsidRPr="00111DC0">
        <w:rPr>
          <w:rFonts w:cs="Arial"/>
        </w:rPr>
        <w:t>2021</w:t>
      </w:r>
      <w:r w:rsidRPr="00111DC0">
        <w:rPr>
          <w:rFonts w:cs="Arial"/>
        </w:rPr>
        <w:t>.</w:t>
      </w:r>
    </w:p>
    <w:p w14:paraId="7F79392E" w14:textId="7E31E18A" w:rsidR="00613309" w:rsidRPr="00111DC0" w:rsidRDefault="00613309" w:rsidP="00613309">
      <w:pPr>
        <w:rPr>
          <w:rFonts w:cs="Arial"/>
        </w:rPr>
      </w:pPr>
      <w:r w:rsidRPr="00111DC0">
        <w:rPr>
          <w:rFonts w:cs="Arial"/>
          <w:noProof/>
          <w:sz w:val="20"/>
          <w:szCs w:val="18"/>
          <w:lang w:eastAsia="es-ES"/>
        </w:rPr>
        <w:drawing>
          <wp:inline distT="0" distB="0" distL="0" distR="0" wp14:anchorId="3DA29BD1" wp14:editId="22406D0E">
            <wp:extent cx="299923" cy="299923"/>
            <wp:effectExtent l="0" t="0" r="0" b="0"/>
            <wp:docPr id="106" name="Gráfico 106"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E65480">
        <w:rPr>
          <w:rFonts w:cs="Arial"/>
          <w:b/>
          <w:bCs/>
        </w:rPr>
        <w:t xml:space="preserve">Los puestos de Altos Cargos están actualmente equilibrados en términos de </w:t>
      </w:r>
      <w:r w:rsidR="00B5220B" w:rsidRPr="00E65480">
        <w:rPr>
          <w:rFonts w:cs="Arial"/>
          <w:b/>
          <w:bCs/>
        </w:rPr>
        <w:t>sexo</w:t>
      </w:r>
      <w:r w:rsidRPr="00E65480">
        <w:rPr>
          <w:rFonts w:cs="Arial"/>
          <w:b/>
          <w:bCs/>
        </w:rPr>
        <w:t xml:space="preserve"> y </w:t>
      </w:r>
      <w:r w:rsidR="00B2484E" w:rsidRPr="00E65480">
        <w:rPr>
          <w:rFonts w:cs="Arial"/>
          <w:b/>
          <w:bCs/>
        </w:rPr>
        <w:t xml:space="preserve">también </w:t>
      </w:r>
      <w:r w:rsidRPr="00E65480">
        <w:rPr>
          <w:rFonts w:cs="Arial"/>
          <w:b/>
          <w:bCs/>
        </w:rPr>
        <w:t>han experimentado una evolución positiva</w:t>
      </w:r>
      <w:r w:rsidRPr="00111DC0">
        <w:rPr>
          <w:rFonts w:cs="Arial"/>
        </w:rPr>
        <w:t xml:space="preserve"> en términos </w:t>
      </w:r>
      <w:r w:rsidR="00B2484E" w:rsidRPr="00111DC0">
        <w:rPr>
          <w:rFonts w:cs="Arial"/>
        </w:rPr>
        <w:t>d</w:t>
      </w:r>
      <w:r w:rsidRPr="00111DC0">
        <w:rPr>
          <w:rFonts w:cs="Arial"/>
        </w:rPr>
        <w:t>e igualdad, pasando del 38% de mujeres en 2017 al 47% en 2021. Probablemente, uno de los hechos más significativos es que, por primera vez, la Presidencia del Gobierno de La Rioja está ocupada por una mujer.</w:t>
      </w:r>
    </w:p>
    <w:p w14:paraId="2ACBC703" w14:textId="18E12C71" w:rsidR="00B2484E" w:rsidRPr="00111DC0" w:rsidRDefault="00B2484E" w:rsidP="00DE69A1">
      <w:pPr>
        <w:pStyle w:val="Ttulo4"/>
        <w:rPr>
          <w:rFonts w:cs="Arial"/>
        </w:rPr>
      </w:pPr>
    </w:p>
    <w:p w14:paraId="70716059" w14:textId="77777777" w:rsidR="00F053C8" w:rsidRDefault="00F053C8" w:rsidP="00DE69A1">
      <w:pPr>
        <w:pStyle w:val="Ttulo4"/>
        <w:rPr>
          <w:rFonts w:cs="Arial"/>
        </w:rPr>
      </w:pPr>
      <w:r>
        <w:rPr>
          <w:rFonts w:cs="Arial"/>
        </w:rPr>
        <w:br w:type="page"/>
      </w:r>
    </w:p>
    <w:p w14:paraId="76451F31" w14:textId="06B88921" w:rsidR="00613309" w:rsidRPr="00111DC0" w:rsidRDefault="00613309" w:rsidP="00DE69A1">
      <w:pPr>
        <w:pStyle w:val="Ttulo4"/>
        <w:rPr>
          <w:rFonts w:cs="Arial"/>
        </w:rPr>
      </w:pPr>
      <w:r w:rsidRPr="00111DC0">
        <w:rPr>
          <w:rFonts w:cs="Arial"/>
        </w:rPr>
        <w:t>Áreas de mejora</w:t>
      </w:r>
    </w:p>
    <w:p w14:paraId="59774E61" w14:textId="0408A603" w:rsidR="00BC373E" w:rsidRPr="00111DC0" w:rsidRDefault="00613309" w:rsidP="00350BA5">
      <w:pPr>
        <w:spacing w:after="0"/>
        <w:rPr>
          <w:rFonts w:cs="Arial"/>
        </w:rPr>
      </w:pPr>
      <w:r w:rsidRPr="00111DC0">
        <w:rPr>
          <w:rFonts w:cs="Arial"/>
          <w:noProof/>
          <w:sz w:val="20"/>
          <w:szCs w:val="18"/>
          <w:lang w:eastAsia="es-ES"/>
        </w:rPr>
        <w:drawing>
          <wp:inline distT="0" distB="0" distL="0" distR="0" wp14:anchorId="7DBA7FF1" wp14:editId="76CB3297">
            <wp:extent cx="277978" cy="277978"/>
            <wp:effectExtent l="0" t="0" r="0" b="0"/>
            <wp:docPr id="99" name="Gráfico 99"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1 </w:t>
      </w:r>
      <w:r w:rsidRPr="00E65480">
        <w:rPr>
          <w:rFonts w:cs="Arial"/>
          <w:b/>
          <w:bCs/>
        </w:rPr>
        <w:t xml:space="preserve">- La presencia de mujeres y hombres entre el personal total de cada Consejería refleja la pauta social y laboral de segregación por </w:t>
      </w:r>
      <w:r w:rsidR="00B5220B" w:rsidRPr="00E65480">
        <w:rPr>
          <w:rFonts w:cs="Arial"/>
          <w:b/>
          <w:bCs/>
        </w:rPr>
        <w:t>sexo</w:t>
      </w:r>
      <w:r w:rsidRPr="00E65480">
        <w:rPr>
          <w:rFonts w:cs="Arial"/>
          <w:b/>
          <w:bCs/>
        </w:rPr>
        <w:t>:</w:t>
      </w:r>
      <w:r w:rsidRPr="00111DC0">
        <w:rPr>
          <w:rFonts w:cs="Arial"/>
        </w:rPr>
        <w:t xml:space="preserve"> las mujeres se concentran mayoritariamente en las áreas </w:t>
      </w:r>
      <w:r w:rsidR="00EA3A17" w:rsidRPr="00111DC0">
        <w:rPr>
          <w:rFonts w:cs="Arial"/>
        </w:rPr>
        <w:t>orientadas a</w:t>
      </w:r>
      <w:r w:rsidRPr="00111DC0">
        <w:rPr>
          <w:rFonts w:cs="Arial"/>
        </w:rPr>
        <w:t xml:space="preserve"> los cuidados, mientras que los hombres tienden a concentrarse en </w:t>
      </w:r>
      <w:r w:rsidR="00EA3A17" w:rsidRPr="00111DC0">
        <w:rPr>
          <w:rFonts w:cs="Arial"/>
        </w:rPr>
        <w:t xml:space="preserve">los </w:t>
      </w:r>
      <w:r w:rsidRPr="00111DC0">
        <w:rPr>
          <w:rFonts w:cs="Arial"/>
        </w:rPr>
        <w:t xml:space="preserve">ámbitos </w:t>
      </w:r>
      <w:r w:rsidR="00EA3A17" w:rsidRPr="00111DC0">
        <w:rPr>
          <w:rFonts w:cs="Arial"/>
        </w:rPr>
        <w:t>vinculados con los</w:t>
      </w:r>
      <w:r w:rsidRPr="00111DC0">
        <w:rPr>
          <w:rFonts w:cs="Arial"/>
        </w:rPr>
        <w:t xml:space="preserve"> conocimientos y desarrollo tecnológicos.   </w:t>
      </w:r>
    </w:p>
    <w:p w14:paraId="1659E51D" w14:textId="03432BEA" w:rsidR="00613309" w:rsidRPr="00111DC0" w:rsidRDefault="00613309" w:rsidP="00350BA5">
      <w:pPr>
        <w:spacing w:after="0"/>
        <w:rPr>
          <w:rFonts w:cs="Arial"/>
        </w:rPr>
      </w:pPr>
      <w:r w:rsidRPr="00111DC0">
        <w:rPr>
          <w:rFonts w:cs="Arial"/>
          <w:noProof/>
          <w:sz w:val="20"/>
          <w:szCs w:val="18"/>
          <w:lang w:eastAsia="es-ES"/>
        </w:rPr>
        <w:drawing>
          <wp:inline distT="0" distB="0" distL="0" distR="0" wp14:anchorId="2B5D7ABB" wp14:editId="3C3A1813">
            <wp:extent cx="277978" cy="277978"/>
            <wp:effectExtent l="0" t="0" r="0" b="0"/>
            <wp:docPr id="109" name="Gráfico 109"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2 </w:t>
      </w:r>
      <w:r w:rsidR="00EA3A17" w:rsidRPr="00E65480">
        <w:rPr>
          <w:rFonts w:cs="Arial"/>
          <w:b/>
          <w:bCs/>
        </w:rPr>
        <w:t>–</w:t>
      </w:r>
      <w:r w:rsidRPr="00E65480">
        <w:rPr>
          <w:rFonts w:cs="Arial"/>
          <w:b/>
          <w:bCs/>
        </w:rPr>
        <w:t xml:space="preserve"> E</w:t>
      </w:r>
      <w:r w:rsidR="00EA3A17" w:rsidRPr="00E65480">
        <w:rPr>
          <w:rFonts w:cs="Arial"/>
          <w:b/>
          <w:bCs/>
        </w:rPr>
        <w:t>n los Servicios Generales, e</w:t>
      </w:r>
      <w:r w:rsidRPr="00E65480">
        <w:rPr>
          <w:rFonts w:cs="Arial"/>
          <w:b/>
          <w:bCs/>
        </w:rPr>
        <w:t xml:space="preserve">l Grupo E </w:t>
      </w:r>
      <w:r w:rsidR="00EA3A17" w:rsidRPr="00E65480">
        <w:rPr>
          <w:rFonts w:cs="Arial"/>
          <w:b/>
          <w:bCs/>
        </w:rPr>
        <w:t>es el único que cuenta con mayor presencia masculina</w:t>
      </w:r>
      <w:r w:rsidR="00EA3A17" w:rsidRPr="00111DC0">
        <w:rPr>
          <w:rFonts w:cs="Arial"/>
        </w:rPr>
        <w:t xml:space="preserve"> (55%. L</w:t>
      </w:r>
      <w:r w:rsidRPr="00111DC0">
        <w:rPr>
          <w:rFonts w:cs="Arial"/>
        </w:rPr>
        <w:t>os restantes están feminizados</w:t>
      </w:r>
      <w:r w:rsidR="00324706" w:rsidRPr="00111DC0">
        <w:rPr>
          <w:rFonts w:cs="Arial"/>
        </w:rPr>
        <w:t xml:space="preserve"> </w:t>
      </w:r>
      <w:r w:rsidR="009C72E7" w:rsidRPr="00111DC0">
        <w:rPr>
          <w:rFonts w:cs="Arial"/>
        </w:rPr>
        <w:t xml:space="preserve">(por encima del 70% de mujeres) </w:t>
      </w:r>
      <w:r w:rsidRPr="00111DC0">
        <w:rPr>
          <w:rFonts w:cs="Arial"/>
        </w:rPr>
        <w:t>salvo el A1</w:t>
      </w:r>
      <w:r w:rsidR="009C72E7" w:rsidRPr="00111DC0">
        <w:rPr>
          <w:rFonts w:cs="Arial"/>
        </w:rPr>
        <w:t>,</w:t>
      </w:r>
      <w:r w:rsidRPr="00111DC0">
        <w:rPr>
          <w:rFonts w:cs="Arial"/>
        </w:rPr>
        <w:t xml:space="preserve"> en donde</w:t>
      </w:r>
      <w:r w:rsidR="00EA3A17" w:rsidRPr="00111DC0">
        <w:rPr>
          <w:rFonts w:cs="Arial"/>
        </w:rPr>
        <w:t xml:space="preserve"> </w:t>
      </w:r>
      <w:r w:rsidRPr="00111DC0">
        <w:rPr>
          <w:rFonts w:cs="Arial"/>
        </w:rPr>
        <w:t xml:space="preserve">la presencia </w:t>
      </w:r>
      <w:r w:rsidR="00EA3A17" w:rsidRPr="00111DC0">
        <w:rPr>
          <w:rFonts w:cs="Arial"/>
        </w:rPr>
        <w:t xml:space="preserve">relativa </w:t>
      </w:r>
      <w:r w:rsidRPr="00111DC0">
        <w:rPr>
          <w:rFonts w:cs="Arial"/>
        </w:rPr>
        <w:t xml:space="preserve">de empleadas es </w:t>
      </w:r>
      <w:r w:rsidR="009C72E7" w:rsidRPr="00111DC0">
        <w:rPr>
          <w:rFonts w:cs="Arial"/>
        </w:rPr>
        <w:t xml:space="preserve">4 puntos </w:t>
      </w:r>
      <w:proofErr w:type="gramStart"/>
      <w:r w:rsidRPr="00111DC0">
        <w:rPr>
          <w:rFonts w:cs="Arial"/>
        </w:rPr>
        <w:t>menor</w:t>
      </w:r>
      <w:proofErr w:type="gramEnd"/>
      <w:r w:rsidRPr="00111DC0">
        <w:rPr>
          <w:rFonts w:cs="Arial"/>
        </w:rPr>
        <w:t xml:space="preserve"> </w:t>
      </w:r>
      <w:r w:rsidR="00EA3A17" w:rsidRPr="00111DC0">
        <w:rPr>
          <w:rFonts w:cs="Arial"/>
        </w:rPr>
        <w:t>si se compara</w:t>
      </w:r>
      <w:r w:rsidRPr="00111DC0">
        <w:rPr>
          <w:rFonts w:cs="Arial"/>
        </w:rPr>
        <w:t xml:space="preserve"> con los datos de referencia </w:t>
      </w:r>
      <w:r w:rsidR="00EA3A17" w:rsidRPr="00111DC0">
        <w:rPr>
          <w:rFonts w:cs="Arial"/>
        </w:rPr>
        <w:t>globales (66%)</w:t>
      </w:r>
      <w:r w:rsidRPr="00111DC0">
        <w:rPr>
          <w:rFonts w:cs="Arial"/>
        </w:rPr>
        <w:t>.</w:t>
      </w:r>
    </w:p>
    <w:p w14:paraId="192BB0D7" w14:textId="200DAB48" w:rsidR="00613309" w:rsidRPr="00111DC0" w:rsidRDefault="00613309" w:rsidP="00350BA5">
      <w:pPr>
        <w:spacing w:after="0"/>
        <w:rPr>
          <w:rFonts w:cs="Arial"/>
        </w:rPr>
      </w:pPr>
      <w:r w:rsidRPr="00111DC0">
        <w:rPr>
          <w:rFonts w:cs="Arial"/>
          <w:noProof/>
          <w:sz w:val="20"/>
          <w:szCs w:val="18"/>
          <w:lang w:eastAsia="es-ES"/>
        </w:rPr>
        <w:drawing>
          <wp:inline distT="0" distB="0" distL="0" distR="0" wp14:anchorId="006BD1CF" wp14:editId="435CA1EE">
            <wp:extent cx="277978" cy="277978"/>
            <wp:effectExtent l="0" t="0" r="0" b="0"/>
            <wp:docPr id="110" name="Gráfico 110"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3 </w:t>
      </w:r>
      <w:r w:rsidR="00324706" w:rsidRPr="00E65480">
        <w:rPr>
          <w:rFonts w:cs="Arial"/>
          <w:b/>
          <w:bCs/>
        </w:rPr>
        <w:t>–</w:t>
      </w:r>
      <w:r w:rsidRPr="00E65480">
        <w:rPr>
          <w:rFonts w:cs="Arial"/>
          <w:b/>
          <w:bCs/>
        </w:rPr>
        <w:t xml:space="preserve"> </w:t>
      </w:r>
      <w:r w:rsidR="00324706" w:rsidRPr="00E65480">
        <w:rPr>
          <w:rFonts w:cs="Arial"/>
          <w:b/>
          <w:bCs/>
        </w:rPr>
        <w:t>Además, l</w:t>
      </w:r>
      <w:r w:rsidRPr="00E65480">
        <w:rPr>
          <w:rFonts w:cs="Arial"/>
          <w:b/>
          <w:bCs/>
        </w:rPr>
        <w:t xml:space="preserve">as empleadas </w:t>
      </w:r>
      <w:r w:rsidR="00324706" w:rsidRPr="00E65480">
        <w:rPr>
          <w:rFonts w:cs="Arial"/>
          <w:b/>
          <w:bCs/>
        </w:rPr>
        <w:t>se concentran</w:t>
      </w:r>
      <w:r w:rsidRPr="00E65480">
        <w:rPr>
          <w:rFonts w:cs="Arial"/>
          <w:b/>
          <w:bCs/>
        </w:rPr>
        <w:t xml:space="preserve"> </w:t>
      </w:r>
      <w:r w:rsidR="00324706" w:rsidRPr="00E65480">
        <w:rPr>
          <w:rFonts w:cs="Arial"/>
          <w:b/>
          <w:bCs/>
        </w:rPr>
        <w:t xml:space="preserve">mayoritariamente </w:t>
      </w:r>
      <w:r w:rsidRPr="00E65480">
        <w:rPr>
          <w:rFonts w:cs="Arial"/>
          <w:b/>
          <w:bCs/>
        </w:rPr>
        <w:t>en los grupos intermedios</w:t>
      </w:r>
      <w:r w:rsidR="00324706" w:rsidRPr="00111DC0">
        <w:rPr>
          <w:rFonts w:cs="Arial"/>
        </w:rPr>
        <w:t xml:space="preserve"> (C1 y C2)</w:t>
      </w:r>
      <w:r w:rsidRPr="00111DC0">
        <w:rPr>
          <w:rFonts w:cs="Arial"/>
        </w:rPr>
        <w:t xml:space="preserve"> hecho que, de estar ligado a una </w:t>
      </w:r>
      <w:proofErr w:type="spellStart"/>
      <w:r w:rsidRPr="00111DC0">
        <w:rPr>
          <w:rFonts w:cs="Arial"/>
        </w:rPr>
        <w:t>sobrecualificación</w:t>
      </w:r>
      <w:proofErr w:type="spellEnd"/>
      <w:r w:rsidRPr="00111DC0">
        <w:rPr>
          <w:rFonts w:cs="Arial"/>
        </w:rPr>
        <w:t xml:space="preserve"> femenina, puede ser motivo de pérdida de recursos y talento femenino, para lo cual es preciso cruzar los datos por Grupo profesional y nivel de estudios.  </w:t>
      </w:r>
    </w:p>
    <w:p w14:paraId="13E8A0EC" w14:textId="595143C8" w:rsidR="00613309" w:rsidRPr="00111DC0" w:rsidRDefault="00613309" w:rsidP="00350BA5">
      <w:pPr>
        <w:spacing w:after="0"/>
        <w:rPr>
          <w:rFonts w:cs="Arial"/>
        </w:rPr>
      </w:pPr>
      <w:r w:rsidRPr="00111DC0">
        <w:rPr>
          <w:rFonts w:cs="Arial"/>
          <w:noProof/>
          <w:sz w:val="20"/>
          <w:szCs w:val="18"/>
          <w:lang w:eastAsia="es-ES"/>
        </w:rPr>
        <w:drawing>
          <wp:inline distT="0" distB="0" distL="0" distR="0" wp14:anchorId="249221E3" wp14:editId="152AB76B">
            <wp:extent cx="277978" cy="277978"/>
            <wp:effectExtent l="0" t="0" r="0" b="0"/>
            <wp:docPr id="111" name="Gráfico 111"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4 </w:t>
      </w:r>
      <w:r w:rsidRPr="00E65480">
        <w:rPr>
          <w:rFonts w:cs="Arial"/>
          <w:b/>
          <w:bCs/>
        </w:rPr>
        <w:t xml:space="preserve">- Los efectos del proceso de socialización marcados por el género afectan a la distribución </w:t>
      </w:r>
      <w:r w:rsidR="00A00A20" w:rsidRPr="00E65480">
        <w:rPr>
          <w:rFonts w:cs="Arial"/>
          <w:b/>
          <w:bCs/>
        </w:rPr>
        <w:t>por sexo en</w:t>
      </w:r>
      <w:r w:rsidRPr="00E65480">
        <w:rPr>
          <w:rFonts w:cs="Arial"/>
          <w:b/>
          <w:bCs/>
        </w:rPr>
        <w:t xml:space="preserve"> el Personal Docente</w:t>
      </w:r>
      <w:r w:rsidR="00A00A20" w:rsidRPr="00E65480">
        <w:rPr>
          <w:rFonts w:cs="Arial"/>
          <w:b/>
          <w:bCs/>
        </w:rPr>
        <w:t>:</w:t>
      </w:r>
      <w:r w:rsidR="00A00A20" w:rsidRPr="00111DC0">
        <w:rPr>
          <w:rFonts w:cs="Arial"/>
        </w:rPr>
        <w:t xml:space="preserve"> existe una feminización del </w:t>
      </w:r>
      <w:r w:rsidRPr="00111DC0">
        <w:rPr>
          <w:rFonts w:cs="Arial"/>
        </w:rPr>
        <w:t>Grupo</w:t>
      </w:r>
      <w:r w:rsidR="00324706" w:rsidRPr="00111DC0">
        <w:rPr>
          <w:rFonts w:cs="Arial"/>
        </w:rPr>
        <w:t xml:space="preserve"> </w:t>
      </w:r>
      <w:r w:rsidRPr="00111DC0">
        <w:rPr>
          <w:rFonts w:cs="Arial"/>
        </w:rPr>
        <w:t xml:space="preserve">A2 (77% </w:t>
      </w:r>
      <w:r w:rsidR="00A00A20" w:rsidRPr="00111DC0">
        <w:rPr>
          <w:rFonts w:cs="Arial"/>
        </w:rPr>
        <w:t xml:space="preserve">de </w:t>
      </w:r>
      <w:r w:rsidRPr="00111DC0">
        <w:rPr>
          <w:rFonts w:cs="Arial"/>
        </w:rPr>
        <w:t>mujeres)</w:t>
      </w:r>
      <w:r w:rsidR="00324706" w:rsidRPr="00111DC0">
        <w:rPr>
          <w:rFonts w:cs="Arial"/>
        </w:rPr>
        <w:t xml:space="preserve">. </w:t>
      </w:r>
      <w:proofErr w:type="gramStart"/>
      <w:r w:rsidRPr="00111DC0">
        <w:rPr>
          <w:rFonts w:cs="Arial"/>
        </w:rPr>
        <w:t>y</w:t>
      </w:r>
      <w:proofErr w:type="gramEnd"/>
      <w:r w:rsidRPr="00111DC0">
        <w:rPr>
          <w:rFonts w:cs="Arial"/>
        </w:rPr>
        <w:t xml:space="preserve"> </w:t>
      </w:r>
      <w:r w:rsidR="00A00A20" w:rsidRPr="00111DC0">
        <w:rPr>
          <w:rFonts w:cs="Arial"/>
        </w:rPr>
        <w:t xml:space="preserve">un descenso en la presencia de mujeres en el Grupo </w:t>
      </w:r>
      <w:r w:rsidRPr="00111DC0">
        <w:rPr>
          <w:rFonts w:cs="Arial"/>
        </w:rPr>
        <w:t>A1 (62%)</w:t>
      </w:r>
      <w:r w:rsidR="00324706" w:rsidRPr="00111DC0">
        <w:rPr>
          <w:rFonts w:cs="Arial"/>
        </w:rPr>
        <w:t xml:space="preserve">. Adicionalmente, </w:t>
      </w:r>
      <w:r w:rsidR="00A00A20" w:rsidRPr="00111DC0">
        <w:rPr>
          <w:rFonts w:cs="Arial"/>
        </w:rPr>
        <w:t>la concentración de hombres en el Grupo A1 (56%) es notablemente mayor que la de mujeres (39%).</w:t>
      </w:r>
    </w:p>
    <w:p w14:paraId="6F4A358A" w14:textId="1DA22620" w:rsidR="00613309" w:rsidRPr="00111DC0" w:rsidRDefault="00613309" w:rsidP="00350BA5">
      <w:pPr>
        <w:spacing w:after="0"/>
        <w:rPr>
          <w:rFonts w:cs="Arial"/>
        </w:rPr>
      </w:pPr>
      <w:r w:rsidRPr="00111DC0">
        <w:rPr>
          <w:rFonts w:cs="Arial"/>
          <w:noProof/>
          <w:sz w:val="20"/>
          <w:szCs w:val="18"/>
          <w:lang w:eastAsia="es-ES"/>
        </w:rPr>
        <w:drawing>
          <wp:inline distT="0" distB="0" distL="0" distR="0" wp14:anchorId="23C7C820" wp14:editId="4255467F">
            <wp:extent cx="277978" cy="277978"/>
            <wp:effectExtent l="0" t="0" r="0" b="0"/>
            <wp:docPr id="112" name="Gráfico 112"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5 </w:t>
      </w:r>
      <w:r w:rsidRPr="00E65480">
        <w:rPr>
          <w:rFonts w:cs="Arial"/>
          <w:b/>
          <w:bCs/>
        </w:rPr>
        <w:t xml:space="preserve">- Entre el personal laboral, la presencia de mujeres disminuye </w:t>
      </w:r>
      <w:r w:rsidR="00A00A20" w:rsidRPr="00E65480">
        <w:rPr>
          <w:rFonts w:cs="Arial"/>
          <w:b/>
          <w:bCs/>
        </w:rPr>
        <w:t xml:space="preserve">sensiblemente </w:t>
      </w:r>
      <w:r w:rsidRPr="00E65480">
        <w:rPr>
          <w:rFonts w:cs="Arial"/>
          <w:b/>
          <w:bCs/>
        </w:rPr>
        <w:t>a medida que se especializa</w:t>
      </w:r>
      <w:r w:rsidRPr="00111DC0">
        <w:rPr>
          <w:rFonts w:cs="Arial"/>
        </w:rPr>
        <w:t xml:space="preserve"> el grado de titulación exigido para cada Grupo profesional</w:t>
      </w:r>
      <w:r w:rsidR="00A00A20" w:rsidRPr="00111DC0">
        <w:rPr>
          <w:rFonts w:cs="Arial"/>
        </w:rPr>
        <w:t>, por ejemplo: 41% en el Grupo A frente al 70% del Grupo D.</w:t>
      </w:r>
    </w:p>
    <w:p w14:paraId="1766F77D" w14:textId="7DB0AF81" w:rsidR="00613309" w:rsidRPr="00111DC0" w:rsidRDefault="00613309" w:rsidP="00350BA5">
      <w:pPr>
        <w:spacing w:after="0"/>
        <w:rPr>
          <w:rFonts w:cs="Arial"/>
        </w:rPr>
      </w:pPr>
      <w:r w:rsidRPr="00111DC0">
        <w:rPr>
          <w:rFonts w:cs="Arial"/>
          <w:noProof/>
          <w:sz w:val="20"/>
          <w:szCs w:val="18"/>
          <w:lang w:eastAsia="es-ES"/>
        </w:rPr>
        <w:drawing>
          <wp:inline distT="0" distB="0" distL="0" distR="0" wp14:anchorId="3550B742" wp14:editId="7493246F">
            <wp:extent cx="277978" cy="277978"/>
            <wp:effectExtent l="0" t="0" r="0" b="0"/>
            <wp:docPr id="113" name="Gráfico 113"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6 </w:t>
      </w:r>
      <w:r w:rsidRPr="00E65480">
        <w:rPr>
          <w:rFonts w:cs="Arial"/>
          <w:b/>
          <w:bCs/>
        </w:rPr>
        <w:t>- Por niveles, también sucede una pérdida relativa de plantilla femenina en los niveles más altos</w:t>
      </w:r>
      <w:r w:rsidRPr="00111DC0">
        <w:rPr>
          <w:rFonts w:cs="Arial"/>
        </w:rPr>
        <w:t xml:space="preserve"> del funcionariado: en los niveles del 24 al 28 la concentración de empleadas es del 14%, mientras que la de empleados es del 22%.</w:t>
      </w:r>
    </w:p>
    <w:p w14:paraId="1ABC4B98" w14:textId="423C1988" w:rsidR="00613309" w:rsidRPr="00111DC0" w:rsidRDefault="00613309" w:rsidP="00350BA5">
      <w:pPr>
        <w:spacing w:after="0"/>
        <w:rPr>
          <w:rFonts w:cs="Arial"/>
        </w:rPr>
      </w:pPr>
    </w:p>
    <w:p w14:paraId="6F34095B" w14:textId="77777777" w:rsidR="00FB7CF3" w:rsidRPr="00111DC0" w:rsidRDefault="00FB7CF3" w:rsidP="00350BA5">
      <w:pPr>
        <w:spacing w:after="0"/>
        <w:rPr>
          <w:rFonts w:cs="Arial"/>
        </w:rPr>
      </w:pPr>
    </w:p>
    <w:p w14:paraId="3A57DCB9" w14:textId="77777777" w:rsidR="00FB7CF3" w:rsidRPr="00111DC0" w:rsidRDefault="00FB7CF3" w:rsidP="00350BA5">
      <w:pPr>
        <w:spacing w:after="0"/>
        <w:jc w:val="left"/>
        <w:rPr>
          <w:rFonts w:cs="Arial"/>
        </w:rPr>
      </w:pPr>
    </w:p>
    <w:p w14:paraId="3A6ADC6C" w14:textId="77777777" w:rsidR="00F053C8" w:rsidRDefault="00F053C8" w:rsidP="00024B4E">
      <w:pPr>
        <w:pStyle w:val="Ttulo2"/>
      </w:pPr>
      <w:r>
        <w:br w:type="page"/>
      </w:r>
    </w:p>
    <w:p w14:paraId="5AB21DF3" w14:textId="75222824" w:rsidR="0097355B" w:rsidRPr="00111DC0" w:rsidRDefault="00D9528A" w:rsidP="00024B4E">
      <w:pPr>
        <w:pStyle w:val="Ttulo2"/>
      </w:pPr>
      <w:bookmarkStart w:id="16" w:name="_Toc122080791"/>
      <w:r w:rsidRPr="00111DC0">
        <w:t>Acceso al empleo público</w:t>
      </w:r>
      <w:bookmarkEnd w:id="16"/>
      <w:r w:rsidR="002C7865" w:rsidRPr="00111DC0">
        <w:t xml:space="preserve"> </w:t>
      </w:r>
    </w:p>
    <w:p w14:paraId="47361E17" w14:textId="022D3293" w:rsidR="00B832E2" w:rsidRPr="00111DC0" w:rsidRDefault="00B832E2" w:rsidP="00350BA5">
      <w:pPr>
        <w:spacing w:after="0"/>
        <w:rPr>
          <w:rFonts w:cs="Arial"/>
        </w:rPr>
      </w:pPr>
    </w:p>
    <w:p w14:paraId="638FD066" w14:textId="43D302AA" w:rsidR="00801CF6" w:rsidRPr="00C45F52" w:rsidRDefault="00C45F52" w:rsidP="00706AB3">
      <w:pPr>
        <w:rPr>
          <w:rFonts w:cs="Arial"/>
        </w:rPr>
      </w:pPr>
      <w:r>
        <w:rPr>
          <w:rFonts w:cs="Arial"/>
          <w:b/>
          <w:bCs/>
        </w:rPr>
        <w:t>E</w:t>
      </w:r>
      <w:r w:rsidR="00A90AC3" w:rsidRPr="00C45F52">
        <w:rPr>
          <w:rFonts w:cs="Arial"/>
          <w:b/>
          <w:bCs/>
        </w:rPr>
        <w:t xml:space="preserve">l </w:t>
      </w:r>
      <w:r w:rsidR="00706AB3" w:rsidRPr="00C45F52">
        <w:rPr>
          <w:rFonts w:cs="Arial"/>
          <w:b/>
          <w:bCs/>
        </w:rPr>
        <w:t xml:space="preserve">69% de empleadas </w:t>
      </w:r>
      <w:r w:rsidR="00A90AC3" w:rsidRPr="00C45F52">
        <w:rPr>
          <w:rFonts w:cs="Arial"/>
          <w:b/>
          <w:bCs/>
        </w:rPr>
        <w:t xml:space="preserve">y el 78% de empleados </w:t>
      </w:r>
      <w:proofErr w:type="gramStart"/>
      <w:r w:rsidR="00706AB3" w:rsidRPr="00C45F52">
        <w:rPr>
          <w:rFonts w:cs="Arial"/>
          <w:b/>
          <w:bCs/>
        </w:rPr>
        <w:t>considera</w:t>
      </w:r>
      <w:proofErr w:type="gramEnd"/>
      <w:r w:rsidR="00706AB3" w:rsidRPr="00C45F52">
        <w:rPr>
          <w:rFonts w:cs="Arial"/>
          <w:b/>
          <w:bCs/>
        </w:rPr>
        <w:t xml:space="preserve"> que existe igualdad entre mujeres y hombres en la selección de personal</w:t>
      </w:r>
      <w:r>
        <w:rPr>
          <w:rFonts w:cs="Arial"/>
          <w:b/>
          <w:bCs/>
        </w:rPr>
        <w:t xml:space="preserve"> </w:t>
      </w:r>
      <w:r>
        <w:rPr>
          <w:rFonts w:cs="Arial"/>
        </w:rPr>
        <w:t xml:space="preserve">en la Administración General. </w:t>
      </w:r>
    </w:p>
    <w:p w14:paraId="40B6ADC1" w14:textId="111A1039" w:rsidR="008C53F4" w:rsidRDefault="009D6127" w:rsidP="00A442AB">
      <w:r w:rsidRPr="00111DC0">
        <w:rPr>
          <w:noProof/>
          <w:lang w:eastAsia="es-ES"/>
        </w:rPr>
        <w:drawing>
          <wp:inline distT="0" distB="0" distL="0" distR="0" wp14:anchorId="6192BA4B" wp14:editId="463DBC91">
            <wp:extent cx="5334000" cy="2600325"/>
            <wp:effectExtent l="0" t="0" r="0" b="0"/>
            <wp:docPr id="3" name="Gráfico 3"/>
            <wp:cNvGraphicFramePr/>
            <a:graphic xmlns:a="http://schemas.openxmlformats.org/drawingml/2006/main">
              <a:graphicData uri="http://schemas.openxmlformats.org/drawingml/2006/chart">
                <c:chart xmlns:c="http://schemas.openxmlformats.org/drawingml/2006/chart" r:id="rId38"/>
              </a:graphicData>
            </a:graphic>
          </wp:inline>
        </w:drawing>
      </w:r>
    </w:p>
    <w:p w14:paraId="1690FDC4" w14:textId="77777777" w:rsidR="00626700" w:rsidRDefault="00626700" w:rsidP="00626700"/>
    <w:p w14:paraId="766742E7" w14:textId="4977DE1E" w:rsidR="00AE381B" w:rsidRPr="00111DC0" w:rsidRDefault="006436AF" w:rsidP="004B6A1B">
      <w:pPr>
        <w:pStyle w:val="Ttulo3"/>
        <w:rPr>
          <w:rFonts w:eastAsia="Helvetica Neue" w:cs="Arial"/>
        </w:rPr>
      </w:pPr>
      <w:r w:rsidRPr="00111DC0">
        <w:rPr>
          <w:rFonts w:cs="Arial"/>
        </w:rPr>
        <w:t xml:space="preserve">Procesos selectivos </w:t>
      </w:r>
    </w:p>
    <w:p w14:paraId="6286F127" w14:textId="480C5B82" w:rsidR="002F73ED" w:rsidRPr="00111DC0" w:rsidRDefault="002F73ED" w:rsidP="00DE69A1">
      <w:pPr>
        <w:pStyle w:val="Ttulo4"/>
        <w:rPr>
          <w:rFonts w:cs="Arial"/>
        </w:rPr>
      </w:pPr>
      <w:r w:rsidRPr="00111DC0">
        <w:rPr>
          <w:rFonts w:cs="Arial"/>
        </w:rPr>
        <w:t>Servicios Generales</w:t>
      </w:r>
    </w:p>
    <w:p w14:paraId="6BE9E420" w14:textId="77777777" w:rsidR="00626700" w:rsidRDefault="00DA23AB" w:rsidP="0020712F">
      <w:pPr>
        <w:rPr>
          <w:b/>
          <w:bCs/>
        </w:rPr>
      </w:pPr>
      <w:r w:rsidRPr="00907A96">
        <w:rPr>
          <w:b/>
          <w:bCs/>
        </w:rPr>
        <w:t>Desde 2017 hasta 2021 las mujeres han sido mayoría e</w:t>
      </w:r>
      <w:r w:rsidR="000861F1" w:rsidRPr="00907A96">
        <w:rPr>
          <w:b/>
          <w:bCs/>
        </w:rPr>
        <w:t>n la participación de los procesos selectivos</w:t>
      </w:r>
      <w:r w:rsidR="00626700">
        <w:rPr>
          <w:b/>
          <w:bCs/>
        </w:rPr>
        <w:t>:</w:t>
      </w:r>
      <w:r w:rsidR="000861F1" w:rsidRPr="00907A96">
        <w:rPr>
          <w:b/>
          <w:bCs/>
        </w:rPr>
        <w:t xml:space="preserve"> </w:t>
      </w:r>
    </w:p>
    <w:p w14:paraId="088EA15D" w14:textId="03B5AE3C" w:rsidR="00E06BCB" w:rsidRPr="00111DC0" w:rsidRDefault="00E06BCB" w:rsidP="0020712F">
      <w:r w:rsidRPr="00111DC0">
        <w:rPr>
          <w:noProof/>
          <w:lang w:eastAsia="es-ES"/>
        </w:rPr>
        <w:drawing>
          <wp:inline distT="0" distB="0" distL="0" distR="0" wp14:anchorId="6C393926" wp14:editId="34CBA640">
            <wp:extent cx="5219700" cy="2514600"/>
            <wp:effectExtent l="0" t="0" r="0" b="0"/>
            <wp:docPr id="33" name="Gráfico 33"/>
            <wp:cNvGraphicFramePr/>
            <a:graphic xmlns:a="http://schemas.openxmlformats.org/drawingml/2006/main">
              <a:graphicData uri="http://schemas.openxmlformats.org/drawingml/2006/chart">
                <c:chart xmlns:c="http://schemas.openxmlformats.org/drawingml/2006/chart" r:id="rId39"/>
              </a:graphicData>
            </a:graphic>
          </wp:inline>
        </w:drawing>
      </w:r>
    </w:p>
    <w:p w14:paraId="6D27ADA4" w14:textId="52BDF198" w:rsidR="000861F1" w:rsidRPr="00111DC0" w:rsidRDefault="000861F1">
      <w:pPr>
        <w:spacing w:before="0" w:after="160" w:line="259" w:lineRule="auto"/>
        <w:jc w:val="left"/>
        <w:rPr>
          <w:rFonts w:cs="Arial"/>
        </w:rPr>
      </w:pPr>
    </w:p>
    <w:p w14:paraId="70ADD188" w14:textId="13CC2F98" w:rsidR="00741D54" w:rsidRPr="00C45F52" w:rsidRDefault="00C45F52" w:rsidP="00626700">
      <w:pPr>
        <w:rPr>
          <w:rFonts w:cs="Arial"/>
        </w:rPr>
      </w:pPr>
      <w:r>
        <w:rPr>
          <w:rFonts w:cs="Arial"/>
        </w:rPr>
        <w:t>E</w:t>
      </w:r>
      <w:r w:rsidR="003C6F6C" w:rsidRPr="00111DC0">
        <w:rPr>
          <w:rFonts w:cs="Arial"/>
        </w:rPr>
        <w:t>ntre las convocatorias de los procesos selectivos de Turno Libre y Reserva de personas con discapacidad</w:t>
      </w:r>
      <w:r w:rsidR="001E2444" w:rsidRPr="00111DC0">
        <w:rPr>
          <w:rFonts w:cs="Arial"/>
        </w:rPr>
        <w:t xml:space="preserve"> </w:t>
      </w:r>
      <w:r w:rsidR="00CB14DA" w:rsidRPr="00111DC0">
        <w:rPr>
          <w:rFonts w:cs="Arial"/>
        </w:rPr>
        <w:t xml:space="preserve">OPE acumulada </w:t>
      </w:r>
      <w:r w:rsidR="001E2444" w:rsidRPr="00111DC0">
        <w:rPr>
          <w:rFonts w:cs="Arial"/>
        </w:rPr>
        <w:t>(2017-2020)</w:t>
      </w:r>
      <w:r w:rsidR="003C6F6C" w:rsidRPr="00111DC0">
        <w:rPr>
          <w:rFonts w:cs="Arial"/>
        </w:rPr>
        <w:t xml:space="preserve">, </w:t>
      </w:r>
      <w:r w:rsidR="00626700">
        <w:rPr>
          <w:rFonts w:cs="Arial"/>
        </w:rPr>
        <w:t>los datos muestran amplias brechas que manifiestan</w:t>
      </w:r>
      <w:r w:rsidR="00741D54" w:rsidRPr="00111DC0">
        <w:rPr>
          <w:rFonts w:cs="Arial"/>
        </w:rPr>
        <w:t xml:space="preserve"> una realidad social mayor: </w:t>
      </w:r>
      <w:r w:rsidR="00741D54" w:rsidRPr="00626700">
        <w:rPr>
          <w:rFonts w:cs="Arial"/>
          <w:b/>
          <w:bCs/>
        </w:rPr>
        <w:t xml:space="preserve">la segregación de </w:t>
      </w:r>
      <w:r w:rsidR="007927DB" w:rsidRPr="00626700">
        <w:rPr>
          <w:rFonts w:cs="Arial"/>
          <w:b/>
          <w:bCs/>
        </w:rPr>
        <w:t xml:space="preserve">género de </w:t>
      </w:r>
      <w:r w:rsidR="00741D54" w:rsidRPr="00626700">
        <w:rPr>
          <w:rFonts w:cs="Arial"/>
          <w:b/>
          <w:bCs/>
        </w:rPr>
        <w:t>partida que comienza desde las más tempranas edades y se acentúa en los estudios u opciones formativas, deriva en la configuración del mercado laboral</w:t>
      </w:r>
      <w:r w:rsidR="007927DB" w:rsidRPr="00626700">
        <w:rPr>
          <w:rFonts w:cs="Arial"/>
          <w:b/>
          <w:bCs/>
        </w:rPr>
        <w:t>,</w:t>
      </w:r>
      <w:r w:rsidR="007927DB" w:rsidRPr="00C45F52">
        <w:rPr>
          <w:rFonts w:cs="Arial"/>
        </w:rPr>
        <w:t xml:space="preserve"> particularmente </w:t>
      </w:r>
      <w:r w:rsidR="005943F1" w:rsidRPr="00C45F52">
        <w:rPr>
          <w:rFonts w:cs="Arial"/>
        </w:rPr>
        <w:t xml:space="preserve">en el empleo público </w:t>
      </w:r>
      <w:r w:rsidR="007927DB" w:rsidRPr="00C45F52">
        <w:rPr>
          <w:rFonts w:cs="Arial"/>
        </w:rPr>
        <w:t xml:space="preserve">a través de los </w:t>
      </w:r>
      <w:r w:rsidR="00B75F96" w:rsidRPr="00C45F52">
        <w:rPr>
          <w:rFonts w:cs="Arial"/>
        </w:rPr>
        <w:t>C</w:t>
      </w:r>
      <w:r w:rsidR="007927DB" w:rsidRPr="00C45F52">
        <w:rPr>
          <w:rFonts w:cs="Arial"/>
        </w:rPr>
        <w:t>uerpos a los que se accede y puestos que se desempeñan</w:t>
      </w:r>
      <w:r w:rsidR="00741D54" w:rsidRPr="00C45F52">
        <w:rPr>
          <w:rFonts w:cs="Arial"/>
        </w:rPr>
        <w:t xml:space="preserve">. </w:t>
      </w:r>
    </w:p>
    <w:p w14:paraId="0660F904" w14:textId="3C4CFB4A" w:rsidR="00DC7A05" w:rsidRPr="00111DC0" w:rsidRDefault="00DC7A05" w:rsidP="00350BA5">
      <w:pPr>
        <w:spacing w:after="0"/>
        <w:rPr>
          <w:rFonts w:cs="Arial"/>
        </w:rPr>
      </w:pPr>
      <w:r w:rsidRPr="00111DC0">
        <w:rPr>
          <w:rFonts w:cs="Arial"/>
          <w:noProof/>
          <w:lang w:eastAsia="es-ES"/>
        </w:rPr>
        <w:drawing>
          <wp:inline distT="0" distB="0" distL="0" distR="0" wp14:anchorId="70510E56" wp14:editId="59702BF5">
            <wp:extent cx="5349240" cy="2766252"/>
            <wp:effectExtent l="0" t="0" r="0" b="0"/>
            <wp:docPr id="34" name="Gráfico 34"/>
            <wp:cNvGraphicFramePr/>
            <a:graphic xmlns:a="http://schemas.openxmlformats.org/drawingml/2006/main">
              <a:graphicData uri="http://schemas.openxmlformats.org/drawingml/2006/chart">
                <c:chart xmlns:c="http://schemas.openxmlformats.org/drawingml/2006/chart" r:id="rId40"/>
              </a:graphicData>
            </a:graphic>
          </wp:inline>
        </w:drawing>
      </w:r>
    </w:p>
    <w:p w14:paraId="6CE7F112" w14:textId="7AA3A084" w:rsidR="0085367F" w:rsidRPr="00111DC0" w:rsidRDefault="00626700" w:rsidP="00626700">
      <w:pPr>
        <w:rPr>
          <w:rFonts w:cs="Arial"/>
        </w:rPr>
      </w:pPr>
      <w:r>
        <w:rPr>
          <w:rFonts w:cs="Arial"/>
        </w:rPr>
        <w:t>Esta realidad de la segregación por género se refuerza en</w:t>
      </w:r>
      <w:r w:rsidR="001E2444" w:rsidRPr="00111DC0">
        <w:rPr>
          <w:rFonts w:cs="Arial"/>
        </w:rPr>
        <w:t xml:space="preserve"> </w:t>
      </w:r>
      <w:r>
        <w:rPr>
          <w:rFonts w:cs="Arial"/>
        </w:rPr>
        <w:t xml:space="preserve">datos de </w:t>
      </w:r>
      <w:r w:rsidR="001E2444" w:rsidRPr="00111DC0">
        <w:rPr>
          <w:rFonts w:cs="Arial"/>
        </w:rPr>
        <w:t xml:space="preserve">los procesos selectivos de la </w:t>
      </w:r>
      <w:r w:rsidR="00D66E9A" w:rsidRPr="00111DC0">
        <w:rPr>
          <w:rFonts w:cs="Arial"/>
        </w:rPr>
        <w:t>OPE</w:t>
      </w:r>
      <w:r w:rsidR="001E2444" w:rsidRPr="00111DC0">
        <w:rPr>
          <w:rFonts w:cs="Arial"/>
        </w:rPr>
        <w:t xml:space="preserve"> (2017</w:t>
      </w:r>
      <w:r>
        <w:rPr>
          <w:rFonts w:cs="Arial"/>
        </w:rPr>
        <w:t>:</w:t>
      </w:r>
    </w:p>
    <w:tbl>
      <w:tblPr>
        <w:tblStyle w:val="Tablaconcuadrcula"/>
        <w:tblW w:w="0" w:type="auto"/>
        <w:tblInd w:w="108" w:type="dxa"/>
        <w:tblLook w:val="04A0" w:firstRow="1" w:lastRow="0" w:firstColumn="1" w:lastColumn="0" w:noHBand="0" w:noVBand="1"/>
      </w:tblPr>
      <w:tblGrid>
        <w:gridCol w:w="2723"/>
        <w:gridCol w:w="2831"/>
        <w:gridCol w:w="2951"/>
      </w:tblGrid>
      <w:tr w:rsidR="004A5ED2" w:rsidRPr="00111DC0" w14:paraId="07D4BA54" w14:textId="77777777" w:rsidTr="00626700">
        <w:trPr>
          <w:trHeight w:val="359"/>
        </w:trPr>
        <w:tc>
          <w:tcPr>
            <w:tcW w:w="8505" w:type="dxa"/>
            <w:gridSpan w:val="3"/>
            <w:tcBorders>
              <w:top w:val="double" w:sz="4" w:space="0" w:color="auto"/>
              <w:left w:val="double" w:sz="4" w:space="0" w:color="auto"/>
              <w:bottom w:val="double" w:sz="4" w:space="0" w:color="auto"/>
              <w:right w:val="double" w:sz="4" w:space="0" w:color="auto"/>
            </w:tcBorders>
            <w:shd w:val="clear" w:color="auto" w:fill="78BE20"/>
            <w:vAlign w:val="center"/>
          </w:tcPr>
          <w:p w14:paraId="169FB44D" w14:textId="1C1D5896" w:rsidR="004A5ED2" w:rsidRPr="00111DC0" w:rsidRDefault="004A5ED2" w:rsidP="00FD7CBE">
            <w:pPr>
              <w:widowControl w:val="0"/>
              <w:spacing w:before="0" w:after="0" w:line="240" w:lineRule="auto"/>
              <w:jc w:val="left"/>
              <w:rPr>
                <w:rFonts w:cs="Arial"/>
                <w:b/>
                <w:bCs/>
                <w:color w:val="FFFFFF" w:themeColor="background1"/>
                <w:szCs w:val="20"/>
              </w:rPr>
            </w:pPr>
            <w:r w:rsidRPr="00111DC0">
              <w:rPr>
                <w:rFonts w:cs="Arial"/>
                <w:b/>
                <w:bCs/>
                <w:color w:val="FFFFFF" w:themeColor="background1"/>
                <w:szCs w:val="20"/>
              </w:rPr>
              <w:t xml:space="preserve">Tabla </w:t>
            </w:r>
            <w:r w:rsidR="00450DF4" w:rsidRPr="00111DC0">
              <w:rPr>
                <w:rFonts w:cs="Arial"/>
                <w:b/>
                <w:bCs/>
                <w:color w:val="FFFFFF" w:themeColor="background1"/>
                <w:szCs w:val="20"/>
              </w:rPr>
              <w:t>7</w:t>
            </w:r>
            <w:r w:rsidRPr="00111DC0">
              <w:rPr>
                <w:rFonts w:cs="Arial"/>
                <w:b/>
                <w:bCs/>
                <w:color w:val="FFFFFF" w:themeColor="background1"/>
                <w:szCs w:val="20"/>
              </w:rPr>
              <w:t>. Distribución por sexo y convocatoria</w:t>
            </w:r>
          </w:p>
        </w:tc>
      </w:tr>
      <w:tr w:rsidR="00C52FA7" w:rsidRPr="00111DC0" w14:paraId="4466B1EF" w14:textId="77777777" w:rsidTr="00626700">
        <w:trPr>
          <w:trHeight w:val="251"/>
        </w:trPr>
        <w:tc>
          <w:tcPr>
            <w:tcW w:w="2723" w:type="dxa"/>
            <w:tcBorders>
              <w:top w:val="double" w:sz="4" w:space="0" w:color="auto"/>
              <w:left w:val="double" w:sz="4" w:space="0" w:color="auto"/>
              <w:bottom w:val="double" w:sz="4" w:space="0" w:color="auto"/>
              <w:right w:val="double" w:sz="4" w:space="0" w:color="auto"/>
            </w:tcBorders>
            <w:vAlign w:val="center"/>
          </w:tcPr>
          <w:p w14:paraId="74CC016E" w14:textId="77777777" w:rsidR="00C52FA7" w:rsidRPr="00111DC0" w:rsidRDefault="00C52FA7" w:rsidP="00FD7CBE">
            <w:pPr>
              <w:spacing w:before="0" w:after="0"/>
              <w:jc w:val="left"/>
              <w:rPr>
                <w:rFonts w:cs="Arial"/>
              </w:rPr>
            </w:pPr>
          </w:p>
        </w:tc>
        <w:tc>
          <w:tcPr>
            <w:tcW w:w="2831" w:type="dxa"/>
            <w:tcBorders>
              <w:top w:val="double" w:sz="4" w:space="0" w:color="auto"/>
              <w:left w:val="double" w:sz="4" w:space="0" w:color="auto"/>
              <w:bottom w:val="double" w:sz="4" w:space="0" w:color="auto"/>
            </w:tcBorders>
            <w:vAlign w:val="center"/>
          </w:tcPr>
          <w:p w14:paraId="515FCAA0" w14:textId="0DA694F5" w:rsidR="00C52FA7" w:rsidRPr="00111DC0" w:rsidRDefault="00C52FA7" w:rsidP="00FD7CBE">
            <w:pPr>
              <w:spacing w:before="0" w:after="0"/>
              <w:jc w:val="center"/>
              <w:rPr>
                <w:rFonts w:cs="Arial"/>
              </w:rPr>
            </w:pPr>
            <w:r w:rsidRPr="00111DC0">
              <w:rPr>
                <w:rFonts w:cs="Arial"/>
                <w:b/>
                <w:bCs/>
                <w:sz w:val="20"/>
                <w:szCs w:val="18"/>
              </w:rPr>
              <w:t>MUJERES</w:t>
            </w:r>
          </w:p>
        </w:tc>
        <w:tc>
          <w:tcPr>
            <w:tcW w:w="2951" w:type="dxa"/>
            <w:tcBorders>
              <w:top w:val="double" w:sz="4" w:space="0" w:color="auto"/>
              <w:bottom w:val="double" w:sz="4" w:space="0" w:color="auto"/>
              <w:right w:val="double" w:sz="4" w:space="0" w:color="auto"/>
            </w:tcBorders>
            <w:vAlign w:val="center"/>
          </w:tcPr>
          <w:p w14:paraId="62ED4B18" w14:textId="4AAD2EDB" w:rsidR="00C52FA7" w:rsidRPr="00111DC0" w:rsidRDefault="00C52FA7" w:rsidP="00FD7CBE">
            <w:pPr>
              <w:spacing w:before="0" w:after="0"/>
              <w:jc w:val="center"/>
              <w:rPr>
                <w:rFonts w:cs="Arial"/>
              </w:rPr>
            </w:pPr>
            <w:r w:rsidRPr="00111DC0">
              <w:rPr>
                <w:rFonts w:cs="Arial"/>
                <w:b/>
                <w:bCs/>
                <w:sz w:val="20"/>
                <w:szCs w:val="18"/>
              </w:rPr>
              <w:t>HOMBRES</w:t>
            </w:r>
          </w:p>
        </w:tc>
      </w:tr>
      <w:tr w:rsidR="004A5ED2" w:rsidRPr="00111DC0" w14:paraId="5A58B117" w14:textId="77777777" w:rsidTr="00FE1163">
        <w:tc>
          <w:tcPr>
            <w:tcW w:w="2723" w:type="dxa"/>
            <w:tcBorders>
              <w:top w:val="double" w:sz="4" w:space="0" w:color="auto"/>
              <w:left w:val="double" w:sz="4" w:space="0" w:color="auto"/>
              <w:right w:val="double" w:sz="4" w:space="0" w:color="auto"/>
            </w:tcBorders>
            <w:vAlign w:val="center"/>
          </w:tcPr>
          <w:p w14:paraId="06FCDF84" w14:textId="166AA82D" w:rsidR="004A5ED2" w:rsidRPr="00626700" w:rsidRDefault="004A5ED2" w:rsidP="00A60E61">
            <w:pPr>
              <w:spacing w:before="0" w:after="0"/>
              <w:jc w:val="right"/>
              <w:rPr>
                <w:rFonts w:cs="Arial"/>
                <w:sz w:val="20"/>
                <w:szCs w:val="20"/>
              </w:rPr>
            </w:pPr>
            <w:r w:rsidRPr="00626700">
              <w:rPr>
                <w:rFonts w:cs="Arial"/>
                <w:sz w:val="20"/>
                <w:szCs w:val="20"/>
              </w:rPr>
              <w:t>Veterinario</w:t>
            </w:r>
          </w:p>
        </w:tc>
        <w:tc>
          <w:tcPr>
            <w:tcW w:w="2831" w:type="dxa"/>
            <w:tcBorders>
              <w:top w:val="double" w:sz="4" w:space="0" w:color="auto"/>
              <w:left w:val="double" w:sz="4" w:space="0" w:color="auto"/>
            </w:tcBorders>
            <w:vAlign w:val="center"/>
          </w:tcPr>
          <w:p w14:paraId="2E178ADE" w14:textId="3BBDCD2B" w:rsidR="004A5ED2" w:rsidRPr="00626700" w:rsidRDefault="00C52FA7" w:rsidP="00FD7CBE">
            <w:pPr>
              <w:spacing w:before="0" w:after="0"/>
              <w:jc w:val="center"/>
              <w:rPr>
                <w:rFonts w:cs="Arial"/>
                <w:sz w:val="20"/>
                <w:szCs w:val="20"/>
              </w:rPr>
            </w:pPr>
            <w:r w:rsidRPr="00626700">
              <w:rPr>
                <w:rFonts w:cs="Arial"/>
                <w:sz w:val="20"/>
                <w:szCs w:val="20"/>
              </w:rPr>
              <w:t>67%</w:t>
            </w:r>
          </w:p>
        </w:tc>
        <w:tc>
          <w:tcPr>
            <w:tcW w:w="2951" w:type="dxa"/>
            <w:tcBorders>
              <w:top w:val="double" w:sz="4" w:space="0" w:color="auto"/>
              <w:right w:val="double" w:sz="4" w:space="0" w:color="auto"/>
            </w:tcBorders>
            <w:vAlign w:val="center"/>
          </w:tcPr>
          <w:p w14:paraId="58373E2A" w14:textId="299ADF60" w:rsidR="004A5ED2" w:rsidRPr="00626700" w:rsidRDefault="00C52FA7" w:rsidP="00FD7CBE">
            <w:pPr>
              <w:spacing w:before="0" w:after="0"/>
              <w:jc w:val="center"/>
              <w:rPr>
                <w:rFonts w:cs="Arial"/>
                <w:sz w:val="20"/>
                <w:szCs w:val="20"/>
              </w:rPr>
            </w:pPr>
            <w:r w:rsidRPr="00626700">
              <w:rPr>
                <w:rFonts w:cs="Arial"/>
                <w:sz w:val="20"/>
                <w:szCs w:val="20"/>
              </w:rPr>
              <w:t>33%</w:t>
            </w:r>
          </w:p>
        </w:tc>
      </w:tr>
      <w:tr w:rsidR="004A5ED2" w:rsidRPr="00111DC0" w14:paraId="69725AA0" w14:textId="77777777" w:rsidTr="00FE1163">
        <w:tc>
          <w:tcPr>
            <w:tcW w:w="2723" w:type="dxa"/>
            <w:tcBorders>
              <w:left w:val="double" w:sz="4" w:space="0" w:color="auto"/>
              <w:right w:val="double" w:sz="4" w:space="0" w:color="auto"/>
            </w:tcBorders>
            <w:vAlign w:val="center"/>
          </w:tcPr>
          <w:p w14:paraId="178EA569" w14:textId="0FFB40A4" w:rsidR="004A5ED2" w:rsidRPr="00626700" w:rsidRDefault="004A5ED2" w:rsidP="00A60E61">
            <w:pPr>
              <w:spacing w:before="0" w:after="0"/>
              <w:jc w:val="right"/>
              <w:rPr>
                <w:rFonts w:cs="Arial"/>
                <w:sz w:val="20"/>
                <w:szCs w:val="20"/>
              </w:rPr>
            </w:pPr>
            <w:r w:rsidRPr="00626700">
              <w:rPr>
                <w:rFonts w:cs="Arial"/>
                <w:sz w:val="20"/>
                <w:szCs w:val="20"/>
              </w:rPr>
              <w:t>Agente forestal</w:t>
            </w:r>
            <w:r w:rsidR="002A27BD" w:rsidRPr="00626700">
              <w:rPr>
                <w:rFonts w:cs="Arial"/>
                <w:sz w:val="20"/>
                <w:szCs w:val="20"/>
              </w:rPr>
              <w:t xml:space="preserve"> A.E.</w:t>
            </w:r>
          </w:p>
        </w:tc>
        <w:tc>
          <w:tcPr>
            <w:tcW w:w="2831" w:type="dxa"/>
            <w:tcBorders>
              <w:left w:val="double" w:sz="4" w:space="0" w:color="auto"/>
            </w:tcBorders>
            <w:vAlign w:val="center"/>
          </w:tcPr>
          <w:p w14:paraId="566C6FC1" w14:textId="46F87330" w:rsidR="004A5ED2" w:rsidRPr="00626700" w:rsidRDefault="00C52FA7" w:rsidP="00FD7CBE">
            <w:pPr>
              <w:spacing w:before="0" w:after="0"/>
              <w:jc w:val="center"/>
              <w:rPr>
                <w:rFonts w:cs="Arial"/>
                <w:sz w:val="20"/>
                <w:szCs w:val="20"/>
              </w:rPr>
            </w:pPr>
            <w:r w:rsidRPr="00626700">
              <w:rPr>
                <w:rFonts w:cs="Arial"/>
                <w:sz w:val="20"/>
                <w:szCs w:val="20"/>
              </w:rPr>
              <w:t>5%</w:t>
            </w:r>
          </w:p>
        </w:tc>
        <w:tc>
          <w:tcPr>
            <w:tcW w:w="2951" w:type="dxa"/>
            <w:tcBorders>
              <w:right w:val="double" w:sz="4" w:space="0" w:color="auto"/>
            </w:tcBorders>
            <w:vAlign w:val="center"/>
          </w:tcPr>
          <w:p w14:paraId="19082B50" w14:textId="76419504" w:rsidR="004A5ED2" w:rsidRPr="00626700" w:rsidRDefault="00C52FA7" w:rsidP="00FD7CBE">
            <w:pPr>
              <w:spacing w:before="0" w:after="0"/>
              <w:jc w:val="center"/>
              <w:rPr>
                <w:rFonts w:cs="Arial"/>
                <w:sz w:val="20"/>
                <w:szCs w:val="20"/>
              </w:rPr>
            </w:pPr>
            <w:r w:rsidRPr="00626700">
              <w:rPr>
                <w:rFonts w:cs="Arial"/>
                <w:sz w:val="20"/>
                <w:szCs w:val="20"/>
              </w:rPr>
              <w:t>95%</w:t>
            </w:r>
          </w:p>
        </w:tc>
      </w:tr>
      <w:tr w:rsidR="004A5ED2" w:rsidRPr="00111DC0" w14:paraId="2FE446F9" w14:textId="77777777" w:rsidTr="00FE1163">
        <w:tc>
          <w:tcPr>
            <w:tcW w:w="2723" w:type="dxa"/>
            <w:tcBorders>
              <w:left w:val="double" w:sz="4" w:space="0" w:color="auto"/>
              <w:right w:val="double" w:sz="4" w:space="0" w:color="auto"/>
            </w:tcBorders>
            <w:vAlign w:val="center"/>
          </w:tcPr>
          <w:p w14:paraId="630B9FAA" w14:textId="3D976683" w:rsidR="004A5ED2" w:rsidRPr="00626700" w:rsidRDefault="009C23B9" w:rsidP="00A60E61">
            <w:pPr>
              <w:spacing w:before="0" w:after="0"/>
              <w:jc w:val="right"/>
              <w:rPr>
                <w:rFonts w:cs="Arial"/>
                <w:sz w:val="20"/>
                <w:szCs w:val="20"/>
              </w:rPr>
            </w:pPr>
            <w:r w:rsidRPr="00626700">
              <w:rPr>
                <w:rFonts w:cs="Arial"/>
                <w:sz w:val="20"/>
                <w:szCs w:val="20"/>
              </w:rPr>
              <w:t>Ing.</w:t>
            </w:r>
            <w:r w:rsidR="004A5ED2" w:rsidRPr="00626700">
              <w:rPr>
                <w:rFonts w:cs="Arial"/>
                <w:sz w:val="20"/>
                <w:szCs w:val="20"/>
              </w:rPr>
              <w:t xml:space="preserve"> De caminos y puertos</w:t>
            </w:r>
          </w:p>
        </w:tc>
        <w:tc>
          <w:tcPr>
            <w:tcW w:w="2831" w:type="dxa"/>
            <w:tcBorders>
              <w:left w:val="double" w:sz="4" w:space="0" w:color="auto"/>
            </w:tcBorders>
            <w:vAlign w:val="center"/>
          </w:tcPr>
          <w:p w14:paraId="4FF91A0B" w14:textId="1C57E4B5" w:rsidR="004A5ED2" w:rsidRPr="00626700" w:rsidRDefault="00C52FA7" w:rsidP="00FD7CBE">
            <w:pPr>
              <w:spacing w:before="0" w:after="0"/>
              <w:jc w:val="center"/>
              <w:rPr>
                <w:rFonts w:cs="Arial"/>
                <w:sz w:val="20"/>
                <w:szCs w:val="20"/>
              </w:rPr>
            </w:pPr>
            <w:r w:rsidRPr="00626700">
              <w:rPr>
                <w:rFonts w:cs="Arial"/>
                <w:sz w:val="20"/>
                <w:szCs w:val="20"/>
              </w:rPr>
              <w:t>29%</w:t>
            </w:r>
          </w:p>
        </w:tc>
        <w:tc>
          <w:tcPr>
            <w:tcW w:w="2951" w:type="dxa"/>
            <w:tcBorders>
              <w:right w:val="double" w:sz="4" w:space="0" w:color="auto"/>
            </w:tcBorders>
            <w:vAlign w:val="center"/>
          </w:tcPr>
          <w:p w14:paraId="2268F74F" w14:textId="0135D5CF" w:rsidR="004A5ED2" w:rsidRPr="00626700" w:rsidRDefault="00C52FA7" w:rsidP="00FD7CBE">
            <w:pPr>
              <w:spacing w:before="0" w:after="0"/>
              <w:jc w:val="center"/>
              <w:rPr>
                <w:rFonts w:cs="Arial"/>
                <w:sz w:val="20"/>
                <w:szCs w:val="20"/>
              </w:rPr>
            </w:pPr>
            <w:r w:rsidRPr="00626700">
              <w:rPr>
                <w:rFonts w:cs="Arial"/>
                <w:sz w:val="20"/>
                <w:szCs w:val="20"/>
              </w:rPr>
              <w:t>71%</w:t>
            </w:r>
          </w:p>
        </w:tc>
      </w:tr>
      <w:tr w:rsidR="004A5ED2" w:rsidRPr="00111DC0" w14:paraId="24BA144B" w14:textId="77777777" w:rsidTr="00FE1163">
        <w:tc>
          <w:tcPr>
            <w:tcW w:w="2723" w:type="dxa"/>
            <w:tcBorders>
              <w:left w:val="double" w:sz="4" w:space="0" w:color="auto"/>
              <w:right w:val="double" w:sz="4" w:space="0" w:color="auto"/>
            </w:tcBorders>
            <w:vAlign w:val="center"/>
          </w:tcPr>
          <w:p w14:paraId="63839DEA" w14:textId="14C28883" w:rsidR="004A5ED2" w:rsidRPr="00626700" w:rsidRDefault="004A5ED2" w:rsidP="00A60E61">
            <w:pPr>
              <w:spacing w:before="0" w:after="0"/>
              <w:jc w:val="right"/>
              <w:rPr>
                <w:rFonts w:cs="Arial"/>
                <w:sz w:val="20"/>
                <w:szCs w:val="20"/>
              </w:rPr>
            </w:pPr>
            <w:r w:rsidRPr="00626700">
              <w:rPr>
                <w:rFonts w:cs="Arial"/>
                <w:sz w:val="20"/>
                <w:szCs w:val="20"/>
              </w:rPr>
              <w:t>Auxiliar</w:t>
            </w:r>
            <w:r w:rsidR="002A27BD" w:rsidRPr="00626700">
              <w:rPr>
                <w:rFonts w:cs="Arial"/>
                <w:sz w:val="20"/>
                <w:szCs w:val="20"/>
              </w:rPr>
              <w:t xml:space="preserve"> A.G.</w:t>
            </w:r>
          </w:p>
        </w:tc>
        <w:tc>
          <w:tcPr>
            <w:tcW w:w="2831" w:type="dxa"/>
            <w:tcBorders>
              <w:left w:val="double" w:sz="4" w:space="0" w:color="auto"/>
            </w:tcBorders>
            <w:vAlign w:val="center"/>
          </w:tcPr>
          <w:p w14:paraId="4B4E0395" w14:textId="6D0BC795" w:rsidR="004A5ED2" w:rsidRPr="00626700" w:rsidRDefault="00C52FA7" w:rsidP="00FD7CBE">
            <w:pPr>
              <w:spacing w:before="0" w:after="0"/>
              <w:jc w:val="center"/>
              <w:rPr>
                <w:rFonts w:cs="Arial"/>
                <w:sz w:val="20"/>
                <w:szCs w:val="20"/>
              </w:rPr>
            </w:pPr>
            <w:r w:rsidRPr="00626700">
              <w:rPr>
                <w:rFonts w:cs="Arial"/>
                <w:sz w:val="20"/>
                <w:szCs w:val="20"/>
              </w:rPr>
              <w:t>77%</w:t>
            </w:r>
          </w:p>
        </w:tc>
        <w:tc>
          <w:tcPr>
            <w:tcW w:w="2951" w:type="dxa"/>
            <w:tcBorders>
              <w:right w:val="double" w:sz="4" w:space="0" w:color="auto"/>
            </w:tcBorders>
            <w:vAlign w:val="center"/>
          </w:tcPr>
          <w:p w14:paraId="0AEC4259" w14:textId="597CBDAE" w:rsidR="004A5ED2" w:rsidRPr="00626700" w:rsidRDefault="00C52FA7" w:rsidP="00FD7CBE">
            <w:pPr>
              <w:spacing w:before="0" w:after="0"/>
              <w:jc w:val="center"/>
              <w:rPr>
                <w:rFonts w:cs="Arial"/>
                <w:sz w:val="20"/>
                <w:szCs w:val="20"/>
              </w:rPr>
            </w:pPr>
            <w:r w:rsidRPr="00626700">
              <w:rPr>
                <w:rFonts w:cs="Arial"/>
                <w:sz w:val="20"/>
                <w:szCs w:val="20"/>
              </w:rPr>
              <w:t>23%</w:t>
            </w:r>
          </w:p>
        </w:tc>
      </w:tr>
      <w:tr w:rsidR="004A5ED2" w:rsidRPr="00111DC0" w14:paraId="6F52C8DF" w14:textId="77777777" w:rsidTr="00FE1163">
        <w:tc>
          <w:tcPr>
            <w:tcW w:w="2723" w:type="dxa"/>
            <w:tcBorders>
              <w:left w:val="double" w:sz="4" w:space="0" w:color="auto"/>
              <w:right w:val="double" w:sz="4" w:space="0" w:color="auto"/>
            </w:tcBorders>
            <w:vAlign w:val="center"/>
          </w:tcPr>
          <w:p w14:paraId="11A9516C" w14:textId="4B892793" w:rsidR="004A5ED2" w:rsidRPr="00626700" w:rsidRDefault="004A5ED2" w:rsidP="00A60E61">
            <w:pPr>
              <w:spacing w:before="0" w:after="0"/>
              <w:jc w:val="right"/>
              <w:rPr>
                <w:rFonts w:cs="Arial"/>
                <w:sz w:val="20"/>
                <w:szCs w:val="20"/>
              </w:rPr>
            </w:pPr>
            <w:r w:rsidRPr="00626700">
              <w:rPr>
                <w:rFonts w:cs="Arial"/>
                <w:sz w:val="20"/>
                <w:szCs w:val="20"/>
              </w:rPr>
              <w:t>Subalterno</w:t>
            </w:r>
            <w:r w:rsidR="002A27BD" w:rsidRPr="00626700">
              <w:rPr>
                <w:rFonts w:cs="Arial"/>
                <w:sz w:val="20"/>
                <w:szCs w:val="20"/>
              </w:rPr>
              <w:t xml:space="preserve"> A.G.</w:t>
            </w:r>
          </w:p>
        </w:tc>
        <w:tc>
          <w:tcPr>
            <w:tcW w:w="2831" w:type="dxa"/>
            <w:tcBorders>
              <w:left w:val="double" w:sz="4" w:space="0" w:color="auto"/>
            </w:tcBorders>
            <w:vAlign w:val="center"/>
          </w:tcPr>
          <w:p w14:paraId="27A55D59" w14:textId="43CCE385" w:rsidR="004A5ED2" w:rsidRPr="00626700" w:rsidRDefault="00C52FA7" w:rsidP="00FD7CBE">
            <w:pPr>
              <w:spacing w:before="0" w:after="0"/>
              <w:jc w:val="center"/>
              <w:rPr>
                <w:rFonts w:cs="Arial"/>
                <w:sz w:val="20"/>
                <w:szCs w:val="20"/>
              </w:rPr>
            </w:pPr>
            <w:r w:rsidRPr="00626700">
              <w:rPr>
                <w:rFonts w:cs="Arial"/>
                <w:sz w:val="20"/>
                <w:szCs w:val="20"/>
              </w:rPr>
              <w:t>65%</w:t>
            </w:r>
          </w:p>
        </w:tc>
        <w:tc>
          <w:tcPr>
            <w:tcW w:w="2951" w:type="dxa"/>
            <w:tcBorders>
              <w:right w:val="double" w:sz="4" w:space="0" w:color="auto"/>
            </w:tcBorders>
            <w:vAlign w:val="center"/>
          </w:tcPr>
          <w:p w14:paraId="0DFAF341" w14:textId="60C5D00E" w:rsidR="004A5ED2" w:rsidRPr="00626700" w:rsidRDefault="00C52FA7" w:rsidP="00FD7CBE">
            <w:pPr>
              <w:spacing w:before="0" w:after="0"/>
              <w:jc w:val="center"/>
              <w:rPr>
                <w:rFonts w:cs="Arial"/>
                <w:sz w:val="20"/>
                <w:szCs w:val="20"/>
              </w:rPr>
            </w:pPr>
            <w:r w:rsidRPr="00626700">
              <w:rPr>
                <w:rFonts w:cs="Arial"/>
                <w:sz w:val="20"/>
                <w:szCs w:val="20"/>
              </w:rPr>
              <w:t>35%</w:t>
            </w:r>
          </w:p>
        </w:tc>
      </w:tr>
      <w:tr w:rsidR="004A5ED2" w:rsidRPr="00111DC0" w14:paraId="2A9720EA" w14:textId="77777777" w:rsidTr="00FE1163">
        <w:tc>
          <w:tcPr>
            <w:tcW w:w="2723" w:type="dxa"/>
            <w:tcBorders>
              <w:left w:val="double" w:sz="4" w:space="0" w:color="auto"/>
              <w:right w:val="double" w:sz="4" w:space="0" w:color="auto"/>
            </w:tcBorders>
            <w:vAlign w:val="center"/>
          </w:tcPr>
          <w:p w14:paraId="55F0FF0F" w14:textId="03A3FAC9" w:rsidR="004A5ED2" w:rsidRPr="00626700" w:rsidRDefault="009C23B9" w:rsidP="00A60E61">
            <w:pPr>
              <w:spacing w:before="0" w:after="0"/>
              <w:jc w:val="right"/>
              <w:rPr>
                <w:rFonts w:cs="Arial"/>
                <w:sz w:val="20"/>
                <w:szCs w:val="20"/>
              </w:rPr>
            </w:pPr>
            <w:r w:rsidRPr="00626700">
              <w:rPr>
                <w:rFonts w:cs="Arial"/>
                <w:sz w:val="20"/>
                <w:szCs w:val="20"/>
              </w:rPr>
              <w:t>Ing.</w:t>
            </w:r>
            <w:r w:rsidR="004A5ED2" w:rsidRPr="00626700">
              <w:rPr>
                <w:rFonts w:cs="Arial"/>
                <w:sz w:val="20"/>
                <w:szCs w:val="20"/>
              </w:rPr>
              <w:t xml:space="preserve"> Montes</w:t>
            </w:r>
          </w:p>
        </w:tc>
        <w:tc>
          <w:tcPr>
            <w:tcW w:w="2831" w:type="dxa"/>
            <w:tcBorders>
              <w:left w:val="double" w:sz="4" w:space="0" w:color="auto"/>
            </w:tcBorders>
            <w:vAlign w:val="center"/>
          </w:tcPr>
          <w:p w14:paraId="1975B998" w14:textId="1E7D4BD2" w:rsidR="004A5ED2" w:rsidRPr="00626700" w:rsidRDefault="00C52FA7" w:rsidP="00FD7CBE">
            <w:pPr>
              <w:spacing w:before="0" w:after="0"/>
              <w:jc w:val="center"/>
              <w:rPr>
                <w:rFonts w:cs="Arial"/>
                <w:sz w:val="20"/>
                <w:szCs w:val="20"/>
              </w:rPr>
            </w:pPr>
            <w:r w:rsidRPr="00626700">
              <w:rPr>
                <w:rFonts w:cs="Arial"/>
                <w:sz w:val="20"/>
                <w:szCs w:val="20"/>
              </w:rPr>
              <w:t>52%</w:t>
            </w:r>
          </w:p>
        </w:tc>
        <w:tc>
          <w:tcPr>
            <w:tcW w:w="2951" w:type="dxa"/>
            <w:tcBorders>
              <w:right w:val="double" w:sz="4" w:space="0" w:color="auto"/>
            </w:tcBorders>
            <w:vAlign w:val="center"/>
          </w:tcPr>
          <w:p w14:paraId="545DB936" w14:textId="3A30B27B" w:rsidR="004A5ED2" w:rsidRPr="00626700" w:rsidRDefault="00C52FA7" w:rsidP="00FD7CBE">
            <w:pPr>
              <w:spacing w:before="0" w:after="0"/>
              <w:jc w:val="center"/>
              <w:rPr>
                <w:rFonts w:cs="Arial"/>
                <w:sz w:val="20"/>
                <w:szCs w:val="20"/>
              </w:rPr>
            </w:pPr>
            <w:r w:rsidRPr="00626700">
              <w:rPr>
                <w:rFonts w:cs="Arial"/>
                <w:sz w:val="20"/>
                <w:szCs w:val="20"/>
              </w:rPr>
              <w:t>48%</w:t>
            </w:r>
          </w:p>
        </w:tc>
      </w:tr>
      <w:tr w:rsidR="004A5ED2" w:rsidRPr="00111DC0" w14:paraId="4CD59CFD" w14:textId="77777777" w:rsidTr="00FE1163">
        <w:tc>
          <w:tcPr>
            <w:tcW w:w="2723" w:type="dxa"/>
            <w:tcBorders>
              <w:left w:val="double" w:sz="4" w:space="0" w:color="auto"/>
              <w:right w:val="double" w:sz="4" w:space="0" w:color="auto"/>
            </w:tcBorders>
            <w:vAlign w:val="center"/>
          </w:tcPr>
          <w:p w14:paraId="02D671C0" w14:textId="71DD08B4" w:rsidR="004A5ED2" w:rsidRPr="00626700" w:rsidRDefault="004A5ED2" w:rsidP="00A60E61">
            <w:pPr>
              <w:spacing w:before="0" w:after="0"/>
              <w:jc w:val="right"/>
              <w:rPr>
                <w:rFonts w:cs="Arial"/>
                <w:sz w:val="20"/>
                <w:szCs w:val="20"/>
              </w:rPr>
            </w:pPr>
            <w:r w:rsidRPr="00626700">
              <w:rPr>
                <w:rFonts w:cs="Arial"/>
                <w:sz w:val="20"/>
                <w:szCs w:val="20"/>
              </w:rPr>
              <w:t>Administrativo</w:t>
            </w:r>
            <w:r w:rsidR="002A27BD" w:rsidRPr="00626700">
              <w:rPr>
                <w:rFonts w:cs="Arial"/>
                <w:sz w:val="20"/>
                <w:szCs w:val="20"/>
              </w:rPr>
              <w:t xml:space="preserve"> A.G.</w:t>
            </w:r>
          </w:p>
        </w:tc>
        <w:tc>
          <w:tcPr>
            <w:tcW w:w="2831" w:type="dxa"/>
            <w:tcBorders>
              <w:left w:val="double" w:sz="4" w:space="0" w:color="auto"/>
            </w:tcBorders>
            <w:vAlign w:val="center"/>
          </w:tcPr>
          <w:p w14:paraId="77D683D3" w14:textId="1E6F5262" w:rsidR="004A5ED2" w:rsidRPr="00626700" w:rsidRDefault="00C52FA7" w:rsidP="00FD7CBE">
            <w:pPr>
              <w:spacing w:before="0" w:after="0"/>
              <w:jc w:val="center"/>
              <w:rPr>
                <w:rFonts w:cs="Arial"/>
                <w:sz w:val="20"/>
                <w:szCs w:val="20"/>
              </w:rPr>
            </w:pPr>
            <w:r w:rsidRPr="00626700">
              <w:rPr>
                <w:rFonts w:cs="Arial"/>
                <w:sz w:val="20"/>
                <w:szCs w:val="20"/>
              </w:rPr>
              <w:t>79%</w:t>
            </w:r>
          </w:p>
        </w:tc>
        <w:tc>
          <w:tcPr>
            <w:tcW w:w="2951" w:type="dxa"/>
            <w:tcBorders>
              <w:right w:val="double" w:sz="4" w:space="0" w:color="auto"/>
            </w:tcBorders>
            <w:vAlign w:val="center"/>
          </w:tcPr>
          <w:p w14:paraId="7B8C34E1" w14:textId="50131B9D" w:rsidR="004A5ED2" w:rsidRPr="00626700" w:rsidRDefault="00C52FA7" w:rsidP="00FD7CBE">
            <w:pPr>
              <w:spacing w:before="0" w:after="0"/>
              <w:jc w:val="center"/>
              <w:rPr>
                <w:rFonts w:cs="Arial"/>
                <w:sz w:val="20"/>
                <w:szCs w:val="20"/>
              </w:rPr>
            </w:pPr>
            <w:r w:rsidRPr="00626700">
              <w:rPr>
                <w:rFonts w:cs="Arial"/>
                <w:sz w:val="20"/>
                <w:szCs w:val="20"/>
              </w:rPr>
              <w:t>21%</w:t>
            </w:r>
          </w:p>
        </w:tc>
      </w:tr>
      <w:tr w:rsidR="004A5ED2" w:rsidRPr="00111DC0" w14:paraId="3B2EACE5" w14:textId="77777777" w:rsidTr="00FE1163">
        <w:tc>
          <w:tcPr>
            <w:tcW w:w="2723" w:type="dxa"/>
            <w:tcBorders>
              <w:left w:val="double" w:sz="4" w:space="0" w:color="auto"/>
              <w:right w:val="double" w:sz="4" w:space="0" w:color="auto"/>
            </w:tcBorders>
            <w:vAlign w:val="center"/>
          </w:tcPr>
          <w:p w14:paraId="39F47C7D" w14:textId="47A3C2F2" w:rsidR="004A5ED2" w:rsidRPr="00626700" w:rsidRDefault="004A5ED2" w:rsidP="00A60E61">
            <w:pPr>
              <w:spacing w:before="0" w:after="0"/>
              <w:jc w:val="right"/>
              <w:rPr>
                <w:rFonts w:cs="Arial"/>
                <w:sz w:val="20"/>
                <w:szCs w:val="20"/>
              </w:rPr>
            </w:pPr>
            <w:r w:rsidRPr="00626700">
              <w:rPr>
                <w:rFonts w:cs="Arial"/>
                <w:sz w:val="20"/>
                <w:szCs w:val="20"/>
              </w:rPr>
              <w:t>Gestión</w:t>
            </w:r>
            <w:r w:rsidR="002A27BD" w:rsidRPr="00626700">
              <w:rPr>
                <w:rFonts w:cs="Arial"/>
                <w:sz w:val="20"/>
                <w:szCs w:val="20"/>
              </w:rPr>
              <w:t xml:space="preserve"> A.G.</w:t>
            </w:r>
          </w:p>
        </w:tc>
        <w:tc>
          <w:tcPr>
            <w:tcW w:w="2831" w:type="dxa"/>
            <w:tcBorders>
              <w:left w:val="double" w:sz="4" w:space="0" w:color="auto"/>
            </w:tcBorders>
            <w:vAlign w:val="center"/>
          </w:tcPr>
          <w:p w14:paraId="7358946F" w14:textId="6D3ACDCC" w:rsidR="004A5ED2" w:rsidRPr="00626700" w:rsidRDefault="00C52FA7" w:rsidP="00FD7CBE">
            <w:pPr>
              <w:spacing w:before="0" w:after="0"/>
              <w:jc w:val="center"/>
              <w:rPr>
                <w:rFonts w:cs="Arial"/>
                <w:sz w:val="20"/>
                <w:szCs w:val="20"/>
              </w:rPr>
            </w:pPr>
            <w:r w:rsidRPr="00626700">
              <w:rPr>
                <w:rFonts w:cs="Arial"/>
                <w:sz w:val="20"/>
                <w:szCs w:val="20"/>
              </w:rPr>
              <w:t>79%</w:t>
            </w:r>
          </w:p>
        </w:tc>
        <w:tc>
          <w:tcPr>
            <w:tcW w:w="2951" w:type="dxa"/>
            <w:tcBorders>
              <w:right w:val="double" w:sz="4" w:space="0" w:color="auto"/>
            </w:tcBorders>
            <w:vAlign w:val="center"/>
          </w:tcPr>
          <w:p w14:paraId="28435C0A" w14:textId="07723A5F" w:rsidR="004A5ED2" w:rsidRPr="00626700" w:rsidRDefault="00C52FA7" w:rsidP="00FD7CBE">
            <w:pPr>
              <w:spacing w:before="0" w:after="0"/>
              <w:jc w:val="center"/>
              <w:rPr>
                <w:rFonts w:cs="Arial"/>
                <w:sz w:val="20"/>
                <w:szCs w:val="20"/>
              </w:rPr>
            </w:pPr>
            <w:r w:rsidRPr="00626700">
              <w:rPr>
                <w:rFonts w:cs="Arial"/>
                <w:sz w:val="20"/>
                <w:szCs w:val="20"/>
              </w:rPr>
              <w:t>21%</w:t>
            </w:r>
          </w:p>
        </w:tc>
      </w:tr>
      <w:tr w:rsidR="00C52FA7" w:rsidRPr="00111DC0" w14:paraId="08834475" w14:textId="77777777" w:rsidTr="00FE1163">
        <w:tc>
          <w:tcPr>
            <w:tcW w:w="2723" w:type="dxa"/>
            <w:tcBorders>
              <w:left w:val="double" w:sz="4" w:space="0" w:color="auto"/>
              <w:right w:val="double" w:sz="4" w:space="0" w:color="auto"/>
            </w:tcBorders>
            <w:vAlign w:val="center"/>
          </w:tcPr>
          <w:p w14:paraId="08ABAF0D" w14:textId="79CBBEAC" w:rsidR="00C52FA7" w:rsidRPr="00626700" w:rsidRDefault="00C52FA7" w:rsidP="00A60E61">
            <w:pPr>
              <w:spacing w:before="0" w:after="0"/>
              <w:jc w:val="right"/>
              <w:rPr>
                <w:rFonts w:cs="Arial"/>
                <w:sz w:val="20"/>
                <w:szCs w:val="20"/>
              </w:rPr>
            </w:pPr>
            <w:r w:rsidRPr="00626700">
              <w:rPr>
                <w:rFonts w:cs="Arial"/>
                <w:sz w:val="20"/>
                <w:szCs w:val="20"/>
              </w:rPr>
              <w:t xml:space="preserve">Ing. </w:t>
            </w:r>
            <w:proofErr w:type="spellStart"/>
            <w:r w:rsidRPr="00626700">
              <w:rPr>
                <w:rFonts w:cs="Arial"/>
                <w:sz w:val="20"/>
                <w:szCs w:val="20"/>
              </w:rPr>
              <w:t>Tco</w:t>
            </w:r>
            <w:proofErr w:type="spellEnd"/>
            <w:r w:rsidRPr="00626700">
              <w:rPr>
                <w:rFonts w:cs="Arial"/>
                <w:sz w:val="20"/>
                <w:szCs w:val="20"/>
              </w:rPr>
              <w:t>. Agrícola</w:t>
            </w:r>
          </w:p>
        </w:tc>
        <w:tc>
          <w:tcPr>
            <w:tcW w:w="2831" w:type="dxa"/>
            <w:tcBorders>
              <w:left w:val="double" w:sz="4" w:space="0" w:color="auto"/>
            </w:tcBorders>
            <w:vAlign w:val="center"/>
          </w:tcPr>
          <w:p w14:paraId="3D6741BE" w14:textId="5F9655B9" w:rsidR="00C52FA7" w:rsidRPr="00626700" w:rsidRDefault="00C52FA7" w:rsidP="00FD7CBE">
            <w:pPr>
              <w:spacing w:before="0" w:after="0"/>
              <w:jc w:val="center"/>
              <w:rPr>
                <w:rFonts w:cs="Arial"/>
                <w:sz w:val="20"/>
                <w:szCs w:val="20"/>
              </w:rPr>
            </w:pPr>
            <w:r w:rsidRPr="00626700">
              <w:rPr>
                <w:rFonts w:cs="Arial"/>
                <w:sz w:val="20"/>
                <w:szCs w:val="20"/>
              </w:rPr>
              <w:t>65%</w:t>
            </w:r>
          </w:p>
        </w:tc>
        <w:tc>
          <w:tcPr>
            <w:tcW w:w="2951" w:type="dxa"/>
            <w:tcBorders>
              <w:right w:val="double" w:sz="4" w:space="0" w:color="auto"/>
            </w:tcBorders>
            <w:vAlign w:val="center"/>
          </w:tcPr>
          <w:p w14:paraId="3D51DC75" w14:textId="76E0C986" w:rsidR="00C52FA7" w:rsidRPr="00626700" w:rsidRDefault="00C52FA7" w:rsidP="00FD7CBE">
            <w:pPr>
              <w:spacing w:before="0" w:after="0"/>
              <w:jc w:val="center"/>
              <w:rPr>
                <w:rFonts w:cs="Arial"/>
                <w:sz w:val="20"/>
                <w:szCs w:val="20"/>
              </w:rPr>
            </w:pPr>
            <w:r w:rsidRPr="00626700">
              <w:rPr>
                <w:rFonts w:cs="Arial"/>
                <w:sz w:val="20"/>
                <w:szCs w:val="20"/>
              </w:rPr>
              <w:t>35%</w:t>
            </w:r>
          </w:p>
        </w:tc>
      </w:tr>
      <w:tr w:rsidR="00C52FA7" w:rsidRPr="00111DC0" w14:paraId="341D9FD6" w14:textId="77777777" w:rsidTr="00FE1163">
        <w:tc>
          <w:tcPr>
            <w:tcW w:w="2723" w:type="dxa"/>
            <w:tcBorders>
              <w:left w:val="double" w:sz="4" w:space="0" w:color="auto"/>
              <w:right w:val="double" w:sz="4" w:space="0" w:color="auto"/>
            </w:tcBorders>
            <w:vAlign w:val="center"/>
          </w:tcPr>
          <w:p w14:paraId="2EE5E8B7" w14:textId="58DCCA27" w:rsidR="00C52FA7" w:rsidRPr="00626700" w:rsidRDefault="00C52FA7" w:rsidP="00A60E61">
            <w:pPr>
              <w:spacing w:before="0" w:after="0"/>
              <w:jc w:val="right"/>
              <w:rPr>
                <w:rFonts w:cs="Arial"/>
                <w:sz w:val="20"/>
                <w:szCs w:val="20"/>
              </w:rPr>
            </w:pPr>
            <w:r w:rsidRPr="00626700">
              <w:rPr>
                <w:rFonts w:cs="Arial"/>
                <w:sz w:val="20"/>
                <w:szCs w:val="20"/>
              </w:rPr>
              <w:t>Ing. Agrónomo</w:t>
            </w:r>
          </w:p>
        </w:tc>
        <w:tc>
          <w:tcPr>
            <w:tcW w:w="2831" w:type="dxa"/>
            <w:tcBorders>
              <w:left w:val="double" w:sz="4" w:space="0" w:color="auto"/>
            </w:tcBorders>
            <w:vAlign w:val="center"/>
          </w:tcPr>
          <w:p w14:paraId="451D6E66" w14:textId="25637ADE" w:rsidR="00C52FA7" w:rsidRPr="00626700" w:rsidRDefault="00C52FA7" w:rsidP="00FD7CBE">
            <w:pPr>
              <w:spacing w:before="0" w:after="0"/>
              <w:jc w:val="center"/>
              <w:rPr>
                <w:rFonts w:cs="Arial"/>
                <w:sz w:val="20"/>
                <w:szCs w:val="20"/>
              </w:rPr>
            </w:pPr>
            <w:r w:rsidRPr="00626700">
              <w:rPr>
                <w:rFonts w:cs="Arial"/>
                <w:sz w:val="20"/>
                <w:szCs w:val="20"/>
              </w:rPr>
              <w:t>59%</w:t>
            </w:r>
          </w:p>
        </w:tc>
        <w:tc>
          <w:tcPr>
            <w:tcW w:w="2951" w:type="dxa"/>
            <w:tcBorders>
              <w:right w:val="double" w:sz="4" w:space="0" w:color="auto"/>
            </w:tcBorders>
            <w:vAlign w:val="center"/>
          </w:tcPr>
          <w:p w14:paraId="1521288F" w14:textId="2A0A8047" w:rsidR="00C52FA7" w:rsidRPr="00626700" w:rsidRDefault="00C52FA7" w:rsidP="00FD7CBE">
            <w:pPr>
              <w:spacing w:before="0" w:after="0"/>
              <w:jc w:val="center"/>
              <w:rPr>
                <w:rFonts w:cs="Arial"/>
                <w:sz w:val="20"/>
                <w:szCs w:val="20"/>
              </w:rPr>
            </w:pPr>
            <w:r w:rsidRPr="00626700">
              <w:rPr>
                <w:rFonts w:cs="Arial"/>
                <w:sz w:val="20"/>
                <w:szCs w:val="20"/>
              </w:rPr>
              <w:t>41%</w:t>
            </w:r>
          </w:p>
        </w:tc>
      </w:tr>
      <w:tr w:rsidR="00C52FA7" w:rsidRPr="00111DC0" w14:paraId="676DAC53" w14:textId="77777777" w:rsidTr="00FE1163">
        <w:tc>
          <w:tcPr>
            <w:tcW w:w="2723" w:type="dxa"/>
            <w:tcBorders>
              <w:left w:val="double" w:sz="4" w:space="0" w:color="auto"/>
              <w:right w:val="double" w:sz="4" w:space="0" w:color="auto"/>
            </w:tcBorders>
            <w:vAlign w:val="center"/>
          </w:tcPr>
          <w:p w14:paraId="6F899CD2" w14:textId="30DE4CDA" w:rsidR="00C52FA7" w:rsidRPr="00626700" w:rsidRDefault="00C52FA7" w:rsidP="00A60E61">
            <w:pPr>
              <w:spacing w:before="0" w:after="0"/>
              <w:jc w:val="right"/>
              <w:rPr>
                <w:rFonts w:cs="Arial"/>
                <w:sz w:val="20"/>
                <w:szCs w:val="20"/>
              </w:rPr>
            </w:pPr>
            <w:r w:rsidRPr="00626700">
              <w:rPr>
                <w:rFonts w:cs="Arial"/>
                <w:sz w:val="20"/>
                <w:szCs w:val="20"/>
              </w:rPr>
              <w:t>Operario</w:t>
            </w:r>
          </w:p>
        </w:tc>
        <w:tc>
          <w:tcPr>
            <w:tcW w:w="2831" w:type="dxa"/>
            <w:tcBorders>
              <w:left w:val="double" w:sz="4" w:space="0" w:color="auto"/>
            </w:tcBorders>
            <w:vAlign w:val="center"/>
          </w:tcPr>
          <w:p w14:paraId="0D521A74" w14:textId="746D5642" w:rsidR="00C52FA7" w:rsidRPr="00626700" w:rsidRDefault="00C52FA7" w:rsidP="00FD7CBE">
            <w:pPr>
              <w:spacing w:before="0" w:after="0"/>
              <w:jc w:val="center"/>
              <w:rPr>
                <w:rFonts w:cs="Arial"/>
                <w:sz w:val="20"/>
                <w:szCs w:val="20"/>
              </w:rPr>
            </w:pPr>
            <w:r w:rsidRPr="00626700">
              <w:rPr>
                <w:rFonts w:cs="Arial"/>
                <w:sz w:val="20"/>
                <w:szCs w:val="20"/>
              </w:rPr>
              <w:t>56%</w:t>
            </w:r>
          </w:p>
        </w:tc>
        <w:tc>
          <w:tcPr>
            <w:tcW w:w="2951" w:type="dxa"/>
            <w:tcBorders>
              <w:right w:val="double" w:sz="4" w:space="0" w:color="auto"/>
            </w:tcBorders>
            <w:vAlign w:val="center"/>
          </w:tcPr>
          <w:p w14:paraId="21CD98DA" w14:textId="168A48C9" w:rsidR="00C52FA7" w:rsidRPr="00626700" w:rsidRDefault="00C52FA7" w:rsidP="00FD7CBE">
            <w:pPr>
              <w:spacing w:before="0" w:after="0"/>
              <w:jc w:val="center"/>
              <w:rPr>
                <w:rFonts w:cs="Arial"/>
                <w:sz w:val="20"/>
                <w:szCs w:val="20"/>
              </w:rPr>
            </w:pPr>
            <w:r w:rsidRPr="00626700">
              <w:rPr>
                <w:rFonts w:cs="Arial"/>
                <w:sz w:val="20"/>
                <w:szCs w:val="20"/>
              </w:rPr>
              <w:t>44%</w:t>
            </w:r>
          </w:p>
        </w:tc>
      </w:tr>
      <w:tr w:rsidR="00C52FA7" w:rsidRPr="00111DC0" w14:paraId="6F846680" w14:textId="77777777" w:rsidTr="00FE1163">
        <w:tc>
          <w:tcPr>
            <w:tcW w:w="2723" w:type="dxa"/>
            <w:tcBorders>
              <w:left w:val="double" w:sz="4" w:space="0" w:color="auto"/>
              <w:right w:val="double" w:sz="4" w:space="0" w:color="auto"/>
            </w:tcBorders>
            <w:vAlign w:val="center"/>
          </w:tcPr>
          <w:p w14:paraId="7578D0C7" w14:textId="37052DD0" w:rsidR="00C52FA7" w:rsidRPr="00626700" w:rsidRDefault="00C52FA7" w:rsidP="00A60E61">
            <w:pPr>
              <w:spacing w:before="0" w:after="0"/>
              <w:jc w:val="right"/>
              <w:rPr>
                <w:rFonts w:cs="Arial"/>
                <w:sz w:val="20"/>
                <w:szCs w:val="20"/>
              </w:rPr>
            </w:pPr>
            <w:proofErr w:type="spellStart"/>
            <w:r w:rsidRPr="00626700">
              <w:rPr>
                <w:rFonts w:cs="Arial"/>
                <w:sz w:val="20"/>
                <w:szCs w:val="20"/>
              </w:rPr>
              <w:t>Oper</w:t>
            </w:r>
            <w:proofErr w:type="spellEnd"/>
            <w:r w:rsidRPr="00626700">
              <w:rPr>
                <w:rFonts w:cs="Arial"/>
                <w:sz w:val="20"/>
                <w:szCs w:val="20"/>
              </w:rPr>
              <w:t>. Cocina</w:t>
            </w:r>
          </w:p>
        </w:tc>
        <w:tc>
          <w:tcPr>
            <w:tcW w:w="2831" w:type="dxa"/>
            <w:tcBorders>
              <w:left w:val="double" w:sz="4" w:space="0" w:color="auto"/>
            </w:tcBorders>
            <w:vAlign w:val="center"/>
          </w:tcPr>
          <w:p w14:paraId="36EE6053" w14:textId="21932A59" w:rsidR="00C52FA7" w:rsidRPr="00626700" w:rsidRDefault="00C52FA7" w:rsidP="00FD7CBE">
            <w:pPr>
              <w:spacing w:before="0" w:after="0"/>
              <w:jc w:val="center"/>
              <w:rPr>
                <w:rFonts w:cs="Arial"/>
                <w:sz w:val="20"/>
                <w:szCs w:val="20"/>
              </w:rPr>
            </w:pPr>
            <w:r w:rsidRPr="00626700">
              <w:rPr>
                <w:rFonts w:cs="Arial"/>
                <w:sz w:val="20"/>
                <w:szCs w:val="20"/>
              </w:rPr>
              <w:t>68%</w:t>
            </w:r>
          </w:p>
        </w:tc>
        <w:tc>
          <w:tcPr>
            <w:tcW w:w="2951" w:type="dxa"/>
            <w:tcBorders>
              <w:right w:val="double" w:sz="4" w:space="0" w:color="auto"/>
            </w:tcBorders>
            <w:vAlign w:val="center"/>
          </w:tcPr>
          <w:p w14:paraId="71F217B5" w14:textId="62518C26" w:rsidR="00C52FA7" w:rsidRPr="00626700" w:rsidRDefault="00C52FA7" w:rsidP="00FD7CBE">
            <w:pPr>
              <w:spacing w:before="0" w:after="0"/>
              <w:jc w:val="center"/>
              <w:rPr>
                <w:rFonts w:cs="Arial"/>
                <w:sz w:val="20"/>
                <w:szCs w:val="20"/>
              </w:rPr>
            </w:pPr>
            <w:r w:rsidRPr="00626700">
              <w:rPr>
                <w:rFonts w:cs="Arial"/>
                <w:sz w:val="20"/>
                <w:szCs w:val="20"/>
              </w:rPr>
              <w:t>32%</w:t>
            </w:r>
          </w:p>
        </w:tc>
      </w:tr>
      <w:tr w:rsidR="00C52FA7" w:rsidRPr="00111DC0" w14:paraId="2D6EA247" w14:textId="77777777" w:rsidTr="00FE1163">
        <w:tc>
          <w:tcPr>
            <w:tcW w:w="2723" w:type="dxa"/>
            <w:tcBorders>
              <w:left w:val="double" w:sz="4" w:space="0" w:color="auto"/>
              <w:right w:val="double" w:sz="4" w:space="0" w:color="auto"/>
            </w:tcBorders>
            <w:vAlign w:val="center"/>
          </w:tcPr>
          <w:p w14:paraId="455D1E22" w14:textId="1D083AB2" w:rsidR="00C52FA7" w:rsidRPr="00626700" w:rsidRDefault="00C52FA7" w:rsidP="00A60E61">
            <w:pPr>
              <w:spacing w:before="0" w:after="0"/>
              <w:jc w:val="right"/>
              <w:rPr>
                <w:rFonts w:cs="Arial"/>
                <w:sz w:val="20"/>
                <w:szCs w:val="20"/>
              </w:rPr>
            </w:pPr>
            <w:proofErr w:type="spellStart"/>
            <w:r w:rsidRPr="00626700">
              <w:rPr>
                <w:rFonts w:cs="Arial"/>
                <w:sz w:val="20"/>
                <w:szCs w:val="20"/>
              </w:rPr>
              <w:t>Oper</w:t>
            </w:r>
            <w:proofErr w:type="spellEnd"/>
            <w:r w:rsidRPr="00626700">
              <w:rPr>
                <w:rFonts w:cs="Arial"/>
                <w:sz w:val="20"/>
                <w:szCs w:val="20"/>
              </w:rPr>
              <w:t>. Retenes</w:t>
            </w:r>
          </w:p>
        </w:tc>
        <w:tc>
          <w:tcPr>
            <w:tcW w:w="2831" w:type="dxa"/>
            <w:tcBorders>
              <w:left w:val="double" w:sz="4" w:space="0" w:color="auto"/>
            </w:tcBorders>
            <w:vAlign w:val="center"/>
          </w:tcPr>
          <w:p w14:paraId="2059CBE8" w14:textId="25CC624A" w:rsidR="00C52FA7" w:rsidRPr="00626700" w:rsidRDefault="00C52FA7" w:rsidP="00FD7CBE">
            <w:pPr>
              <w:spacing w:before="0" w:after="0"/>
              <w:jc w:val="center"/>
              <w:rPr>
                <w:rFonts w:cs="Arial"/>
                <w:sz w:val="20"/>
                <w:szCs w:val="20"/>
              </w:rPr>
            </w:pPr>
            <w:r w:rsidRPr="00626700">
              <w:rPr>
                <w:rFonts w:cs="Arial"/>
                <w:sz w:val="20"/>
                <w:szCs w:val="20"/>
              </w:rPr>
              <w:t>1%</w:t>
            </w:r>
          </w:p>
        </w:tc>
        <w:tc>
          <w:tcPr>
            <w:tcW w:w="2951" w:type="dxa"/>
            <w:tcBorders>
              <w:right w:val="double" w:sz="4" w:space="0" w:color="auto"/>
            </w:tcBorders>
            <w:vAlign w:val="center"/>
          </w:tcPr>
          <w:p w14:paraId="2FF036AF" w14:textId="103CC54A" w:rsidR="00C52FA7" w:rsidRPr="00626700" w:rsidRDefault="00C52FA7" w:rsidP="00FD7CBE">
            <w:pPr>
              <w:spacing w:before="0" w:after="0"/>
              <w:jc w:val="center"/>
              <w:rPr>
                <w:rFonts w:cs="Arial"/>
                <w:sz w:val="20"/>
                <w:szCs w:val="20"/>
              </w:rPr>
            </w:pPr>
            <w:r w:rsidRPr="00626700">
              <w:rPr>
                <w:rFonts w:cs="Arial"/>
                <w:sz w:val="20"/>
                <w:szCs w:val="20"/>
              </w:rPr>
              <w:t>99%</w:t>
            </w:r>
          </w:p>
        </w:tc>
      </w:tr>
      <w:tr w:rsidR="00C52FA7" w:rsidRPr="00111DC0" w14:paraId="586ADBB3" w14:textId="77777777" w:rsidTr="00FE1163">
        <w:tc>
          <w:tcPr>
            <w:tcW w:w="2723" w:type="dxa"/>
            <w:tcBorders>
              <w:left w:val="double" w:sz="4" w:space="0" w:color="auto"/>
              <w:right w:val="double" w:sz="4" w:space="0" w:color="auto"/>
            </w:tcBorders>
            <w:vAlign w:val="center"/>
          </w:tcPr>
          <w:p w14:paraId="08545B4F" w14:textId="65DA80E1" w:rsidR="00C52FA7" w:rsidRPr="00626700" w:rsidRDefault="00C52FA7" w:rsidP="00A60E61">
            <w:pPr>
              <w:spacing w:before="0" w:after="0"/>
              <w:jc w:val="right"/>
              <w:rPr>
                <w:rFonts w:cs="Arial"/>
                <w:sz w:val="20"/>
                <w:szCs w:val="20"/>
              </w:rPr>
            </w:pPr>
            <w:proofErr w:type="spellStart"/>
            <w:r w:rsidRPr="00626700">
              <w:rPr>
                <w:rFonts w:cs="Arial"/>
                <w:sz w:val="20"/>
                <w:szCs w:val="20"/>
              </w:rPr>
              <w:t>Oper</w:t>
            </w:r>
            <w:proofErr w:type="spellEnd"/>
            <w:r w:rsidRPr="00626700">
              <w:rPr>
                <w:rFonts w:cs="Arial"/>
                <w:sz w:val="20"/>
                <w:szCs w:val="20"/>
              </w:rPr>
              <w:t>. Viveros</w:t>
            </w:r>
          </w:p>
        </w:tc>
        <w:tc>
          <w:tcPr>
            <w:tcW w:w="2831" w:type="dxa"/>
            <w:tcBorders>
              <w:left w:val="double" w:sz="4" w:space="0" w:color="auto"/>
            </w:tcBorders>
            <w:vAlign w:val="center"/>
          </w:tcPr>
          <w:p w14:paraId="273F8D30" w14:textId="2CE36F13" w:rsidR="00C52FA7" w:rsidRPr="00626700" w:rsidRDefault="00C52FA7" w:rsidP="00FD7CBE">
            <w:pPr>
              <w:spacing w:before="0" w:after="0"/>
              <w:jc w:val="center"/>
              <w:rPr>
                <w:rFonts w:cs="Arial"/>
                <w:sz w:val="20"/>
                <w:szCs w:val="20"/>
              </w:rPr>
            </w:pPr>
            <w:r w:rsidRPr="00626700">
              <w:rPr>
                <w:rFonts w:cs="Arial"/>
                <w:sz w:val="20"/>
                <w:szCs w:val="20"/>
              </w:rPr>
              <w:t>19%</w:t>
            </w:r>
          </w:p>
        </w:tc>
        <w:tc>
          <w:tcPr>
            <w:tcW w:w="2951" w:type="dxa"/>
            <w:tcBorders>
              <w:right w:val="double" w:sz="4" w:space="0" w:color="auto"/>
            </w:tcBorders>
            <w:vAlign w:val="center"/>
          </w:tcPr>
          <w:p w14:paraId="4C1839B6" w14:textId="65141949" w:rsidR="00C52FA7" w:rsidRPr="00626700" w:rsidRDefault="00C52FA7" w:rsidP="00FD7CBE">
            <w:pPr>
              <w:spacing w:before="0" w:after="0"/>
              <w:jc w:val="center"/>
              <w:rPr>
                <w:rFonts w:cs="Arial"/>
                <w:sz w:val="20"/>
                <w:szCs w:val="20"/>
              </w:rPr>
            </w:pPr>
            <w:r w:rsidRPr="00626700">
              <w:rPr>
                <w:rFonts w:cs="Arial"/>
                <w:sz w:val="20"/>
                <w:szCs w:val="20"/>
              </w:rPr>
              <w:t>81%</w:t>
            </w:r>
          </w:p>
        </w:tc>
      </w:tr>
      <w:tr w:rsidR="00C52FA7" w:rsidRPr="00111DC0" w14:paraId="30E674EE" w14:textId="77777777" w:rsidTr="00FE1163">
        <w:tc>
          <w:tcPr>
            <w:tcW w:w="2723" w:type="dxa"/>
            <w:tcBorders>
              <w:left w:val="double" w:sz="4" w:space="0" w:color="auto"/>
              <w:right w:val="double" w:sz="4" w:space="0" w:color="auto"/>
            </w:tcBorders>
            <w:vAlign w:val="center"/>
          </w:tcPr>
          <w:p w14:paraId="167B410A" w14:textId="17D6A6FD" w:rsidR="00C52FA7" w:rsidRPr="00626700" w:rsidRDefault="00C52FA7" w:rsidP="00A60E61">
            <w:pPr>
              <w:spacing w:before="0" w:after="0"/>
              <w:jc w:val="right"/>
              <w:rPr>
                <w:rFonts w:cs="Arial"/>
                <w:sz w:val="20"/>
                <w:szCs w:val="20"/>
              </w:rPr>
            </w:pPr>
            <w:proofErr w:type="spellStart"/>
            <w:r w:rsidRPr="00626700">
              <w:rPr>
                <w:rFonts w:cs="Arial"/>
                <w:sz w:val="20"/>
                <w:szCs w:val="20"/>
              </w:rPr>
              <w:t>Oper</w:t>
            </w:r>
            <w:proofErr w:type="spellEnd"/>
            <w:r w:rsidRPr="00626700">
              <w:rPr>
                <w:rFonts w:cs="Arial"/>
                <w:sz w:val="20"/>
                <w:szCs w:val="20"/>
              </w:rPr>
              <w:t>. Disc.</w:t>
            </w:r>
            <w:r w:rsidR="00AC4435" w:rsidRPr="00626700">
              <w:rPr>
                <w:rFonts w:cs="Arial"/>
                <w:sz w:val="20"/>
                <w:szCs w:val="20"/>
              </w:rPr>
              <w:t xml:space="preserve"> I</w:t>
            </w:r>
            <w:r w:rsidRPr="00626700">
              <w:rPr>
                <w:rFonts w:cs="Arial"/>
                <w:sz w:val="20"/>
                <w:szCs w:val="20"/>
              </w:rPr>
              <w:t>ntelectual</w:t>
            </w:r>
          </w:p>
        </w:tc>
        <w:tc>
          <w:tcPr>
            <w:tcW w:w="2831" w:type="dxa"/>
            <w:tcBorders>
              <w:left w:val="double" w:sz="4" w:space="0" w:color="auto"/>
            </w:tcBorders>
            <w:vAlign w:val="center"/>
          </w:tcPr>
          <w:p w14:paraId="117ADC66" w14:textId="2C28FC9A" w:rsidR="00C52FA7" w:rsidRPr="00626700" w:rsidRDefault="00C52FA7" w:rsidP="00FD7CBE">
            <w:pPr>
              <w:spacing w:before="0" w:after="0"/>
              <w:jc w:val="center"/>
              <w:rPr>
                <w:rFonts w:cs="Arial"/>
                <w:sz w:val="20"/>
                <w:szCs w:val="20"/>
              </w:rPr>
            </w:pPr>
            <w:r w:rsidRPr="00626700">
              <w:rPr>
                <w:rFonts w:cs="Arial"/>
                <w:sz w:val="20"/>
                <w:szCs w:val="20"/>
              </w:rPr>
              <w:t>47%</w:t>
            </w:r>
          </w:p>
        </w:tc>
        <w:tc>
          <w:tcPr>
            <w:tcW w:w="2951" w:type="dxa"/>
            <w:tcBorders>
              <w:right w:val="double" w:sz="4" w:space="0" w:color="auto"/>
            </w:tcBorders>
            <w:vAlign w:val="center"/>
          </w:tcPr>
          <w:p w14:paraId="3165FEA3" w14:textId="17A8E085" w:rsidR="00C52FA7" w:rsidRPr="00626700" w:rsidRDefault="00C52FA7" w:rsidP="00FD7CBE">
            <w:pPr>
              <w:spacing w:before="0" w:after="0"/>
              <w:jc w:val="center"/>
              <w:rPr>
                <w:rFonts w:cs="Arial"/>
                <w:sz w:val="20"/>
                <w:szCs w:val="20"/>
              </w:rPr>
            </w:pPr>
            <w:r w:rsidRPr="00626700">
              <w:rPr>
                <w:rFonts w:cs="Arial"/>
                <w:sz w:val="20"/>
                <w:szCs w:val="20"/>
              </w:rPr>
              <w:t>53%</w:t>
            </w:r>
          </w:p>
        </w:tc>
      </w:tr>
      <w:tr w:rsidR="00C52FA7" w:rsidRPr="00111DC0" w14:paraId="71BF344F" w14:textId="77777777" w:rsidTr="00FE1163">
        <w:tc>
          <w:tcPr>
            <w:tcW w:w="2723" w:type="dxa"/>
            <w:tcBorders>
              <w:left w:val="double" w:sz="4" w:space="0" w:color="auto"/>
              <w:bottom w:val="double" w:sz="4" w:space="0" w:color="auto"/>
              <w:right w:val="double" w:sz="4" w:space="0" w:color="auto"/>
            </w:tcBorders>
            <w:vAlign w:val="center"/>
          </w:tcPr>
          <w:p w14:paraId="14208D67" w14:textId="4AE1BD6A" w:rsidR="00C52FA7" w:rsidRPr="00626700" w:rsidRDefault="00C52FA7" w:rsidP="00A60E61">
            <w:pPr>
              <w:spacing w:before="0" w:after="0"/>
              <w:jc w:val="right"/>
              <w:rPr>
                <w:rFonts w:cs="Arial"/>
                <w:sz w:val="20"/>
                <w:szCs w:val="20"/>
              </w:rPr>
            </w:pPr>
            <w:r w:rsidRPr="00626700">
              <w:rPr>
                <w:rFonts w:cs="Arial"/>
                <w:sz w:val="20"/>
                <w:szCs w:val="20"/>
              </w:rPr>
              <w:t>Oficial 1º</w:t>
            </w:r>
            <w:r w:rsidR="002A27BD" w:rsidRPr="00626700">
              <w:rPr>
                <w:rFonts w:cs="Arial"/>
                <w:sz w:val="20"/>
                <w:szCs w:val="20"/>
              </w:rPr>
              <w:t xml:space="preserve"> Oficio</w:t>
            </w:r>
            <w:r w:rsidRPr="00626700">
              <w:rPr>
                <w:rFonts w:cs="Arial"/>
                <w:sz w:val="20"/>
                <w:szCs w:val="20"/>
              </w:rPr>
              <w:t xml:space="preserve"> </w:t>
            </w:r>
            <w:r w:rsidR="002A27BD" w:rsidRPr="00626700">
              <w:rPr>
                <w:rFonts w:cs="Arial"/>
                <w:sz w:val="20"/>
                <w:szCs w:val="20"/>
              </w:rPr>
              <w:t>(C</w:t>
            </w:r>
            <w:r w:rsidRPr="00626700">
              <w:rPr>
                <w:rFonts w:cs="Arial"/>
                <w:sz w:val="20"/>
                <w:szCs w:val="20"/>
              </w:rPr>
              <w:t>ocina</w:t>
            </w:r>
            <w:r w:rsidR="002A27BD" w:rsidRPr="00626700">
              <w:rPr>
                <w:rFonts w:cs="Arial"/>
                <w:sz w:val="20"/>
                <w:szCs w:val="20"/>
              </w:rPr>
              <w:t>)</w:t>
            </w:r>
          </w:p>
        </w:tc>
        <w:tc>
          <w:tcPr>
            <w:tcW w:w="2831" w:type="dxa"/>
            <w:tcBorders>
              <w:left w:val="double" w:sz="4" w:space="0" w:color="auto"/>
              <w:bottom w:val="double" w:sz="4" w:space="0" w:color="auto"/>
            </w:tcBorders>
            <w:vAlign w:val="center"/>
          </w:tcPr>
          <w:p w14:paraId="3FDD7213" w14:textId="3B6F6B79" w:rsidR="00C52FA7" w:rsidRPr="00626700" w:rsidRDefault="00C52FA7" w:rsidP="00FD7CBE">
            <w:pPr>
              <w:spacing w:before="0" w:after="0"/>
              <w:jc w:val="center"/>
              <w:rPr>
                <w:rFonts w:cs="Arial"/>
                <w:sz w:val="20"/>
                <w:szCs w:val="20"/>
              </w:rPr>
            </w:pPr>
            <w:r w:rsidRPr="00626700">
              <w:rPr>
                <w:rFonts w:cs="Arial"/>
                <w:sz w:val="20"/>
                <w:szCs w:val="20"/>
              </w:rPr>
              <w:t>66%</w:t>
            </w:r>
          </w:p>
        </w:tc>
        <w:tc>
          <w:tcPr>
            <w:tcW w:w="2951" w:type="dxa"/>
            <w:tcBorders>
              <w:bottom w:val="double" w:sz="4" w:space="0" w:color="auto"/>
              <w:right w:val="double" w:sz="4" w:space="0" w:color="auto"/>
            </w:tcBorders>
            <w:vAlign w:val="center"/>
          </w:tcPr>
          <w:p w14:paraId="2D6E0B96" w14:textId="6AA1D316" w:rsidR="00C52FA7" w:rsidRPr="00626700" w:rsidRDefault="00C52FA7" w:rsidP="00FD7CBE">
            <w:pPr>
              <w:spacing w:before="0" w:after="0"/>
              <w:jc w:val="center"/>
              <w:rPr>
                <w:rFonts w:cs="Arial"/>
                <w:sz w:val="20"/>
                <w:szCs w:val="20"/>
              </w:rPr>
            </w:pPr>
            <w:r w:rsidRPr="00626700">
              <w:rPr>
                <w:rFonts w:cs="Arial"/>
                <w:sz w:val="20"/>
                <w:szCs w:val="20"/>
              </w:rPr>
              <w:t>34%</w:t>
            </w:r>
          </w:p>
        </w:tc>
      </w:tr>
    </w:tbl>
    <w:p w14:paraId="2FA04A82" w14:textId="0AFACEC5" w:rsidR="00E33C0A" w:rsidRDefault="00626700" w:rsidP="00FD7CBE">
      <w:pPr>
        <w:rPr>
          <w:rFonts w:cs="Arial"/>
        </w:rPr>
      </w:pPr>
      <w:r>
        <w:rPr>
          <w:rFonts w:cs="Arial"/>
          <w:b/>
          <w:bCs/>
        </w:rPr>
        <w:t>Así</w:t>
      </w:r>
      <w:r w:rsidR="00B47879" w:rsidRPr="00111DC0">
        <w:rPr>
          <w:rFonts w:cs="Arial"/>
          <w:b/>
          <w:bCs/>
        </w:rPr>
        <w:t>,</w:t>
      </w:r>
      <w:r w:rsidR="00053275" w:rsidRPr="00111DC0">
        <w:rPr>
          <w:rFonts w:cs="Arial"/>
          <w:b/>
          <w:bCs/>
        </w:rPr>
        <w:t xml:space="preserve"> </w:t>
      </w:r>
      <w:r w:rsidR="00E33C0A" w:rsidRPr="00111DC0">
        <w:rPr>
          <w:rFonts w:cs="Arial"/>
          <w:b/>
          <w:bCs/>
        </w:rPr>
        <w:t>el mero cumplimiento d</w:t>
      </w:r>
      <w:r w:rsidR="00B47879" w:rsidRPr="00111DC0">
        <w:rPr>
          <w:rFonts w:cs="Arial"/>
          <w:b/>
          <w:bCs/>
        </w:rPr>
        <w:t>el principio de igualdad de oportunidades</w:t>
      </w:r>
      <w:r w:rsidR="00E33C0A" w:rsidRPr="00111DC0">
        <w:rPr>
          <w:rFonts w:cs="Arial"/>
          <w:b/>
          <w:bCs/>
        </w:rPr>
        <w:t xml:space="preserve"> entre mujeres y hombres</w:t>
      </w:r>
      <w:r w:rsidR="00B47879" w:rsidRPr="00111DC0">
        <w:rPr>
          <w:rFonts w:cs="Arial"/>
          <w:b/>
          <w:bCs/>
        </w:rPr>
        <w:t xml:space="preserve"> en el </w:t>
      </w:r>
      <w:r w:rsidR="00B832E2" w:rsidRPr="00111DC0">
        <w:rPr>
          <w:rFonts w:cs="Arial"/>
          <w:b/>
          <w:bCs/>
        </w:rPr>
        <w:t xml:space="preserve">acceso al empleo </w:t>
      </w:r>
      <w:r w:rsidR="00E33C0A" w:rsidRPr="00111DC0">
        <w:rPr>
          <w:rFonts w:cs="Arial"/>
          <w:b/>
          <w:bCs/>
        </w:rPr>
        <w:t>público no modifica por sí mismo una situación de partida segregada</w:t>
      </w:r>
      <w:r w:rsidR="00E33C0A" w:rsidRPr="00111DC0">
        <w:rPr>
          <w:rFonts w:cs="Arial"/>
        </w:rPr>
        <w:t xml:space="preserve"> que tiene que ver, no tanto con los criterios de acceso, sino con las condiciones sociales, formativas y </w:t>
      </w:r>
      <w:proofErr w:type="spellStart"/>
      <w:r w:rsidR="00E33C0A" w:rsidRPr="00111DC0">
        <w:rPr>
          <w:rFonts w:cs="Arial"/>
        </w:rPr>
        <w:t>aspiracionales</w:t>
      </w:r>
      <w:proofErr w:type="spellEnd"/>
      <w:r w:rsidR="00E33C0A" w:rsidRPr="00111DC0">
        <w:rPr>
          <w:rFonts w:cs="Arial"/>
        </w:rPr>
        <w:t xml:space="preserve"> previas de las mujeres y los hombres. </w:t>
      </w:r>
      <w:r w:rsidR="00053275" w:rsidRPr="00111DC0">
        <w:rPr>
          <w:rFonts w:cs="Arial"/>
        </w:rPr>
        <w:t xml:space="preserve">De esta manera se reitera </w:t>
      </w:r>
      <w:r w:rsidR="00806CC7" w:rsidRPr="00111DC0">
        <w:rPr>
          <w:rFonts w:cs="Arial"/>
        </w:rPr>
        <w:t>el alcance insuficiente de la política de igualdad formal que no es capaz, por sí misma, de llevar a cabo una transformación profunda del sistema de género</w:t>
      </w:r>
      <w:r w:rsidR="00C638B9" w:rsidRPr="00111DC0">
        <w:rPr>
          <w:rFonts w:cs="Arial"/>
        </w:rPr>
        <w:t xml:space="preserve">. </w:t>
      </w:r>
    </w:p>
    <w:p w14:paraId="6F8A6047" w14:textId="761CAA9F" w:rsidR="001574B1" w:rsidRPr="00111DC0" w:rsidRDefault="00C45F52" w:rsidP="00907A96">
      <w:r>
        <w:rPr>
          <w:b/>
          <w:bCs/>
        </w:rPr>
        <w:t>N</w:t>
      </w:r>
      <w:r w:rsidR="00BC7A29" w:rsidRPr="00907A96">
        <w:rPr>
          <w:b/>
          <w:bCs/>
        </w:rPr>
        <w:t xml:space="preserve">inguna de las convocatorias de procesos selectivos analizados hace referencia a la composición por sexo de los </w:t>
      </w:r>
      <w:r w:rsidR="00012E11" w:rsidRPr="00907A96">
        <w:rPr>
          <w:b/>
          <w:bCs/>
        </w:rPr>
        <w:t>C</w:t>
      </w:r>
      <w:r w:rsidR="00BC7A29" w:rsidRPr="00907A96">
        <w:rPr>
          <w:b/>
          <w:bCs/>
        </w:rPr>
        <w:t>uerpos</w:t>
      </w:r>
      <w:r w:rsidR="00D60B3C" w:rsidRPr="00907A96">
        <w:rPr>
          <w:b/>
          <w:bCs/>
        </w:rPr>
        <w:t xml:space="preserve">, </w:t>
      </w:r>
      <w:r w:rsidR="00012E11" w:rsidRPr="00907A96">
        <w:rPr>
          <w:b/>
          <w:bCs/>
        </w:rPr>
        <w:t>E</w:t>
      </w:r>
      <w:r w:rsidR="00BC7A29" w:rsidRPr="00907A96">
        <w:rPr>
          <w:b/>
          <w:bCs/>
        </w:rPr>
        <w:t xml:space="preserve">scalas o </w:t>
      </w:r>
      <w:r w:rsidR="00012E11" w:rsidRPr="00907A96">
        <w:rPr>
          <w:b/>
          <w:bCs/>
        </w:rPr>
        <w:t>G</w:t>
      </w:r>
      <w:r w:rsidR="00BC7A29" w:rsidRPr="00907A96">
        <w:rPr>
          <w:b/>
          <w:bCs/>
        </w:rPr>
        <w:t>rupos de titulación objeto de la convocatoria</w:t>
      </w:r>
      <w:r w:rsidR="00BC7A29" w:rsidRPr="00111DC0">
        <w:t xml:space="preserve">. </w:t>
      </w:r>
      <w:r w:rsidR="001574B1" w:rsidRPr="00111DC0">
        <w:t xml:space="preserve">Esta información debería quedar incluida en el informe de impacto de género regulado en el artículo 55 de la </w:t>
      </w:r>
      <w:r w:rsidR="001574B1" w:rsidRPr="00111DC0">
        <w:rPr>
          <w:i/>
          <w:iCs/>
          <w:color w:val="78BE20"/>
        </w:rPr>
        <w:t xml:space="preserve">ley orgánica de igualdad 3/2007 </w:t>
      </w:r>
      <w:r w:rsidR="001574B1" w:rsidRPr="00111DC0">
        <w:t xml:space="preserve">que, como se ha recogido al inicio del documento, dispone la obligatoriedad de que las convocatorias de pruebas selectivas vayan acompañadas de dicho informe. </w:t>
      </w:r>
    </w:p>
    <w:p w14:paraId="5F319C8F" w14:textId="42EDB202" w:rsidR="004D07C3" w:rsidRPr="00111DC0" w:rsidRDefault="004D07C3" w:rsidP="004D07C3">
      <w:pPr>
        <w:rPr>
          <w:rFonts w:eastAsia="Helvetica Neue" w:cs="Arial"/>
        </w:rPr>
      </w:pPr>
    </w:p>
    <w:p w14:paraId="2236F147" w14:textId="2D0034AB" w:rsidR="002F73ED" w:rsidRPr="00111DC0" w:rsidRDefault="00832653" w:rsidP="00DE69A1">
      <w:pPr>
        <w:pStyle w:val="Ttulo4"/>
        <w:rPr>
          <w:rFonts w:cs="Arial"/>
        </w:rPr>
      </w:pPr>
      <w:r w:rsidRPr="00111DC0">
        <w:rPr>
          <w:rFonts w:cs="Arial"/>
        </w:rPr>
        <w:t>Personal Docente</w:t>
      </w:r>
    </w:p>
    <w:p w14:paraId="29A24DAA" w14:textId="44CA98E3" w:rsidR="002F73ED" w:rsidRPr="00111DC0" w:rsidRDefault="00692350" w:rsidP="00C45F52">
      <w:pPr>
        <w:rPr>
          <w:rFonts w:cs="Arial"/>
        </w:rPr>
      </w:pPr>
      <w:r w:rsidRPr="00111DC0">
        <w:rPr>
          <w:rFonts w:cs="Arial"/>
          <w:b/>
          <w:bCs/>
        </w:rPr>
        <w:t xml:space="preserve">Entre las personas aspirantes al </w:t>
      </w:r>
      <w:r w:rsidR="00B75F96" w:rsidRPr="00111DC0">
        <w:rPr>
          <w:rFonts w:cs="Arial"/>
          <w:b/>
          <w:bCs/>
        </w:rPr>
        <w:t>C</w:t>
      </w:r>
      <w:r w:rsidRPr="00111DC0">
        <w:rPr>
          <w:rFonts w:cs="Arial"/>
          <w:b/>
          <w:bCs/>
        </w:rPr>
        <w:t xml:space="preserve">uerpo de </w:t>
      </w:r>
      <w:r w:rsidR="00832653" w:rsidRPr="00111DC0">
        <w:rPr>
          <w:rFonts w:cs="Arial"/>
          <w:b/>
          <w:bCs/>
        </w:rPr>
        <w:t>Personal Docente</w:t>
      </w:r>
      <w:r w:rsidRPr="00111DC0">
        <w:rPr>
          <w:rFonts w:cs="Arial"/>
          <w:b/>
          <w:bCs/>
        </w:rPr>
        <w:t xml:space="preserve"> </w:t>
      </w:r>
      <w:r w:rsidR="001677C1" w:rsidRPr="00111DC0">
        <w:rPr>
          <w:rFonts w:cs="Arial"/>
          <w:b/>
          <w:bCs/>
        </w:rPr>
        <w:t xml:space="preserve">existe </w:t>
      </w:r>
      <w:r w:rsidRPr="00111DC0">
        <w:rPr>
          <w:rFonts w:cs="Arial"/>
          <w:b/>
          <w:bCs/>
        </w:rPr>
        <w:t>nuevamente una mayoría de mujeres (70%).</w:t>
      </w:r>
      <w:r w:rsidR="007E7C31" w:rsidRPr="00111DC0">
        <w:rPr>
          <w:rFonts w:cs="Arial"/>
          <w:b/>
          <w:bCs/>
        </w:rPr>
        <w:t xml:space="preserve"> </w:t>
      </w:r>
    </w:p>
    <w:p w14:paraId="1A498592" w14:textId="48A531AB" w:rsidR="00DD024A" w:rsidRDefault="00C45F52" w:rsidP="00FD7CBE">
      <w:pPr>
        <w:rPr>
          <w:rFonts w:cs="Arial"/>
        </w:rPr>
      </w:pPr>
      <w:r w:rsidRPr="00626700">
        <w:rPr>
          <w:rFonts w:cs="Arial"/>
        </w:rPr>
        <w:t>L</w:t>
      </w:r>
      <w:r w:rsidR="00692350" w:rsidRPr="00626700">
        <w:rPr>
          <w:rFonts w:cs="Arial"/>
        </w:rPr>
        <w:t xml:space="preserve">a proporción de mujeres que participó en los procesos </w:t>
      </w:r>
      <w:r w:rsidR="007D6254" w:rsidRPr="00626700">
        <w:rPr>
          <w:rFonts w:cs="Arial"/>
        </w:rPr>
        <w:t>selectivos</w:t>
      </w:r>
      <w:r w:rsidR="00692350" w:rsidRPr="00626700">
        <w:rPr>
          <w:rFonts w:cs="Arial"/>
        </w:rPr>
        <w:t xml:space="preserve"> para cubrir los </w:t>
      </w:r>
      <w:r w:rsidR="007D6254" w:rsidRPr="00626700">
        <w:rPr>
          <w:rFonts w:cs="Arial"/>
        </w:rPr>
        <w:t>puestos</w:t>
      </w:r>
      <w:r w:rsidR="00692350" w:rsidRPr="00626700">
        <w:rPr>
          <w:rFonts w:cs="Arial"/>
        </w:rPr>
        <w:t xml:space="preserve"> </w:t>
      </w:r>
      <w:r w:rsidR="007D6254" w:rsidRPr="00626700">
        <w:rPr>
          <w:rFonts w:cs="Arial"/>
        </w:rPr>
        <w:t>ofertados</w:t>
      </w:r>
      <w:r w:rsidR="00692350" w:rsidRPr="00626700">
        <w:rPr>
          <w:rFonts w:cs="Arial"/>
        </w:rPr>
        <w:t xml:space="preserve"> en Educación Primaria es del 80%, </w:t>
      </w:r>
      <w:r w:rsidRPr="00626700">
        <w:rPr>
          <w:rFonts w:cs="Arial"/>
        </w:rPr>
        <w:t>mientras que desciende</w:t>
      </w:r>
      <w:r w:rsidR="007D6254" w:rsidRPr="00626700">
        <w:rPr>
          <w:rFonts w:cs="Arial"/>
        </w:rPr>
        <w:t xml:space="preserve"> </w:t>
      </w:r>
      <w:r w:rsidR="00E827BA" w:rsidRPr="00626700">
        <w:rPr>
          <w:rFonts w:cs="Arial"/>
        </w:rPr>
        <w:t>en los puestos de Educación Secundaria</w:t>
      </w:r>
      <w:r w:rsidR="00E827BA" w:rsidRPr="00111DC0">
        <w:rPr>
          <w:rFonts w:cs="Arial"/>
        </w:rPr>
        <w:t xml:space="preserve"> </w:t>
      </w:r>
      <w:r w:rsidR="007D6254" w:rsidRPr="00111DC0">
        <w:rPr>
          <w:rFonts w:cs="Arial"/>
        </w:rPr>
        <w:t>hasta los márgenes de la representación equilibrada</w:t>
      </w:r>
      <w:r w:rsidR="00A06C2C" w:rsidRPr="00111DC0">
        <w:rPr>
          <w:rFonts w:cs="Arial"/>
        </w:rPr>
        <w:t>. Y</w:t>
      </w:r>
      <w:r w:rsidR="001677C1" w:rsidRPr="00111DC0">
        <w:rPr>
          <w:rFonts w:cs="Arial"/>
        </w:rPr>
        <w:t xml:space="preserve"> desciende</w:t>
      </w:r>
      <w:r w:rsidR="007D6254" w:rsidRPr="00111DC0">
        <w:rPr>
          <w:rFonts w:cs="Arial"/>
        </w:rPr>
        <w:t xml:space="preserve"> todavía más </w:t>
      </w:r>
      <w:r w:rsidR="00E827BA" w:rsidRPr="00111DC0">
        <w:rPr>
          <w:rFonts w:cs="Arial"/>
        </w:rPr>
        <w:t xml:space="preserve">en los procesos selectivos </w:t>
      </w:r>
      <w:r w:rsidR="007D6254" w:rsidRPr="00111DC0">
        <w:rPr>
          <w:rFonts w:cs="Arial"/>
        </w:rPr>
        <w:t xml:space="preserve">para los puestos de Inspección Educativa, </w:t>
      </w:r>
      <w:r w:rsidR="00A06C2C" w:rsidRPr="00111DC0">
        <w:rPr>
          <w:rFonts w:cs="Arial"/>
        </w:rPr>
        <w:t xml:space="preserve">aunque se trata precisamente de un </w:t>
      </w:r>
      <w:r w:rsidR="007D6254" w:rsidRPr="00111DC0">
        <w:rPr>
          <w:rFonts w:cs="Arial"/>
        </w:rPr>
        <w:t>caso totalmente paritario.</w:t>
      </w:r>
    </w:p>
    <w:p w14:paraId="49496E3E" w14:textId="0597A289" w:rsidR="007D6254" w:rsidRPr="00111DC0" w:rsidRDefault="007D6254" w:rsidP="0020712F">
      <w:r w:rsidRPr="00111DC0">
        <w:rPr>
          <w:noProof/>
          <w:lang w:eastAsia="es-ES"/>
        </w:rPr>
        <w:drawing>
          <wp:inline distT="0" distB="0" distL="0" distR="0" wp14:anchorId="254320B6" wp14:editId="5E3AE33E">
            <wp:extent cx="5349240" cy="2766252"/>
            <wp:effectExtent l="0" t="0" r="0" b="0"/>
            <wp:docPr id="35" name="Gráfico 35"/>
            <wp:cNvGraphicFramePr/>
            <a:graphic xmlns:a="http://schemas.openxmlformats.org/drawingml/2006/main">
              <a:graphicData uri="http://schemas.openxmlformats.org/drawingml/2006/chart">
                <c:chart xmlns:c="http://schemas.openxmlformats.org/drawingml/2006/chart" r:id="rId41"/>
              </a:graphicData>
            </a:graphic>
          </wp:inline>
        </w:drawing>
      </w:r>
    </w:p>
    <w:p w14:paraId="279A15E3" w14:textId="546FEBB9" w:rsidR="00692350" w:rsidRPr="00111DC0" w:rsidRDefault="00692350" w:rsidP="0020712F"/>
    <w:p w14:paraId="1E02A2C2" w14:textId="09BA21DA" w:rsidR="002F73ED" w:rsidRDefault="00A06C2C" w:rsidP="00626700">
      <w:pPr>
        <w:spacing w:after="0"/>
      </w:pPr>
      <w:r w:rsidRPr="00111DC0">
        <w:rPr>
          <w:rFonts w:cs="Arial"/>
          <w:b/>
          <w:bCs/>
        </w:rPr>
        <w:t xml:space="preserve">La </w:t>
      </w:r>
      <w:r w:rsidR="00F917A5" w:rsidRPr="00111DC0">
        <w:rPr>
          <w:rFonts w:cs="Arial"/>
          <w:b/>
          <w:bCs/>
        </w:rPr>
        <w:t xml:space="preserve">pauta </w:t>
      </w:r>
      <w:r w:rsidRPr="00111DC0">
        <w:rPr>
          <w:rFonts w:cs="Arial"/>
          <w:b/>
          <w:bCs/>
        </w:rPr>
        <w:t xml:space="preserve">de </w:t>
      </w:r>
      <w:r w:rsidR="00F917A5" w:rsidRPr="00111DC0">
        <w:rPr>
          <w:rFonts w:cs="Arial"/>
          <w:b/>
          <w:bCs/>
        </w:rPr>
        <w:t>segrega</w:t>
      </w:r>
      <w:r w:rsidRPr="00111DC0">
        <w:rPr>
          <w:rFonts w:cs="Arial"/>
          <w:b/>
          <w:bCs/>
        </w:rPr>
        <w:t xml:space="preserve">ción por género </w:t>
      </w:r>
      <w:r w:rsidR="00F917A5" w:rsidRPr="00111DC0">
        <w:rPr>
          <w:rFonts w:cs="Arial"/>
          <w:b/>
          <w:bCs/>
        </w:rPr>
        <w:t xml:space="preserve">se corrobora </w:t>
      </w:r>
      <w:r w:rsidR="00FE0892" w:rsidRPr="00111DC0">
        <w:rPr>
          <w:rFonts w:cs="Arial"/>
          <w:b/>
          <w:bCs/>
        </w:rPr>
        <w:t xml:space="preserve">además </w:t>
      </w:r>
      <w:r w:rsidR="00F917A5" w:rsidRPr="00111DC0">
        <w:rPr>
          <w:rFonts w:cs="Arial"/>
          <w:b/>
          <w:bCs/>
        </w:rPr>
        <w:t xml:space="preserve">en la observancia de los datos de concurrencia por materias. </w:t>
      </w:r>
      <w:r w:rsidR="00F917A5" w:rsidRPr="00111DC0">
        <w:t>Así, a lo largo del periodo analizado, algunas convocatorias han estado plenamente masculinizadas, como la de Sistema de Aplicaciones Informáticas, Matemáticas</w:t>
      </w:r>
      <w:r w:rsidR="00525118" w:rsidRPr="00111DC0">
        <w:t xml:space="preserve"> o</w:t>
      </w:r>
      <w:r w:rsidR="00F917A5" w:rsidRPr="00111DC0">
        <w:t xml:space="preserve"> </w:t>
      </w:r>
      <w:r w:rsidR="00525118" w:rsidRPr="00111DC0">
        <w:t xml:space="preserve">Educación Física. Y otras plenamente feminizadas, como Estética o aquellas vinculadas con la atención infantil y a las personas con necesidades especiales (Audición y Lenguaje o Pedagogía Terapéutica). </w:t>
      </w:r>
    </w:p>
    <w:p w14:paraId="3BB429F3" w14:textId="77777777" w:rsidR="00626700" w:rsidRPr="00111DC0" w:rsidRDefault="00626700" w:rsidP="002A47E6"/>
    <w:p w14:paraId="6DCB250C" w14:textId="4BE48CF3" w:rsidR="00ED2F94" w:rsidRPr="00111DC0" w:rsidRDefault="00297018" w:rsidP="004B6A1B">
      <w:pPr>
        <w:pStyle w:val="Ttulo3"/>
        <w:rPr>
          <w:rFonts w:eastAsia="Helvetica Neue" w:cs="Arial"/>
        </w:rPr>
      </w:pPr>
      <w:r w:rsidRPr="00111DC0">
        <w:rPr>
          <w:rFonts w:cs="Arial"/>
        </w:rPr>
        <w:t>Publicación de los procesos selectivos</w:t>
      </w:r>
    </w:p>
    <w:p w14:paraId="1B02977E" w14:textId="7F3DFE83" w:rsidR="00297018" w:rsidRPr="00111DC0" w:rsidRDefault="00B832E2" w:rsidP="00FD7CBE">
      <w:pPr>
        <w:rPr>
          <w:rFonts w:cs="Arial"/>
        </w:rPr>
      </w:pPr>
      <w:r w:rsidRPr="00111DC0">
        <w:rPr>
          <w:rFonts w:cs="Arial"/>
        </w:rPr>
        <w:t xml:space="preserve">El acceso a todos los </w:t>
      </w:r>
      <w:r w:rsidR="00B75F96" w:rsidRPr="00111DC0">
        <w:rPr>
          <w:rFonts w:cs="Arial"/>
        </w:rPr>
        <w:t>C</w:t>
      </w:r>
      <w:r w:rsidRPr="00111DC0">
        <w:rPr>
          <w:rFonts w:cs="Arial"/>
        </w:rPr>
        <w:t xml:space="preserve">uerpos y </w:t>
      </w:r>
      <w:r w:rsidR="00B75F96" w:rsidRPr="00111DC0">
        <w:rPr>
          <w:rFonts w:cs="Arial"/>
        </w:rPr>
        <w:t>E</w:t>
      </w:r>
      <w:r w:rsidRPr="00111DC0">
        <w:rPr>
          <w:rFonts w:cs="Arial"/>
        </w:rPr>
        <w:t xml:space="preserve">scalas del funcionariado </w:t>
      </w:r>
      <w:r w:rsidR="00B8060D" w:rsidRPr="00111DC0">
        <w:rPr>
          <w:rFonts w:cs="Arial"/>
        </w:rPr>
        <w:t>y a la</w:t>
      </w:r>
      <w:r w:rsidRPr="00111DC0">
        <w:rPr>
          <w:rFonts w:cs="Arial"/>
        </w:rPr>
        <w:t xml:space="preserve">s </w:t>
      </w:r>
      <w:r w:rsidR="009072B7" w:rsidRPr="00111DC0">
        <w:rPr>
          <w:rFonts w:cs="Arial"/>
        </w:rPr>
        <w:t>C</w:t>
      </w:r>
      <w:r w:rsidR="00B8060D" w:rsidRPr="00111DC0">
        <w:rPr>
          <w:rFonts w:cs="Arial"/>
        </w:rPr>
        <w:t>ategorías</w:t>
      </w:r>
      <w:r w:rsidRPr="00111DC0">
        <w:rPr>
          <w:rFonts w:cs="Arial"/>
        </w:rPr>
        <w:t xml:space="preserve"> profesionales de personal laboral se realiza, con ocasión de vacante, mediante procesos selectivos competitivos que son publicados en el Boletín Oficial de La Rioja (BOR), así como en el tablón </w:t>
      </w:r>
      <w:r w:rsidR="001E1A18" w:rsidRPr="00111DC0">
        <w:rPr>
          <w:rFonts w:cs="Arial"/>
        </w:rPr>
        <w:t xml:space="preserve">virtual </w:t>
      </w:r>
      <w:r w:rsidRPr="00111DC0">
        <w:rPr>
          <w:rFonts w:cs="Arial"/>
        </w:rPr>
        <w:t>de anuncios y</w:t>
      </w:r>
      <w:r w:rsidR="00AF7A96" w:rsidRPr="00111DC0">
        <w:rPr>
          <w:rFonts w:cs="Arial"/>
        </w:rPr>
        <w:t xml:space="preserve"> en</w:t>
      </w:r>
      <w:r w:rsidRPr="00111DC0">
        <w:rPr>
          <w:rFonts w:cs="Arial"/>
        </w:rPr>
        <w:t xml:space="preserve"> la página </w:t>
      </w:r>
      <w:r w:rsidR="002B6796" w:rsidRPr="00111DC0">
        <w:rPr>
          <w:rFonts w:cs="Arial"/>
        </w:rPr>
        <w:t>w</w:t>
      </w:r>
      <w:r w:rsidRPr="00111DC0">
        <w:rPr>
          <w:rFonts w:cs="Arial"/>
        </w:rPr>
        <w:t xml:space="preserve">eb </w:t>
      </w:r>
      <w:r w:rsidR="004B7D0F" w:rsidRPr="00111DC0">
        <w:rPr>
          <w:rFonts w:cs="Arial"/>
        </w:rPr>
        <w:t xml:space="preserve">del Gobierno de La Rioja, </w:t>
      </w:r>
      <w:r w:rsidRPr="00111DC0">
        <w:rPr>
          <w:rFonts w:cs="Arial"/>
        </w:rPr>
        <w:t xml:space="preserve">en el </w:t>
      </w:r>
      <w:r w:rsidR="004B7D0F" w:rsidRPr="00111DC0">
        <w:rPr>
          <w:rFonts w:cs="Arial"/>
        </w:rPr>
        <w:t>á</w:t>
      </w:r>
      <w:r w:rsidRPr="00111DC0">
        <w:rPr>
          <w:rFonts w:cs="Arial"/>
        </w:rPr>
        <w:t xml:space="preserve">rea </w:t>
      </w:r>
      <w:r w:rsidR="004B7D0F" w:rsidRPr="00111DC0">
        <w:rPr>
          <w:rFonts w:cs="Arial"/>
        </w:rPr>
        <w:t xml:space="preserve">de </w:t>
      </w:r>
      <w:r w:rsidRPr="00111DC0">
        <w:rPr>
          <w:rFonts w:cs="Arial"/>
        </w:rPr>
        <w:t>Empleo Público</w:t>
      </w:r>
      <w:r w:rsidR="002A1B41" w:rsidRPr="00111DC0">
        <w:rPr>
          <w:rFonts w:cs="Arial"/>
        </w:rPr>
        <w:t xml:space="preserve">. </w:t>
      </w:r>
    </w:p>
    <w:p w14:paraId="63DABD9D" w14:textId="7D1DFCE8" w:rsidR="00B832E2" w:rsidRPr="00111DC0" w:rsidRDefault="002A1B41" w:rsidP="00FD7CBE">
      <w:pPr>
        <w:rPr>
          <w:rFonts w:cs="Arial"/>
        </w:rPr>
      </w:pPr>
      <w:r w:rsidRPr="00111DC0">
        <w:rPr>
          <w:rFonts w:cs="Arial"/>
        </w:rPr>
        <w:t>Además de estos canales</w:t>
      </w:r>
      <w:r w:rsidR="004B7D0F" w:rsidRPr="00111DC0">
        <w:rPr>
          <w:rFonts w:cs="Arial"/>
        </w:rPr>
        <w:t xml:space="preserve"> oficiales</w:t>
      </w:r>
      <w:r w:rsidRPr="00111DC0">
        <w:rPr>
          <w:rFonts w:cs="Arial"/>
        </w:rPr>
        <w:t xml:space="preserve"> existen otros que no son digitales, como las Academias de preparación de oposiciones o los boletines de información de los sindicatos</w:t>
      </w:r>
      <w:r w:rsidR="004B7D0F" w:rsidRPr="00111DC0">
        <w:rPr>
          <w:rFonts w:cs="Arial"/>
        </w:rPr>
        <w:t>,</w:t>
      </w:r>
      <w:r w:rsidR="00B832E2" w:rsidRPr="00111DC0">
        <w:rPr>
          <w:rFonts w:cs="Arial"/>
        </w:rPr>
        <w:t xml:space="preserve"> </w:t>
      </w:r>
      <w:r w:rsidR="004B7D0F" w:rsidRPr="00111DC0">
        <w:rPr>
          <w:rFonts w:cs="Arial"/>
        </w:rPr>
        <w:t xml:space="preserve">y </w:t>
      </w:r>
      <w:r w:rsidR="00ED2F94" w:rsidRPr="00111DC0">
        <w:rPr>
          <w:rFonts w:cs="Arial"/>
        </w:rPr>
        <w:t>que contribuyen a difundir la información pertinente sobre las convocatorias</w:t>
      </w:r>
      <w:r w:rsidR="006E7F1D" w:rsidRPr="00111DC0">
        <w:rPr>
          <w:rFonts w:cs="Arial"/>
        </w:rPr>
        <w:t xml:space="preserve">. </w:t>
      </w:r>
      <w:r w:rsidR="00ED2F94" w:rsidRPr="00111DC0">
        <w:rPr>
          <w:rFonts w:cs="Arial"/>
        </w:rPr>
        <w:t xml:space="preserve"> </w:t>
      </w:r>
    </w:p>
    <w:p w14:paraId="1863D68B" w14:textId="3A922D98" w:rsidR="00DD024A" w:rsidRDefault="00DD024A" w:rsidP="00350BA5">
      <w:pPr>
        <w:spacing w:after="0" w:line="280" w:lineRule="auto"/>
        <w:ind w:right="125"/>
        <w:rPr>
          <w:rFonts w:eastAsia="Helvetica Neue" w:cs="Arial"/>
        </w:rPr>
      </w:pPr>
    </w:p>
    <w:p w14:paraId="4209C461" w14:textId="627BE821" w:rsidR="00ED2F94" w:rsidRPr="00111DC0" w:rsidRDefault="00E54D5C" w:rsidP="004B6A1B">
      <w:pPr>
        <w:pStyle w:val="Ttulo3"/>
        <w:rPr>
          <w:rFonts w:cs="Arial"/>
        </w:rPr>
      </w:pPr>
      <w:r w:rsidRPr="00111DC0">
        <w:rPr>
          <w:rFonts w:eastAsia="Helvetica Neue" w:cs="Arial"/>
        </w:rPr>
        <w:t>Contenido de los temarios</w:t>
      </w:r>
    </w:p>
    <w:p w14:paraId="77ECC477" w14:textId="19244BD9" w:rsidR="00CB7ADE" w:rsidRPr="00C45F52" w:rsidRDefault="00C45F52" w:rsidP="00FD7CBE">
      <w:pPr>
        <w:rPr>
          <w:rFonts w:cs="Arial"/>
        </w:rPr>
      </w:pPr>
      <w:r>
        <w:rPr>
          <w:rFonts w:cs="Arial"/>
        </w:rPr>
        <w:t>Según el</w:t>
      </w:r>
      <w:r w:rsidR="00FC66E9" w:rsidRPr="00111DC0">
        <w:rPr>
          <w:rFonts w:cs="Arial"/>
        </w:rPr>
        <w:t xml:space="preserve"> artículo 61.1 de la </w:t>
      </w:r>
      <w:r w:rsidR="00FC66E9" w:rsidRPr="00111DC0">
        <w:rPr>
          <w:rFonts w:cs="Arial"/>
          <w:i/>
          <w:iCs/>
          <w:color w:val="78BE20"/>
        </w:rPr>
        <w:t>ley orgánica de igualdad 3/2007</w:t>
      </w:r>
      <w:r w:rsidR="000F2C23" w:rsidRPr="00111DC0">
        <w:rPr>
          <w:rFonts w:cs="Arial"/>
          <w:b/>
          <w:bCs/>
        </w:rPr>
        <w:t xml:space="preserve"> </w:t>
      </w:r>
      <w:r w:rsidR="000F2C23" w:rsidRPr="00C45F52">
        <w:rPr>
          <w:rFonts w:cs="Arial"/>
        </w:rPr>
        <w:t xml:space="preserve">es una obligación para la Administración General de La Rioja que todas las pruebas selectivas de acceso al empleo público, independientemente del grupo y del puesto que se pretenda cubrir, incorporen temario de igualdad. </w:t>
      </w:r>
    </w:p>
    <w:p w14:paraId="53A3F29A" w14:textId="733FECE0" w:rsidR="00FC66E9" w:rsidRPr="00626700" w:rsidRDefault="00FC66E9" w:rsidP="00FD7CBE">
      <w:pPr>
        <w:rPr>
          <w:rFonts w:cs="Arial"/>
          <w:b/>
          <w:bCs/>
        </w:rPr>
      </w:pPr>
      <w:r w:rsidRPr="00626700">
        <w:rPr>
          <w:rFonts w:cs="Arial"/>
          <w:b/>
          <w:bCs/>
        </w:rPr>
        <w:t xml:space="preserve">Dicho mandato </w:t>
      </w:r>
      <w:r w:rsidR="00CB7ADE" w:rsidRPr="00626700">
        <w:rPr>
          <w:rFonts w:cs="Arial"/>
          <w:b/>
          <w:bCs/>
        </w:rPr>
        <w:t xml:space="preserve">ya </w:t>
      </w:r>
      <w:r w:rsidRPr="00626700">
        <w:rPr>
          <w:rFonts w:cs="Arial"/>
          <w:b/>
          <w:bCs/>
        </w:rPr>
        <w:t xml:space="preserve">se cumple en los procesos de acceso a la Administración General de La Rioja, </w:t>
      </w:r>
      <w:r w:rsidR="000F2C23" w:rsidRPr="00626700">
        <w:rPr>
          <w:rFonts w:cs="Arial"/>
        </w:rPr>
        <w:t xml:space="preserve">aunque </w:t>
      </w:r>
      <w:r w:rsidR="00C45F52" w:rsidRPr="00626700">
        <w:rPr>
          <w:rFonts w:cs="Arial"/>
        </w:rPr>
        <w:t>s</w:t>
      </w:r>
      <w:r w:rsidR="00B33219" w:rsidRPr="00626700">
        <w:rPr>
          <w:rFonts w:cs="Arial"/>
        </w:rPr>
        <w:t>olo en el programa correspondiente a las pruebas selectivas para la provisi</w:t>
      </w:r>
      <w:r w:rsidR="00095F97" w:rsidRPr="00626700">
        <w:rPr>
          <w:rFonts w:cs="Arial"/>
        </w:rPr>
        <w:t>ó</w:t>
      </w:r>
      <w:r w:rsidR="00B33219" w:rsidRPr="00626700">
        <w:rPr>
          <w:rFonts w:cs="Arial"/>
        </w:rPr>
        <w:t xml:space="preserve">n de plazas vacantes del Cuerpo </w:t>
      </w:r>
      <w:r w:rsidR="000F2C23" w:rsidRPr="00626700">
        <w:rPr>
          <w:rFonts w:cs="Arial"/>
        </w:rPr>
        <w:t>Téc</w:t>
      </w:r>
      <w:r w:rsidR="00B33219" w:rsidRPr="00626700">
        <w:rPr>
          <w:rFonts w:cs="Arial"/>
        </w:rPr>
        <w:t xml:space="preserve">nico </w:t>
      </w:r>
      <w:r w:rsidR="004B7D0F" w:rsidRPr="00626700">
        <w:rPr>
          <w:rFonts w:cs="Arial"/>
        </w:rPr>
        <w:t>AG</w:t>
      </w:r>
      <w:r w:rsidR="004B7D0F" w:rsidRPr="00626700">
        <w:rPr>
          <w:rFonts w:cs="Arial"/>
          <w:b/>
          <w:bCs/>
        </w:rPr>
        <w:t xml:space="preserve"> </w:t>
      </w:r>
      <w:r w:rsidR="00B33219" w:rsidRPr="00111DC0">
        <w:rPr>
          <w:rFonts w:cs="Arial"/>
        </w:rPr>
        <w:t xml:space="preserve">(convocatoria FA.01/20) figura dentro del temario </w:t>
      </w:r>
      <w:r w:rsidRPr="00111DC0">
        <w:rPr>
          <w:rFonts w:cs="Arial"/>
        </w:rPr>
        <w:t>un</w:t>
      </w:r>
      <w:r w:rsidR="00B33219" w:rsidRPr="00111DC0">
        <w:rPr>
          <w:rFonts w:cs="Arial"/>
        </w:rPr>
        <w:t xml:space="preserve"> epígrafe</w:t>
      </w:r>
      <w:r w:rsidRPr="00111DC0">
        <w:rPr>
          <w:rFonts w:cs="Arial"/>
        </w:rPr>
        <w:t xml:space="preserve"> relativo al principio de igualdad en la Política Pública, como conjunto; su título es</w:t>
      </w:r>
      <w:r w:rsidR="00B33219" w:rsidRPr="00111DC0">
        <w:rPr>
          <w:rFonts w:cs="Arial"/>
        </w:rPr>
        <w:t xml:space="preserve"> “La perspectiva de </w:t>
      </w:r>
      <w:r w:rsidRPr="00111DC0">
        <w:rPr>
          <w:rFonts w:cs="Arial"/>
        </w:rPr>
        <w:t>género</w:t>
      </w:r>
      <w:r w:rsidR="00B33219" w:rsidRPr="00111DC0">
        <w:rPr>
          <w:rFonts w:cs="Arial"/>
        </w:rPr>
        <w:t xml:space="preserve"> en las </w:t>
      </w:r>
      <w:r w:rsidR="00F6440B" w:rsidRPr="00111DC0">
        <w:rPr>
          <w:rFonts w:cs="Arial"/>
        </w:rPr>
        <w:t>políticas</w:t>
      </w:r>
      <w:r w:rsidR="00B33219" w:rsidRPr="00111DC0">
        <w:rPr>
          <w:rFonts w:cs="Arial"/>
        </w:rPr>
        <w:t xml:space="preserve"> </w:t>
      </w:r>
      <w:r w:rsidR="000F2C23" w:rsidRPr="00111DC0">
        <w:rPr>
          <w:rFonts w:cs="Arial"/>
        </w:rPr>
        <w:t>públicas</w:t>
      </w:r>
      <w:r w:rsidR="00B33219" w:rsidRPr="00111DC0">
        <w:rPr>
          <w:rFonts w:cs="Arial"/>
        </w:rPr>
        <w:t>”</w:t>
      </w:r>
      <w:r w:rsidRPr="00111DC0">
        <w:rPr>
          <w:rFonts w:cs="Arial"/>
        </w:rPr>
        <w:t xml:space="preserve">. </w:t>
      </w:r>
      <w:r w:rsidR="00626700">
        <w:rPr>
          <w:rFonts w:cs="Arial"/>
        </w:rPr>
        <w:t xml:space="preserve">Así, </w:t>
      </w:r>
      <w:r w:rsidR="00CB7ADE" w:rsidRPr="00626700">
        <w:rPr>
          <w:rFonts w:cs="Arial"/>
        </w:rPr>
        <w:t>no todas las convocatorias incluyen un temario de igualdad adaptado a las necesidades integrales de la estrategia de la transversalidad de género</w:t>
      </w:r>
      <w:r w:rsidR="006C147A" w:rsidRPr="00626700">
        <w:rPr>
          <w:rFonts w:cs="Arial"/>
        </w:rPr>
        <w:t xml:space="preserve"> tal y como lo exige el artículo 15</w:t>
      </w:r>
      <w:r w:rsidR="006C147A" w:rsidRPr="00111DC0">
        <w:rPr>
          <w:rFonts w:cs="Arial"/>
        </w:rPr>
        <w:t xml:space="preserve"> de la </w:t>
      </w:r>
      <w:r w:rsidR="006C147A" w:rsidRPr="00111DC0">
        <w:rPr>
          <w:rFonts w:cs="Arial"/>
          <w:i/>
          <w:iCs/>
          <w:color w:val="78BE20"/>
        </w:rPr>
        <w:t>ley orgánica de igualdad</w:t>
      </w:r>
      <w:r w:rsidR="00160C81" w:rsidRPr="00111DC0">
        <w:rPr>
          <w:rFonts w:cs="Arial"/>
        </w:rPr>
        <w:t xml:space="preserve"> en relación con los criterios de actuación de los Poderes Públicos</w:t>
      </w:r>
      <w:r w:rsidR="004B7D0F" w:rsidRPr="00111DC0">
        <w:rPr>
          <w:rFonts w:cs="Arial"/>
        </w:rPr>
        <w:t xml:space="preserve">. Por el contrario, </w:t>
      </w:r>
      <w:r w:rsidR="004B7D0F" w:rsidRPr="00626700">
        <w:rPr>
          <w:rFonts w:cs="Arial"/>
        </w:rPr>
        <w:t>los temarios del resto de las convocatorias</w:t>
      </w:r>
      <w:r w:rsidR="00CB7ADE" w:rsidRPr="00626700">
        <w:rPr>
          <w:rFonts w:cs="Arial"/>
        </w:rPr>
        <w:t xml:space="preserve"> trasladan una visión parcial y limitada de la política de igualdad.</w:t>
      </w:r>
      <w:r w:rsidR="00CB7ADE" w:rsidRPr="00626700">
        <w:rPr>
          <w:rFonts w:cs="Arial"/>
          <w:b/>
          <w:bCs/>
        </w:rPr>
        <w:t xml:space="preserve"> </w:t>
      </w:r>
    </w:p>
    <w:p w14:paraId="7A15A5F7" w14:textId="62F6B8C9" w:rsidR="004A46D7" w:rsidRPr="00C45F52" w:rsidRDefault="00C45F52" w:rsidP="00B24DB7">
      <w:pPr>
        <w:rPr>
          <w:rFonts w:cs="Arial"/>
        </w:rPr>
      </w:pPr>
      <w:r>
        <w:rPr>
          <w:rFonts w:cs="Arial"/>
        </w:rPr>
        <w:t>P</w:t>
      </w:r>
      <w:r w:rsidR="004A46D7" w:rsidRPr="00111DC0">
        <w:rPr>
          <w:rFonts w:cs="Arial"/>
        </w:rPr>
        <w:t xml:space="preserve">ara </w:t>
      </w:r>
      <w:r w:rsidR="000F2C23" w:rsidRPr="00111DC0">
        <w:rPr>
          <w:rFonts w:cs="Arial"/>
        </w:rPr>
        <w:t>hacer posible</w:t>
      </w:r>
      <w:r w:rsidR="004A46D7" w:rsidRPr="00111DC0">
        <w:rPr>
          <w:rFonts w:cs="Arial"/>
        </w:rPr>
        <w:t xml:space="preserve"> la estrategia de la transversalidad de género</w:t>
      </w:r>
      <w:r w:rsidR="000F2C23" w:rsidRPr="00111DC0">
        <w:rPr>
          <w:rFonts w:cs="Arial"/>
        </w:rPr>
        <w:t xml:space="preserve"> en la Administración General de La Rioja</w:t>
      </w:r>
      <w:r w:rsidR="004A46D7" w:rsidRPr="00111DC0">
        <w:rPr>
          <w:rFonts w:cs="Arial"/>
        </w:rPr>
        <w:t xml:space="preserve">, </w:t>
      </w:r>
      <w:r w:rsidR="000F2C23" w:rsidRPr="00C45F52">
        <w:rPr>
          <w:rFonts w:cs="Arial"/>
          <w:b/>
          <w:bCs/>
        </w:rPr>
        <w:t xml:space="preserve">el temario de igualdad tendrá que </w:t>
      </w:r>
      <w:r w:rsidR="004A46D7" w:rsidRPr="00C45F52">
        <w:rPr>
          <w:rFonts w:cs="Arial"/>
          <w:b/>
          <w:bCs/>
        </w:rPr>
        <w:t xml:space="preserve">ser </w:t>
      </w:r>
      <w:r w:rsidR="000F2C23" w:rsidRPr="00C45F52">
        <w:rPr>
          <w:rFonts w:cs="Arial"/>
          <w:b/>
          <w:bCs/>
        </w:rPr>
        <w:t xml:space="preserve">necesariamente </w:t>
      </w:r>
      <w:r w:rsidR="004A46D7" w:rsidRPr="00C45F52">
        <w:rPr>
          <w:rFonts w:cs="Arial"/>
          <w:b/>
          <w:bCs/>
        </w:rPr>
        <w:t xml:space="preserve">independiente de las políticas sociales </w:t>
      </w:r>
      <w:r w:rsidR="000F2C23" w:rsidRPr="00C45F52">
        <w:rPr>
          <w:rFonts w:cs="Arial"/>
          <w:b/>
          <w:bCs/>
        </w:rPr>
        <w:t>al tiempo que deberá adoptar</w:t>
      </w:r>
      <w:r w:rsidR="004A46D7" w:rsidRPr="00C45F52">
        <w:rPr>
          <w:rFonts w:cs="Arial"/>
          <w:b/>
          <w:bCs/>
        </w:rPr>
        <w:t xml:space="preserve"> un enfoque global, transversal, a toda la actividad pública y administrativa.</w:t>
      </w:r>
      <w:r w:rsidR="004A46D7" w:rsidRPr="00C45F52">
        <w:rPr>
          <w:rFonts w:cs="Arial"/>
        </w:rPr>
        <w:t xml:space="preserve"> </w:t>
      </w:r>
    </w:p>
    <w:p w14:paraId="201A45DB" w14:textId="7473D152" w:rsidR="00DD024A" w:rsidRDefault="00DD024A" w:rsidP="00B24DB7">
      <w:pPr>
        <w:rPr>
          <w:rFonts w:cs="Arial"/>
        </w:rPr>
      </w:pPr>
      <w:r>
        <w:rPr>
          <w:rFonts w:cs="Arial"/>
        </w:rPr>
        <w:br w:type="page"/>
      </w:r>
    </w:p>
    <w:p w14:paraId="31C94DCC" w14:textId="77777777" w:rsidR="00BE0800" w:rsidRPr="00111DC0" w:rsidRDefault="00BE0800" w:rsidP="004B6A1B">
      <w:pPr>
        <w:pStyle w:val="Ttulo3"/>
        <w:rPr>
          <w:rFonts w:cs="Arial"/>
        </w:rPr>
      </w:pPr>
      <w:r w:rsidRPr="00111DC0">
        <w:rPr>
          <w:rFonts w:cs="Arial"/>
        </w:rPr>
        <w:t xml:space="preserve">Composición de Tribunales </w:t>
      </w:r>
    </w:p>
    <w:p w14:paraId="4F9AB9B2" w14:textId="6221D1FE" w:rsidR="00E755CF" w:rsidRPr="00111DC0" w:rsidRDefault="00443628" w:rsidP="00FD7CBE">
      <w:pPr>
        <w:rPr>
          <w:rFonts w:cs="Arial"/>
        </w:rPr>
      </w:pPr>
      <w:r w:rsidRPr="00111DC0">
        <w:rPr>
          <w:rFonts w:cs="Arial"/>
        </w:rPr>
        <w:t xml:space="preserve">El artículo 53 de la </w:t>
      </w:r>
      <w:r w:rsidRPr="00111DC0">
        <w:rPr>
          <w:rFonts w:cs="Arial"/>
          <w:i/>
          <w:iCs/>
          <w:color w:val="78BE20"/>
        </w:rPr>
        <w:t>ley orgánica de igualdad 3/2007</w:t>
      </w:r>
      <w:r w:rsidRPr="00111DC0">
        <w:rPr>
          <w:rFonts w:cs="Arial"/>
        </w:rPr>
        <w:t xml:space="preserve">, dicta </w:t>
      </w:r>
      <w:r w:rsidR="00C15647" w:rsidRPr="00111DC0">
        <w:rPr>
          <w:rFonts w:cs="Arial"/>
        </w:rPr>
        <w:t>la presencia equilibrada de mujeres y hombres en los Tribunales y Órganos de selección del personal público</w:t>
      </w:r>
      <w:r w:rsidR="00C42FDF" w:rsidRPr="00111DC0">
        <w:rPr>
          <w:rFonts w:cs="Arial"/>
        </w:rPr>
        <w:t>,</w:t>
      </w:r>
      <w:r w:rsidR="00C15647" w:rsidRPr="00111DC0">
        <w:rPr>
          <w:rFonts w:cs="Arial"/>
        </w:rPr>
        <w:t xml:space="preserve"> así como en las Comisiones de valoración de méritos. </w:t>
      </w:r>
      <w:r w:rsidR="00E755CF" w:rsidRPr="00111DC0">
        <w:rPr>
          <w:rFonts w:cs="Arial"/>
        </w:rPr>
        <w:t xml:space="preserve">Durante el periodo analizado (2017-2021), </w:t>
      </w:r>
      <w:r w:rsidR="00CC6A6F" w:rsidRPr="00111DC0">
        <w:rPr>
          <w:rFonts w:cs="Arial"/>
          <w:b/>
          <w:bCs/>
        </w:rPr>
        <w:t>la composición de todos los Tribunales constituidos para las convocatorias de acceso al empleo público en los Servicios Generales de La Rioja ha</w:t>
      </w:r>
      <w:r w:rsidR="00E755CF" w:rsidRPr="00111DC0">
        <w:rPr>
          <w:rFonts w:cs="Arial"/>
          <w:b/>
          <w:bCs/>
        </w:rPr>
        <w:t xml:space="preserve"> respondido al principio de la representación equilibrada</w:t>
      </w:r>
      <w:r w:rsidR="00475B52" w:rsidRPr="00111DC0">
        <w:rPr>
          <w:rFonts w:cs="Arial"/>
          <w:b/>
          <w:bCs/>
        </w:rPr>
        <w:t>,</w:t>
      </w:r>
      <w:r w:rsidR="00475B52" w:rsidRPr="00111DC0">
        <w:rPr>
          <w:rFonts w:cs="Arial"/>
        </w:rPr>
        <w:t xml:space="preserve"> aunque con mayor presencia femenina</w:t>
      </w:r>
      <w:r w:rsidR="00626700">
        <w:rPr>
          <w:rFonts w:cs="Arial"/>
        </w:rPr>
        <w:t xml:space="preserve"> (</w:t>
      </w:r>
      <w:r w:rsidR="00475B52" w:rsidRPr="00111DC0">
        <w:rPr>
          <w:rFonts w:cs="Arial"/>
        </w:rPr>
        <w:t>57%</w:t>
      </w:r>
      <w:r w:rsidR="00626700">
        <w:rPr>
          <w:rFonts w:cs="Arial"/>
        </w:rPr>
        <w:t>).</w:t>
      </w:r>
    </w:p>
    <w:p w14:paraId="71C0DFA1" w14:textId="6A582EFA" w:rsidR="00923C91" w:rsidRPr="00111DC0" w:rsidRDefault="00E755CF" w:rsidP="00FD7CBE">
      <w:pPr>
        <w:rPr>
          <w:rFonts w:cs="Arial"/>
        </w:rPr>
      </w:pPr>
      <w:r w:rsidRPr="00111DC0">
        <w:rPr>
          <w:rFonts w:cs="Arial"/>
        </w:rPr>
        <w:t>No obstante, lo relevante no es solo la composición global de dichos órganos, sino la fórmula en la que participan mujeres y hombres</w:t>
      </w:r>
      <w:r w:rsidR="00EA43CB" w:rsidRPr="00111DC0">
        <w:rPr>
          <w:rFonts w:cs="Arial"/>
        </w:rPr>
        <w:t xml:space="preserve">, es decir, </w:t>
      </w:r>
      <w:r w:rsidRPr="00111DC0">
        <w:rPr>
          <w:rFonts w:cs="Arial"/>
        </w:rPr>
        <w:t>el cargo que ocupan dentro de cada uno de los Tribunales</w:t>
      </w:r>
      <w:r w:rsidR="005C1153" w:rsidRPr="00111DC0">
        <w:rPr>
          <w:rFonts w:cs="Arial"/>
        </w:rPr>
        <w:t xml:space="preserve"> constituidos</w:t>
      </w:r>
      <w:r w:rsidRPr="00111DC0">
        <w:rPr>
          <w:rFonts w:cs="Arial"/>
        </w:rPr>
        <w:t xml:space="preserve">. </w:t>
      </w:r>
      <w:r w:rsidR="00FD282A" w:rsidRPr="00111DC0">
        <w:rPr>
          <w:rFonts w:cs="Arial"/>
          <w:b/>
          <w:bCs/>
        </w:rPr>
        <w:t xml:space="preserve">Los datos </w:t>
      </w:r>
      <w:r w:rsidR="009B0A03" w:rsidRPr="00111DC0">
        <w:rPr>
          <w:rFonts w:cs="Arial"/>
          <w:b/>
          <w:bCs/>
        </w:rPr>
        <w:t xml:space="preserve">destacan </w:t>
      </w:r>
      <w:r w:rsidR="00FD282A" w:rsidRPr="00111DC0">
        <w:rPr>
          <w:rFonts w:cs="Arial"/>
          <w:b/>
          <w:bCs/>
        </w:rPr>
        <w:t>la sensible desproporción entre mujeres y hombres en la ocupación de</w:t>
      </w:r>
      <w:r w:rsidR="00EA43CB" w:rsidRPr="00111DC0">
        <w:rPr>
          <w:rFonts w:cs="Arial"/>
          <w:b/>
          <w:bCs/>
        </w:rPr>
        <w:t xml:space="preserve"> los diferentes cargos, particularmente llamativa entre la</w:t>
      </w:r>
      <w:r w:rsidR="00FD282A" w:rsidRPr="00111DC0">
        <w:rPr>
          <w:rFonts w:cs="Arial"/>
          <w:b/>
          <w:bCs/>
        </w:rPr>
        <w:t xml:space="preserve"> </w:t>
      </w:r>
      <w:r w:rsidR="00C42FDF" w:rsidRPr="00111DC0">
        <w:rPr>
          <w:rFonts w:cs="Arial"/>
          <w:b/>
          <w:bCs/>
        </w:rPr>
        <w:t>P</w:t>
      </w:r>
      <w:r w:rsidR="00FD282A" w:rsidRPr="00111DC0">
        <w:rPr>
          <w:rFonts w:cs="Arial"/>
          <w:b/>
          <w:bCs/>
        </w:rPr>
        <w:t>residencia de Tribunales</w:t>
      </w:r>
      <w:r w:rsidR="00EA43CB" w:rsidRPr="00111DC0">
        <w:rPr>
          <w:rFonts w:cs="Arial"/>
          <w:b/>
          <w:bCs/>
        </w:rPr>
        <w:t xml:space="preserve"> y </w:t>
      </w:r>
      <w:r w:rsidR="00C42FDF" w:rsidRPr="00111DC0">
        <w:rPr>
          <w:rFonts w:cs="Arial"/>
          <w:b/>
          <w:bCs/>
        </w:rPr>
        <w:t>las</w:t>
      </w:r>
      <w:r w:rsidR="00EA43CB" w:rsidRPr="00111DC0">
        <w:rPr>
          <w:rFonts w:cs="Arial"/>
          <w:b/>
          <w:bCs/>
        </w:rPr>
        <w:t xml:space="preserve"> </w:t>
      </w:r>
      <w:r w:rsidR="00C42FDF" w:rsidRPr="00111DC0">
        <w:rPr>
          <w:rFonts w:cs="Arial"/>
          <w:b/>
          <w:bCs/>
        </w:rPr>
        <w:t>V</w:t>
      </w:r>
      <w:r w:rsidR="00EA43CB" w:rsidRPr="00111DC0">
        <w:rPr>
          <w:rFonts w:cs="Arial"/>
          <w:b/>
          <w:bCs/>
        </w:rPr>
        <w:t>ocalías</w:t>
      </w:r>
      <w:r w:rsidR="00FD282A" w:rsidRPr="00111DC0">
        <w:rPr>
          <w:rFonts w:cs="Arial"/>
          <w:b/>
          <w:bCs/>
        </w:rPr>
        <w:t xml:space="preserve">. </w:t>
      </w:r>
    </w:p>
    <w:p w14:paraId="26F558B2" w14:textId="37D32F52" w:rsidR="00443628" w:rsidRPr="00111DC0" w:rsidRDefault="00EE19BE" w:rsidP="00350BA5">
      <w:pPr>
        <w:widowControl w:val="0"/>
        <w:spacing w:after="0" w:line="280" w:lineRule="auto"/>
        <w:ind w:right="125"/>
        <w:rPr>
          <w:rFonts w:eastAsia="Helvetica Neue" w:cs="Arial"/>
        </w:rPr>
      </w:pPr>
      <w:r w:rsidRPr="00111DC0">
        <w:rPr>
          <w:rFonts w:cs="Arial"/>
          <w:noProof/>
          <w:color w:val="EA0000"/>
          <w:sz w:val="24"/>
          <w:szCs w:val="24"/>
          <w:lang w:eastAsia="es-ES"/>
        </w:rPr>
        <w:drawing>
          <wp:inline distT="0" distB="0" distL="0" distR="0" wp14:anchorId="3BCB2CE3" wp14:editId="72F659BC">
            <wp:extent cx="5400040" cy="3150235"/>
            <wp:effectExtent l="0" t="0" r="0" b="0"/>
            <wp:docPr id="36" name="Gráfico 36"/>
            <wp:cNvGraphicFramePr/>
            <a:graphic xmlns:a="http://schemas.openxmlformats.org/drawingml/2006/main">
              <a:graphicData uri="http://schemas.openxmlformats.org/drawingml/2006/chart">
                <c:chart xmlns:c="http://schemas.openxmlformats.org/drawingml/2006/chart" r:id="rId42"/>
              </a:graphicData>
            </a:graphic>
          </wp:inline>
        </w:drawing>
      </w:r>
    </w:p>
    <w:p w14:paraId="5BE07FBF" w14:textId="6B8B37B3" w:rsidR="00EA43CB" w:rsidRPr="00111DC0" w:rsidRDefault="00EA43CB">
      <w:pPr>
        <w:spacing w:before="0" w:after="160" w:line="259" w:lineRule="auto"/>
        <w:jc w:val="left"/>
        <w:rPr>
          <w:rFonts w:eastAsia="Helvetica Neue" w:cs="Arial"/>
        </w:rPr>
      </w:pPr>
    </w:p>
    <w:p w14:paraId="4907CA39" w14:textId="2D22F569" w:rsidR="0017789F" w:rsidRPr="00111DC0" w:rsidRDefault="001649DF" w:rsidP="00B90550">
      <w:pPr>
        <w:rPr>
          <w:rFonts w:cs="Arial"/>
        </w:rPr>
      </w:pPr>
      <w:r w:rsidRPr="00111DC0">
        <w:rPr>
          <w:rFonts w:cs="Arial"/>
        </w:rPr>
        <w:t xml:space="preserve">De </w:t>
      </w:r>
      <w:r w:rsidR="00221458" w:rsidRPr="00111DC0">
        <w:rPr>
          <w:rFonts w:cs="Arial"/>
        </w:rPr>
        <w:t xml:space="preserve">todos </w:t>
      </w:r>
      <w:r w:rsidRPr="00111DC0">
        <w:rPr>
          <w:rFonts w:cs="Arial"/>
        </w:rPr>
        <w:t xml:space="preserve">estos datos se deduce que, </w:t>
      </w:r>
      <w:r w:rsidR="000327E1" w:rsidRPr="00111DC0">
        <w:rPr>
          <w:rFonts w:cs="Arial"/>
        </w:rPr>
        <w:t>aunque</w:t>
      </w:r>
      <w:r w:rsidRPr="00111DC0">
        <w:rPr>
          <w:rFonts w:cs="Arial"/>
        </w:rPr>
        <w:t xml:space="preserve"> sí exista presencia equilibrada en el total </w:t>
      </w:r>
      <w:r w:rsidR="00823B20" w:rsidRPr="00111DC0">
        <w:rPr>
          <w:rFonts w:cs="Arial"/>
        </w:rPr>
        <w:t xml:space="preserve">de </w:t>
      </w:r>
      <w:r w:rsidRPr="00111DC0">
        <w:rPr>
          <w:rFonts w:cs="Arial"/>
        </w:rPr>
        <w:t>integrantes</w:t>
      </w:r>
      <w:r w:rsidR="00612DB3" w:rsidRPr="00111DC0">
        <w:rPr>
          <w:rFonts w:cs="Arial"/>
        </w:rPr>
        <w:t xml:space="preserve"> de los Tribunales Calificadores</w:t>
      </w:r>
      <w:r w:rsidRPr="00111DC0">
        <w:rPr>
          <w:rFonts w:cs="Arial"/>
        </w:rPr>
        <w:t xml:space="preserve">, </w:t>
      </w:r>
      <w:r w:rsidRPr="00111DC0">
        <w:rPr>
          <w:rFonts w:cs="Arial"/>
          <w:b/>
          <w:bCs/>
        </w:rPr>
        <w:t xml:space="preserve">se debe </w:t>
      </w:r>
      <w:r w:rsidR="000327E1" w:rsidRPr="00111DC0">
        <w:rPr>
          <w:rFonts w:cs="Arial"/>
          <w:b/>
          <w:bCs/>
        </w:rPr>
        <w:t>promover</w:t>
      </w:r>
      <w:r w:rsidRPr="00111DC0">
        <w:rPr>
          <w:rFonts w:cs="Arial"/>
          <w:b/>
          <w:bCs/>
        </w:rPr>
        <w:t xml:space="preserve"> de forma más activa la inversión de papeles dentro de los propios órganos, favoreciendo </w:t>
      </w:r>
      <w:r w:rsidR="000327E1" w:rsidRPr="00111DC0">
        <w:rPr>
          <w:rFonts w:cs="Arial"/>
          <w:b/>
          <w:bCs/>
        </w:rPr>
        <w:t>particularmente</w:t>
      </w:r>
      <w:r w:rsidRPr="00111DC0">
        <w:rPr>
          <w:rFonts w:cs="Arial"/>
          <w:b/>
          <w:bCs/>
        </w:rPr>
        <w:t xml:space="preserve"> la participación de mujeres como presidentas.</w:t>
      </w:r>
      <w:r w:rsidR="0044221C" w:rsidRPr="00111DC0">
        <w:rPr>
          <w:rFonts w:cs="Arial"/>
        </w:rPr>
        <w:t xml:space="preserve"> Baste insistir que, </w:t>
      </w:r>
      <w:r w:rsidR="0017789F" w:rsidRPr="00111DC0">
        <w:rPr>
          <w:rFonts w:cs="Arial"/>
        </w:rPr>
        <w:t xml:space="preserve">durante el periodo estudiado, </w:t>
      </w:r>
      <w:r w:rsidR="0044221C" w:rsidRPr="00111DC0">
        <w:rPr>
          <w:rFonts w:cs="Arial"/>
        </w:rPr>
        <w:t>de las seis Presidencias solamente una ha sido ocupada por una mujer.</w:t>
      </w:r>
    </w:p>
    <w:p w14:paraId="4AF1C7BA" w14:textId="77777777" w:rsidR="0079072D" w:rsidRDefault="0079072D">
      <w:pPr>
        <w:spacing w:before="0" w:after="160" w:line="259" w:lineRule="auto"/>
        <w:jc w:val="left"/>
        <w:rPr>
          <w:rFonts w:cs="Arial"/>
        </w:rPr>
      </w:pPr>
      <w:r>
        <w:rPr>
          <w:rFonts w:cs="Arial"/>
        </w:rPr>
        <w:br w:type="page"/>
      </w:r>
    </w:p>
    <w:p w14:paraId="456DC024" w14:textId="566001B8" w:rsidR="000327E1" w:rsidRPr="00111DC0" w:rsidRDefault="0079072D" w:rsidP="00B90550">
      <w:pPr>
        <w:rPr>
          <w:rFonts w:cs="Arial"/>
        </w:rPr>
      </w:pPr>
      <w:r>
        <w:rPr>
          <w:rFonts w:cs="Arial"/>
        </w:rPr>
        <w:t>L</w:t>
      </w:r>
      <w:r w:rsidR="000327E1" w:rsidRPr="00111DC0">
        <w:rPr>
          <w:rFonts w:cs="Arial"/>
        </w:rPr>
        <w:t xml:space="preserve">os </w:t>
      </w:r>
      <w:r>
        <w:rPr>
          <w:rFonts w:cs="Arial"/>
        </w:rPr>
        <w:t xml:space="preserve">datos de los </w:t>
      </w:r>
      <w:r w:rsidR="000327E1" w:rsidRPr="00111DC0">
        <w:rPr>
          <w:rFonts w:cs="Arial"/>
        </w:rPr>
        <w:t xml:space="preserve">Tribunales de las pruebas de acceso a puestos de </w:t>
      </w:r>
      <w:r w:rsidR="00832653" w:rsidRPr="00111DC0">
        <w:rPr>
          <w:rFonts w:cs="Arial"/>
        </w:rPr>
        <w:t>Personal Docente</w:t>
      </w:r>
      <w:r w:rsidR="000327E1" w:rsidRPr="00111DC0">
        <w:rPr>
          <w:rFonts w:cs="Arial"/>
        </w:rPr>
        <w:t xml:space="preserve">, </w:t>
      </w:r>
      <w:r w:rsidR="000327E1" w:rsidRPr="00111DC0">
        <w:rPr>
          <w:rFonts w:cs="Arial"/>
          <w:b/>
          <w:bCs/>
        </w:rPr>
        <w:t xml:space="preserve">no están </w:t>
      </w:r>
      <w:r w:rsidR="00D45D17" w:rsidRPr="00111DC0">
        <w:rPr>
          <w:rFonts w:cs="Arial"/>
          <w:b/>
          <w:bCs/>
        </w:rPr>
        <w:t>clasificados por c</w:t>
      </w:r>
      <w:r w:rsidR="000327E1" w:rsidRPr="00111DC0">
        <w:rPr>
          <w:rFonts w:cs="Arial"/>
          <w:b/>
          <w:bCs/>
        </w:rPr>
        <w:t xml:space="preserve">argo, </w:t>
      </w:r>
      <w:r w:rsidR="000327E1" w:rsidRPr="00111DC0">
        <w:rPr>
          <w:rFonts w:cs="Arial"/>
        </w:rPr>
        <w:t xml:space="preserve">pero sí ofrecen información desagregada </w:t>
      </w:r>
      <w:r w:rsidR="00D45D17" w:rsidRPr="00111DC0">
        <w:rPr>
          <w:rFonts w:cs="Arial"/>
        </w:rPr>
        <w:t>por sexo</w:t>
      </w:r>
      <w:r w:rsidR="000327E1" w:rsidRPr="00111DC0">
        <w:rPr>
          <w:rFonts w:cs="Arial"/>
        </w:rPr>
        <w:t xml:space="preserve">. Así, </w:t>
      </w:r>
      <w:r w:rsidR="00986686" w:rsidRPr="00111DC0">
        <w:rPr>
          <w:rFonts w:cs="Arial"/>
        </w:rPr>
        <w:t xml:space="preserve">de los 23 Tribunales constituidos, 6 cuentan con presencia equilibrada de mujeres y hombres, 9 están feminizados con una presencia de mujeres por encima del 70% y otros 6 cuentan con una masculinización por encima del 70%. </w:t>
      </w:r>
      <w:r w:rsidR="00183866" w:rsidRPr="00111DC0">
        <w:rPr>
          <w:rFonts w:cs="Arial"/>
        </w:rPr>
        <w:t xml:space="preserve">Para poder profundizar en la segregación interna de estos Tribunales, tal y como se ha hecho en los de los Servicios Generales, será preciso incluir la variable “cargo” en la recogida de información a partir de ahora. </w:t>
      </w:r>
    </w:p>
    <w:p w14:paraId="4B1CDCE0" w14:textId="77777777" w:rsidR="00F5335A" w:rsidRPr="00111DC0" w:rsidRDefault="006D1766" w:rsidP="00B90550">
      <w:pPr>
        <w:rPr>
          <w:rFonts w:cs="Arial"/>
          <w:b/>
          <w:bCs/>
        </w:rPr>
      </w:pPr>
      <w:r w:rsidRPr="00111DC0">
        <w:rPr>
          <w:rFonts w:cs="Arial"/>
        </w:rPr>
        <w:t>En último lugar, y como observación adicional del análisis, cabe destacar que, h</w:t>
      </w:r>
      <w:r w:rsidR="00BE0800" w:rsidRPr="00111DC0">
        <w:rPr>
          <w:rFonts w:cs="Arial"/>
        </w:rPr>
        <w:t>asta la fecha</w:t>
      </w:r>
      <w:r w:rsidRPr="00111DC0">
        <w:rPr>
          <w:rFonts w:cs="Arial"/>
        </w:rPr>
        <w:t>,</w:t>
      </w:r>
      <w:r w:rsidR="00BE0800" w:rsidRPr="00111DC0">
        <w:rPr>
          <w:rFonts w:cs="Arial"/>
        </w:rPr>
        <w:t xml:space="preserve"> </w:t>
      </w:r>
      <w:r w:rsidR="00BE0800" w:rsidRPr="00111DC0">
        <w:rPr>
          <w:rFonts w:cs="Arial"/>
          <w:b/>
          <w:bCs/>
        </w:rPr>
        <w:t xml:space="preserve">no se ha exigido que las personas pertenecientes a </w:t>
      </w:r>
      <w:r w:rsidRPr="00111DC0">
        <w:rPr>
          <w:rFonts w:cs="Arial"/>
          <w:b/>
          <w:bCs/>
        </w:rPr>
        <w:t>los</w:t>
      </w:r>
      <w:r w:rsidR="00BE0800" w:rsidRPr="00111DC0">
        <w:rPr>
          <w:rFonts w:cs="Arial"/>
          <w:b/>
          <w:bCs/>
        </w:rPr>
        <w:t xml:space="preserve"> </w:t>
      </w:r>
      <w:r w:rsidRPr="00111DC0">
        <w:rPr>
          <w:rFonts w:cs="Arial"/>
          <w:b/>
          <w:bCs/>
        </w:rPr>
        <w:t>T</w:t>
      </w:r>
      <w:r w:rsidR="00BE0800" w:rsidRPr="00111DC0">
        <w:rPr>
          <w:rFonts w:cs="Arial"/>
          <w:b/>
          <w:bCs/>
        </w:rPr>
        <w:t xml:space="preserve">ribunales calificadores de oposiciones o que participen en los distintos procesos de acceso al empleo </w:t>
      </w:r>
      <w:r w:rsidRPr="00111DC0">
        <w:rPr>
          <w:rFonts w:cs="Arial"/>
          <w:b/>
          <w:bCs/>
        </w:rPr>
        <w:t>deban disponer</w:t>
      </w:r>
      <w:r w:rsidR="00BE0800" w:rsidRPr="00111DC0">
        <w:rPr>
          <w:rFonts w:cs="Arial"/>
          <w:b/>
          <w:bCs/>
        </w:rPr>
        <w:t xml:space="preserve"> de formación específica en igualdad</w:t>
      </w:r>
      <w:r w:rsidR="007D4EC0" w:rsidRPr="00111DC0">
        <w:rPr>
          <w:rFonts w:cs="Arial"/>
          <w:b/>
          <w:bCs/>
        </w:rPr>
        <w:t xml:space="preserve"> o en identificación de los sesgos inconscientes de género</w:t>
      </w:r>
      <w:r w:rsidRPr="00111DC0">
        <w:rPr>
          <w:rFonts w:cs="Arial"/>
          <w:b/>
          <w:bCs/>
        </w:rPr>
        <w:t xml:space="preserve">. </w:t>
      </w:r>
    </w:p>
    <w:p w14:paraId="2B0D157A" w14:textId="650B936C" w:rsidR="00B90550" w:rsidRPr="00111DC0" w:rsidRDefault="00B90550">
      <w:pPr>
        <w:spacing w:before="0" w:after="160" w:line="259" w:lineRule="auto"/>
        <w:jc w:val="left"/>
        <w:rPr>
          <w:rFonts w:eastAsiaTheme="majorEastAsia" w:cs="Arial"/>
          <w:b/>
          <w:bCs/>
          <w:snapToGrid w:val="0"/>
          <w:color w:val="78BE20"/>
          <w:szCs w:val="26"/>
        </w:rPr>
      </w:pPr>
    </w:p>
    <w:p w14:paraId="6C76742A" w14:textId="77777777" w:rsidR="00F053C8" w:rsidRDefault="00F053C8" w:rsidP="004B6A1B">
      <w:pPr>
        <w:pStyle w:val="Ttulo3"/>
        <w:rPr>
          <w:rFonts w:cs="Arial"/>
        </w:rPr>
      </w:pPr>
      <w:r>
        <w:rPr>
          <w:rFonts w:cs="Arial"/>
        </w:rPr>
        <w:br w:type="page"/>
      </w:r>
    </w:p>
    <w:p w14:paraId="4E4FC20D" w14:textId="29D1B0C0" w:rsidR="00613309" w:rsidRPr="00111DC0" w:rsidRDefault="00613309" w:rsidP="004B6A1B">
      <w:pPr>
        <w:pStyle w:val="Ttulo3"/>
        <w:rPr>
          <w:rFonts w:cs="Arial"/>
        </w:rPr>
      </w:pPr>
      <w:r w:rsidRPr="00111DC0">
        <w:rPr>
          <w:rFonts w:cs="Arial"/>
        </w:rPr>
        <w:t>Conclusiones</w:t>
      </w:r>
    </w:p>
    <w:p w14:paraId="087B5C7C" w14:textId="6733ADAE" w:rsidR="00613309" w:rsidRPr="00111DC0" w:rsidRDefault="0076503E" w:rsidP="00DE69A1">
      <w:pPr>
        <w:pStyle w:val="Ttulo4"/>
        <w:rPr>
          <w:rFonts w:cs="Arial"/>
        </w:rPr>
      </w:pPr>
      <w:r w:rsidRPr="00111DC0">
        <w:rPr>
          <w:rFonts w:cs="Arial"/>
        </w:rPr>
        <w:t xml:space="preserve">Fortalezas </w:t>
      </w:r>
    </w:p>
    <w:p w14:paraId="449ADCAE" w14:textId="4F2040BE" w:rsidR="00613309" w:rsidRPr="00111DC0" w:rsidRDefault="00613309" w:rsidP="00613309">
      <w:pPr>
        <w:rPr>
          <w:rFonts w:cs="Arial"/>
        </w:rPr>
      </w:pPr>
      <w:r w:rsidRPr="00111DC0">
        <w:rPr>
          <w:rFonts w:cs="Arial"/>
          <w:noProof/>
          <w:sz w:val="20"/>
          <w:szCs w:val="18"/>
          <w:lang w:eastAsia="es-ES"/>
        </w:rPr>
        <w:drawing>
          <wp:inline distT="0" distB="0" distL="0" distR="0" wp14:anchorId="41EA8D8E" wp14:editId="5E455088">
            <wp:extent cx="299923" cy="299923"/>
            <wp:effectExtent l="0" t="0" r="0" b="0"/>
            <wp:docPr id="114" name="Gráfico 114"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0E2B01">
        <w:rPr>
          <w:rFonts w:cs="Arial"/>
          <w:b/>
          <w:bCs/>
        </w:rPr>
        <w:t>La mayoría de las empleadas (69%) y de los empleados públicos (78%) considera que sí existe igualdad</w:t>
      </w:r>
      <w:r w:rsidRPr="00111DC0">
        <w:rPr>
          <w:rFonts w:cs="Arial"/>
        </w:rPr>
        <w:t xml:space="preserve"> entre mujeres y hombres en la selección de personal.</w:t>
      </w:r>
    </w:p>
    <w:p w14:paraId="75971804" w14:textId="06DF098D" w:rsidR="00613309" w:rsidRPr="00111DC0" w:rsidRDefault="00613309" w:rsidP="00613309">
      <w:pPr>
        <w:rPr>
          <w:rFonts w:cs="Arial"/>
        </w:rPr>
      </w:pPr>
      <w:r w:rsidRPr="00111DC0">
        <w:rPr>
          <w:rFonts w:cs="Arial"/>
          <w:noProof/>
          <w:sz w:val="20"/>
          <w:szCs w:val="18"/>
          <w:lang w:eastAsia="es-ES"/>
        </w:rPr>
        <w:drawing>
          <wp:inline distT="0" distB="0" distL="0" distR="0" wp14:anchorId="5FA09CB5" wp14:editId="2FA8B075">
            <wp:extent cx="299923" cy="299923"/>
            <wp:effectExtent l="0" t="0" r="0" b="0"/>
            <wp:docPr id="115" name="Gráfico 115"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0E2B01">
        <w:rPr>
          <w:rFonts w:cs="Arial"/>
          <w:b/>
          <w:bCs/>
        </w:rPr>
        <w:t>De acuerdo con el interés laboral que muestran las mujeres en el empleo público,</w:t>
      </w:r>
      <w:r w:rsidRPr="00111DC0">
        <w:rPr>
          <w:rFonts w:cs="Arial"/>
        </w:rPr>
        <w:t xml:space="preserve"> y en términos similares al 68% total de mujeres en la plantilla, la mayoría de </w:t>
      </w:r>
      <w:r w:rsidR="0090338E" w:rsidRPr="00111DC0">
        <w:rPr>
          <w:rFonts w:cs="Arial"/>
        </w:rPr>
        <w:t>las personas</w:t>
      </w:r>
      <w:r w:rsidRPr="00111DC0">
        <w:rPr>
          <w:rFonts w:cs="Arial"/>
        </w:rPr>
        <w:t xml:space="preserve"> que han participado en los procesos selectivos desde 2017 hasta 2021 han sido mujeres</w:t>
      </w:r>
      <w:r w:rsidR="0090338E" w:rsidRPr="00111DC0">
        <w:rPr>
          <w:rFonts w:cs="Arial"/>
        </w:rPr>
        <w:t xml:space="preserve"> (74% en la OPE acumulada 2017-2021 y 63% en la OPE 2017</w:t>
      </w:r>
      <w:r w:rsidR="00364B08" w:rsidRPr="00111DC0">
        <w:rPr>
          <w:rFonts w:cs="Arial"/>
        </w:rPr>
        <w:t>)</w:t>
      </w:r>
      <w:r w:rsidRPr="00111DC0">
        <w:rPr>
          <w:rFonts w:cs="Arial"/>
        </w:rPr>
        <w:t xml:space="preserve">. </w:t>
      </w:r>
    </w:p>
    <w:p w14:paraId="21E3418D" w14:textId="663BA8CC" w:rsidR="00613309" w:rsidRPr="00111DC0" w:rsidRDefault="00613309" w:rsidP="00613309">
      <w:pPr>
        <w:rPr>
          <w:rFonts w:cs="Arial"/>
        </w:rPr>
      </w:pPr>
      <w:r w:rsidRPr="00111DC0">
        <w:rPr>
          <w:rFonts w:cs="Arial"/>
          <w:noProof/>
          <w:sz w:val="20"/>
          <w:szCs w:val="18"/>
          <w:lang w:eastAsia="es-ES"/>
        </w:rPr>
        <w:drawing>
          <wp:inline distT="0" distB="0" distL="0" distR="0" wp14:anchorId="32C92FDB" wp14:editId="6B3DB9E6">
            <wp:extent cx="299923" cy="299923"/>
            <wp:effectExtent l="0" t="0" r="0" b="0"/>
            <wp:docPr id="116" name="Gráfico 116"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0E2B01">
        <w:rPr>
          <w:rFonts w:cs="Arial"/>
          <w:b/>
          <w:bCs/>
        </w:rPr>
        <w:t>Los procesos selectivos son ampliamente difundidos por medio de distintas vías oficiales</w:t>
      </w:r>
      <w:r w:rsidRPr="00111DC0">
        <w:rPr>
          <w:rFonts w:cs="Arial"/>
        </w:rPr>
        <w:t xml:space="preserve"> (BOR), digitales (tablón virtual de anuncios y página web institucional) y analógicas o informales (Academias, sindicatos).</w:t>
      </w:r>
    </w:p>
    <w:p w14:paraId="28B5B88C" w14:textId="18E64815" w:rsidR="00613309" w:rsidRPr="00111DC0" w:rsidRDefault="00613309" w:rsidP="00613309">
      <w:pPr>
        <w:rPr>
          <w:rFonts w:cs="Arial"/>
        </w:rPr>
      </w:pPr>
      <w:r w:rsidRPr="00111DC0">
        <w:rPr>
          <w:rFonts w:cs="Arial"/>
          <w:noProof/>
          <w:sz w:val="20"/>
          <w:szCs w:val="18"/>
          <w:lang w:eastAsia="es-ES"/>
        </w:rPr>
        <w:drawing>
          <wp:inline distT="0" distB="0" distL="0" distR="0" wp14:anchorId="2307EF1A" wp14:editId="026C6F4C">
            <wp:extent cx="299923" cy="299923"/>
            <wp:effectExtent l="0" t="0" r="0" b="0"/>
            <wp:docPr id="117" name="Gráfico 117"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0E2B01">
        <w:rPr>
          <w:rFonts w:cs="Arial"/>
          <w:b/>
          <w:bCs/>
        </w:rPr>
        <w:t>Las pruebas selectivas para el Cuerpo Técnico de Administración General incluyen un temario de igualdad</w:t>
      </w:r>
      <w:r w:rsidRPr="00111DC0">
        <w:rPr>
          <w:rFonts w:cs="Arial"/>
        </w:rPr>
        <w:t xml:space="preserve"> previsiblemente amplio, integral y adaptado a las exigencias de la transversalidad de género como criterio de actuación de los Poderes Públicos.</w:t>
      </w:r>
    </w:p>
    <w:p w14:paraId="2398A7C3" w14:textId="357E1641" w:rsidR="00613309" w:rsidRPr="00111DC0" w:rsidRDefault="00613309" w:rsidP="00613309">
      <w:pPr>
        <w:rPr>
          <w:rFonts w:cs="Arial"/>
        </w:rPr>
      </w:pPr>
      <w:r w:rsidRPr="00111DC0">
        <w:rPr>
          <w:rFonts w:cs="Arial"/>
          <w:noProof/>
          <w:sz w:val="20"/>
          <w:szCs w:val="18"/>
          <w:lang w:eastAsia="es-ES"/>
        </w:rPr>
        <w:drawing>
          <wp:inline distT="0" distB="0" distL="0" distR="0" wp14:anchorId="606845BB" wp14:editId="1B47F57F">
            <wp:extent cx="299923" cy="299923"/>
            <wp:effectExtent l="0" t="0" r="0" b="0"/>
            <wp:docPr id="118" name="Gráfico 118"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0E2B01">
        <w:rPr>
          <w:rFonts w:cs="Arial"/>
          <w:b/>
          <w:bCs/>
        </w:rPr>
        <w:t>La composición de todos los Tribunales en las convocatorias de acceso al empleo público</w:t>
      </w:r>
      <w:r w:rsidRPr="00111DC0">
        <w:rPr>
          <w:rFonts w:cs="Arial"/>
        </w:rPr>
        <w:t xml:space="preserve"> en los Servicios Generales de La Rioja ha respondido al principio de la </w:t>
      </w:r>
      <w:r w:rsidR="00B042CA" w:rsidRPr="00111DC0">
        <w:rPr>
          <w:rFonts w:cs="Arial"/>
        </w:rPr>
        <w:t xml:space="preserve">composición </w:t>
      </w:r>
      <w:r w:rsidRPr="00111DC0">
        <w:rPr>
          <w:rFonts w:cs="Arial"/>
        </w:rPr>
        <w:t>equilibrada.</w:t>
      </w:r>
    </w:p>
    <w:p w14:paraId="63CD137A" w14:textId="082371F3" w:rsidR="00803E6D" w:rsidRPr="00111DC0" w:rsidRDefault="00803E6D" w:rsidP="00613309">
      <w:pPr>
        <w:rPr>
          <w:rFonts w:cs="Arial"/>
        </w:rPr>
      </w:pPr>
    </w:p>
    <w:p w14:paraId="4B065756" w14:textId="77777777" w:rsidR="00F053C8" w:rsidRDefault="00F053C8" w:rsidP="00DE69A1">
      <w:pPr>
        <w:pStyle w:val="Ttulo4"/>
        <w:rPr>
          <w:rFonts w:cs="Arial"/>
        </w:rPr>
      </w:pPr>
      <w:r>
        <w:rPr>
          <w:rFonts w:cs="Arial"/>
        </w:rPr>
        <w:br w:type="page"/>
      </w:r>
    </w:p>
    <w:p w14:paraId="53CB9E38" w14:textId="72EB6172" w:rsidR="0076503E" w:rsidRPr="00111DC0" w:rsidRDefault="00613309" w:rsidP="00DE69A1">
      <w:pPr>
        <w:pStyle w:val="Ttulo4"/>
        <w:rPr>
          <w:rFonts w:cs="Arial"/>
        </w:rPr>
      </w:pPr>
      <w:r w:rsidRPr="00111DC0">
        <w:rPr>
          <w:rFonts w:cs="Arial"/>
        </w:rPr>
        <w:t>Á</w:t>
      </w:r>
      <w:r w:rsidR="0076503E" w:rsidRPr="00111DC0">
        <w:rPr>
          <w:rFonts w:cs="Arial"/>
        </w:rPr>
        <w:t>reas de mejora</w:t>
      </w:r>
    </w:p>
    <w:p w14:paraId="0218207D" w14:textId="04EC0221" w:rsidR="00613309" w:rsidRPr="00111DC0" w:rsidRDefault="00613309" w:rsidP="00613309">
      <w:pPr>
        <w:rPr>
          <w:rFonts w:cs="Arial"/>
        </w:rPr>
      </w:pPr>
      <w:r w:rsidRPr="00111DC0">
        <w:rPr>
          <w:rFonts w:cs="Arial"/>
          <w:noProof/>
          <w:sz w:val="20"/>
          <w:szCs w:val="18"/>
          <w:lang w:eastAsia="es-ES"/>
        </w:rPr>
        <w:drawing>
          <wp:inline distT="0" distB="0" distL="0" distR="0" wp14:anchorId="24434958" wp14:editId="44618225">
            <wp:extent cx="277978" cy="277978"/>
            <wp:effectExtent l="0" t="0" r="0" b="0"/>
            <wp:docPr id="121" name="Gráfico 121"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1 </w:t>
      </w:r>
      <w:r w:rsidRPr="000E2B01">
        <w:rPr>
          <w:rFonts w:cs="Arial"/>
          <w:b/>
          <w:bCs/>
        </w:rPr>
        <w:t>- La segregación social de género</w:t>
      </w:r>
      <w:r w:rsidR="007D25E4" w:rsidRPr="000E2B01">
        <w:rPr>
          <w:rFonts w:cs="Arial"/>
          <w:b/>
          <w:bCs/>
        </w:rPr>
        <w:t xml:space="preserve"> </w:t>
      </w:r>
      <w:r w:rsidRPr="000E2B01">
        <w:rPr>
          <w:rFonts w:cs="Arial"/>
          <w:b/>
          <w:bCs/>
        </w:rPr>
        <w:t>se refleja en las convocatorias de acceso al empleo público,</w:t>
      </w:r>
      <w:r w:rsidRPr="00111DC0">
        <w:rPr>
          <w:rFonts w:cs="Arial"/>
        </w:rPr>
        <w:t xml:space="preserve"> tanto en el área de los Servicios Generales como entre el Personal Docente.</w:t>
      </w:r>
    </w:p>
    <w:p w14:paraId="13BDE295" w14:textId="41287FA6" w:rsidR="00613309" w:rsidRPr="00111DC0" w:rsidRDefault="00613309" w:rsidP="00613309">
      <w:pPr>
        <w:rPr>
          <w:rFonts w:cs="Arial"/>
        </w:rPr>
      </w:pPr>
      <w:r w:rsidRPr="00111DC0">
        <w:rPr>
          <w:rFonts w:cs="Arial"/>
          <w:noProof/>
          <w:sz w:val="20"/>
          <w:szCs w:val="18"/>
          <w:lang w:eastAsia="es-ES"/>
        </w:rPr>
        <w:drawing>
          <wp:inline distT="0" distB="0" distL="0" distR="0" wp14:anchorId="693A040F" wp14:editId="71BAA1AB">
            <wp:extent cx="277978" cy="277978"/>
            <wp:effectExtent l="0" t="0" r="0" b="0"/>
            <wp:docPr id="122" name="Gráfico 122"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2 </w:t>
      </w:r>
      <w:r w:rsidRPr="000E2B01">
        <w:rPr>
          <w:rFonts w:cs="Arial"/>
          <w:b/>
          <w:bCs/>
        </w:rPr>
        <w:t>- Entre el Personal Docente la pauta segregada es particularmente llamativa en los procesos selectivos para los distintos niveles:</w:t>
      </w:r>
      <w:r w:rsidRPr="00111DC0">
        <w:rPr>
          <w:rFonts w:cs="Arial"/>
        </w:rPr>
        <w:t xml:space="preserve"> 80% de participación de mujeres en Primaria</w:t>
      </w:r>
      <w:r w:rsidR="00C05D63" w:rsidRPr="00111DC0">
        <w:rPr>
          <w:rFonts w:cs="Arial"/>
        </w:rPr>
        <w:t xml:space="preserve"> (2019)</w:t>
      </w:r>
      <w:r w:rsidRPr="00111DC0">
        <w:rPr>
          <w:rFonts w:cs="Arial"/>
        </w:rPr>
        <w:t>, 64% en Secundaria (2021) y 50% en Inspección (2020). También se aprecia claramente en la concurrencia por materias.</w:t>
      </w:r>
    </w:p>
    <w:p w14:paraId="013B4860" w14:textId="1F7EBABA" w:rsidR="00613309" w:rsidRPr="00111DC0" w:rsidRDefault="00613309" w:rsidP="00613309">
      <w:pPr>
        <w:rPr>
          <w:rFonts w:cs="Arial"/>
        </w:rPr>
      </w:pPr>
      <w:r w:rsidRPr="00111DC0">
        <w:rPr>
          <w:rFonts w:cs="Arial"/>
          <w:noProof/>
          <w:sz w:val="20"/>
          <w:szCs w:val="18"/>
          <w:lang w:eastAsia="es-ES"/>
        </w:rPr>
        <w:drawing>
          <wp:inline distT="0" distB="0" distL="0" distR="0" wp14:anchorId="1121C357" wp14:editId="574FA384">
            <wp:extent cx="277978" cy="277978"/>
            <wp:effectExtent l="0" t="0" r="0" b="0"/>
            <wp:docPr id="123" name="Gráfico 123"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3 </w:t>
      </w:r>
      <w:r w:rsidRPr="000E2B01">
        <w:rPr>
          <w:rFonts w:cs="Arial"/>
          <w:b/>
          <w:bCs/>
        </w:rPr>
        <w:t>- En las próximas convocatorias de empleo público se puede contribuir a la transformación de las expectativas de género</w:t>
      </w:r>
      <w:r w:rsidRPr="00111DC0">
        <w:rPr>
          <w:rFonts w:cs="Arial"/>
        </w:rPr>
        <w:t xml:space="preserve"> y a la reducción de la segregación ocupacional por medio de campañas de sensibilización en el acceso a los diferentes puestos de trabajo.</w:t>
      </w:r>
    </w:p>
    <w:p w14:paraId="7D67DBB3" w14:textId="2F979BDD" w:rsidR="00613309" w:rsidRPr="00111DC0" w:rsidRDefault="00613309" w:rsidP="00613309">
      <w:pPr>
        <w:rPr>
          <w:rFonts w:cs="Arial"/>
        </w:rPr>
      </w:pPr>
      <w:r w:rsidRPr="00111DC0">
        <w:rPr>
          <w:rFonts w:cs="Arial"/>
          <w:noProof/>
          <w:sz w:val="20"/>
          <w:szCs w:val="18"/>
          <w:lang w:eastAsia="es-ES"/>
        </w:rPr>
        <w:drawing>
          <wp:inline distT="0" distB="0" distL="0" distR="0" wp14:anchorId="307071BE" wp14:editId="64C85ED0">
            <wp:extent cx="277978" cy="277978"/>
            <wp:effectExtent l="0" t="0" r="0" b="0"/>
            <wp:docPr id="124" name="Gráfico 124"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4 </w:t>
      </w:r>
      <w:r w:rsidRPr="000E2B01">
        <w:rPr>
          <w:rFonts w:cs="Arial"/>
          <w:b/>
          <w:bCs/>
        </w:rPr>
        <w:t xml:space="preserve">- Los datos de las convocatorias de los procesos selectivos no incluyen la composición por sexo </w:t>
      </w:r>
      <w:r w:rsidRPr="00111DC0">
        <w:rPr>
          <w:rFonts w:cs="Arial"/>
        </w:rPr>
        <w:t xml:space="preserve">de los </w:t>
      </w:r>
      <w:r w:rsidR="00C05D63" w:rsidRPr="00111DC0">
        <w:rPr>
          <w:rFonts w:cs="Arial"/>
        </w:rPr>
        <w:t>C</w:t>
      </w:r>
      <w:r w:rsidRPr="00111DC0">
        <w:rPr>
          <w:rFonts w:cs="Arial"/>
        </w:rPr>
        <w:t xml:space="preserve">uerpos, </w:t>
      </w:r>
      <w:r w:rsidR="00C05D63" w:rsidRPr="00111DC0">
        <w:rPr>
          <w:rFonts w:cs="Arial"/>
        </w:rPr>
        <w:t>E</w:t>
      </w:r>
      <w:r w:rsidRPr="00111DC0">
        <w:rPr>
          <w:rFonts w:cs="Arial"/>
        </w:rPr>
        <w:t xml:space="preserve">scalas o </w:t>
      </w:r>
      <w:r w:rsidR="00C05D63" w:rsidRPr="00111DC0">
        <w:rPr>
          <w:rFonts w:cs="Arial"/>
        </w:rPr>
        <w:t>G</w:t>
      </w:r>
      <w:r w:rsidRPr="00111DC0">
        <w:rPr>
          <w:rFonts w:cs="Arial"/>
        </w:rPr>
        <w:t>rupos de titulación, lo cual debe ser incluido en los informes de impacto de genero de las convocatorias de pruebas selectivas y sirve para saber si es necesario aplicar medidas de acción positiva.</w:t>
      </w:r>
    </w:p>
    <w:p w14:paraId="6BEFF5F0" w14:textId="25EFD913" w:rsidR="00613309" w:rsidRPr="00111DC0" w:rsidRDefault="00613309" w:rsidP="00613309">
      <w:pPr>
        <w:rPr>
          <w:rFonts w:cs="Arial"/>
        </w:rPr>
      </w:pPr>
      <w:r w:rsidRPr="00111DC0">
        <w:rPr>
          <w:rFonts w:cs="Arial"/>
          <w:noProof/>
          <w:sz w:val="20"/>
          <w:szCs w:val="18"/>
          <w:lang w:eastAsia="es-ES"/>
        </w:rPr>
        <w:drawing>
          <wp:inline distT="0" distB="0" distL="0" distR="0" wp14:anchorId="10EB0266" wp14:editId="22C7CA77">
            <wp:extent cx="277978" cy="277978"/>
            <wp:effectExtent l="0" t="0" r="0" b="0"/>
            <wp:docPr id="125" name="Gráfico 125"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5 </w:t>
      </w:r>
      <w:r w:rsidRPr="000E2B01">
        <w:rPr>
          <w:rFonts w:cs="Arial"/>
          <w:b/>
          <w:bCs/>
        </w:rPr>
        <w:t>- En su mayoría, los temarios de las convocatorias de acceso al empleo público incluyen la igualdad desde un enfoque sectorial,</w:t>
      </w:r>
      <w:r w:rsidRPr="00111DC0">
        <w:rPr>
          <w:rFonts w:cs="Arial"/>
        </w:rPr>
        <w:t xml:space="preserve"> vinculado a </w:t>
      </w:r>
      <w:proofErr w:type="gramStart"/>
      <w:r w:rsidRPr="00111DC0">
        <w:rPr>
          <w:rFonts w:cs="Arial"/>
        </w:rPr>
        <w:t>las políticas sociales</w:t>
      </w:r>
      <w:r w:rsidR="007D25E4" w:rsidRPr="00111DC0">
        <w:rPr>
          <w:rFonts w:cs="Arial"/>
        </w:rPr>
        <w:t xml:space="preserve"> y alejado</w:t>
      </w:r>
      <w:proofErr w:type="gramEnd"/>
      <w:r w:rsidR="007D25E4" w:rsidRPr="00111DC0">
        <w:rPr>
          <w:rFonts w:cs="Arial"/>
        </w:rPr>
        <w:t xml:space="preserve"> de concebir </w:t>
      </w:r>
      <w:r w:rsidRPr="00111DC0">
        <w:rPr>
          <w:rFonts w:cs="Arial"/>
        </w:rPr>
        <w:t>la igualdad como un principio transversal a la Política Pública.</w:t>
      </w:r>
    </w:p>
    <w:p w14:paraId="37693FE3" w14:textId="7604FE7C" w:rsidR="00613309" w:rsidRPr="00111DC0" w:rsidRDefault="00613309" w:rsidP="00613309">
      <w:pPr>
        <w:rPr>
          <w:rFonts w:cs="Arial"/>
        </w:rPr>
      </w:pPr>
      <w:r w:rsidRPr="00111DC0">
        <w:rPr>
          <w:rFonts w:cs="Arial"/>
          <w:noProof/>
          <w:sz w:val="20"/>
          <w:szCs w:val="18"/>
          <w:lang w:eastAsia="es-ES"/>
        </w:rPr>
        <w:drawing>
          <wp:inline distT="0" distB="0" distL="0" distR="0" wp14:anchorId="4DCBE2BC" wp14:editId="21C61B91">
            <wp:extent cx="277978" cy="277978"/>
            <wp:effectExtent l="0" t="0" r="0" b="0"/>
            <wp:docPr id="126" name="Gráfico 126"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6 </w:t>
      </w:r>
      <w:r w:rsidRPr="000E2B01">
        <w:rPr>
          <w:rFonts w:cs="Arial"/>
          <w:b/>
          <w:bCs/>
        </w:rPr>
        <w:t>- Urge promover de manera más activa la inversión de papeles en los Tribunales Calificadores:</w:t>
      </w:r>
      <w:r w:rsidRPr="00111DC0">
        <w:rPr>
          <w:rFonts w:cs="Arial"/>
        </w:rPr>
        <w:t xml:space="preserve"> el desequilibrio vertical entre mujeres y hombres queda patente</w:t>
      </w:r>
      <w:r w:rsidR="00C05D63" w:rsidRPr="00111DC0">
        <w:rPr>
          <w:rFonts w:cs="Arial"/>
        </w:rPr>
        <w:t xml:space="preserve"> allí donde se poseen datos (Servicios Generales)</w:t>
      </w:r>
      <w:r w:rsidRPr="00111DC0">
        <w:rPr>
          <w:rFonts w:cs="Arial"/>
        </w:rPr>
        <w:t xml:space="preserve">: el 32% de los hombres y solo el 9% de las mujeres se concentran en los cargos de Presidencia (Servicios Generales); por otra parte, las mujeres se han concentrado en un 72% en las vocalías, </w:t>
      </w:r>
      <w:r w:rsidR="00C05D63" w:rsidRPr="00111DC0">
        <w:rPr>
          <w:rFonts w:cs="Arial"/>
        </w:rPr>
        <w:t>y</w:t>
      </w:r>
      <w:r w:rsidRPr="00111DC0">
        <w:rPr>
          <w:rFonts w:cs="Arial"/>
        </w:rPr>
        <w:t xml:space="preserve"> los hombres en un 46%.</w:t>
      </w:r>
    </w:p>
    <w:p w14:paraId="76A3542F" w14:textId="38A3D748" w:rsidR="007D25E4" w:rsidRPr="00111DC0" w:rsidRDefault="00613309" w:rsidP="00613309">
      <w:pPr>
        <w:rPr>
          <w:rFonts w:cs="Arial"/>
        </w:rPr>
      </w:pPr>
      <w:r w:rsidRPr="00111DC0">
        <w:rPr>
          <w:rFonts w:cs="Arial"/>
          <w:noProof/>
          <w:sz w:val="20"/>
          <w:szCs w:val="18"/>
          <w:lang w:eastAsia="es-ES"/>
        </w:rPr>
        <w:drawing>
          <wp:inline distT="0" distB="0" distL="0" distR="0" wp14:anchorId="3F02A91A" wp14:editId="641E1140">
            <wp:extent cx="277978" cy="277978"/>
            <wp:effectExtent l="0" t="0" r="0" b="0"/>
            <wp:docPr id="127" name="Gráfico 127"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7 </w:t>
      </w:r>
      <w:r w:rsidRPr="000E2B01">
        <w:rPr>
          <w:rFonts w:cs="Arial"/>
          <w:b/>
          <w:bCs/>
        </w:rPr>
        <w:t>- No se poseen datos desagregados por sexo y cargo</w:t>
      </w:r>
      <w:r w:rsidRPr="00111DC0">
        <w:rPr>
          <w:rFonts w:cs="Arial"/>
        </w:rPr>
        <w:t xml:space="preserve"> </w:t>
      </w:r>
      <w:r w:rsidR="00C05D63" w:rsidRPr="00111DC0">
        <w:rPr>
          <w:rFonts w:cs="Arial"/>
        </w:rPr>
        <w:t>en</w:t>
      </w:r>
      <w:r w:rsidRPr="00111DC0">
        <w:rPr>
          <w:rFonts w:cs="Arial"/>
        </w:rPr>
        <w:t xml:space="preserve"> la composición de los Tribunales de las pruebas de acceso a puestos de Personal Docente.</w:t>
      </w:r>
    </w:p>
    <w:p w14:paraId="17385F9C" w14:textId="77777777" w:rsidR="00770DBE" w:rsidRDefault="00613309" w:rsidP="007D25E4">
      <w:pPr>
        <w:rPr>
          <w:rFonts w:eastAsia="Helvetica Neue" w:cs="Arial"/>
        </w:rPr>
      </w:pPr>
      <w:r w:rsidRPr="00111DC0">
        <w:rPr>
          <w:rFonts w:cs="Arial"/>
          <w:noProof/>
          <w:sz w:val="20"/>
          <w:szCs w:val="18"/>
          <w:lang w:eastAsia="es-ES"/>
        </w:rPr>
        <w:drawing>
          <wp:inline distT="0" distB="0" distL="0" distR="0" wp14:anchorId="56A11AE6" wp14:editId="7D91D035">
            <wp:extent cx="277978" cy="277978"/>
            <wp:effectExtent l="0" t="0" r="0" b="0"/>
            <wp:docPr id="128" name="Gráfico 128"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8 </w:t>
      </w:r>
      <w:r w:rsidRPr="000E2B01">
        <w:rPr>
          <w:rFonts w:cs="Arial"/>
          <w:b/>
          <w:bCs/>
        </w:rPr>
        <w:t xml:space="preserve">- A las personas pertenecientes a los </w:t>
      </w:r>
      <w:r w:rsidRPr="000E2B01">
        <w:rPr>
          <w:rFonts w:eastAsia="Helvetica Neue" w:cs="Arial"/>
          <w:b/>
          <w:bCs/>
        </w:rPr>
        <w:t>Tribunales calificadores no se les exige formación específica en igualdad</w:t>
      </w:r>
      <w:r w:rsidRPr="00111DC0">
        <w:rPr>
          <w:rFonts w:eastAsia="Helvetica Neue" w:cs="Arial"/>
        </w:rPr>
        <w:t xml:space="preserve"> o en identificación de los sesgos inconscientes de género, por lo que se vuelve necesario revertir esta situación.</w:t>
      </w:r>
    </w:p>
    <w:p w14:paraId="5C0A8523" w14:textId="11883FD8" w:rsidR="00D9528A" w:rsidRPr="00111DC0" w:rsidRDefault="0076503E" w:rsidP="00024B4E">
      <w:pPr>
        <w:pStyle w:val="Ttulo2"/>
      </w:pPr>
      <w:bookmarkStart w:id="17" w:name="_Toc122080792"/>
      <w:r w:rsidRPr="00111DC0">
        <w:t>Formación</w:t>
      </w:r>
      <w:bookmarkEnd w:id="17"/>
      <w:r w:rsidRPr="00111DC0">
        <w:t xml:space="preserve"> </w:t>
      </w:r>
    </w:p>
    <w:p w14:paraId="51F30D64" w14:textId="77777777" w:rsidR="00793D7B" w:rsidRPr="00111DC0" w:rsidRDefault="00F33BAC" w:rsidP="00793D7B">
      <w:pPr>
        <w:rPr>
          <w:rFonts w:cs="Arial"/>
        </w:rPr>
      </w:pPr>
      <w:r w:rsidRPr="00111DC0">
        <w:rPr>
          <w:rFonts w:cs="Arial"/>
        </w:rPr>
        <w:t xml:space="preserve">Numerosas referencias normativas reconocen el derecho del personal público a su cualificación permanente como una manera de favorecer su desarrollo profesional. </w:t>
      </w:r>
    </w:p>
    <w:p w14:paraId="6C5ACA3A" w14:textId="77777777" w:rsidR="002A47E6" w:rsidRPr="00111DC0" w:rsidRDefault="002A47E6" w:rsidP="002A47E6"/>
    <w:p w14:paraId="2E5AABCE" w14:textId="5C70EB9A" w:rsidR="00DC1611" w:rsidRPr="00111DC0" w:rsidRDefault="00DC1611" w:rsidP="00F63CCB">
      <w:pPr>
        <w:pStyle w:val="Ttulo3"/>
      </w:pPr>
      <w:r w:rsidRPr="00111DC0">
        <w:t xml:space="preserve">Solicitudes </w:t>
      </w:r>
      <w:r w:rsidR="00003B0D">
        <w:t>cursadas</w:t>
      </w:r>
    </w:p>
    <w:p w14:paraId="20030C47" w14:textId="2CAECF01" w:rsidR="001C7CF2" w:rsidRPr="00111DC0" w:rsidRDefault="004541FF" w:rsidP="001C7CF2">
      <w:pPr>
        <w:rPr>
          <w:rFonts w:cs="Arial"/>
        </w:rPr>
      </w:pPr>
      <w:r w:rsidRPr="001C7CF2">
        <w:rPr>
          <w:rFonts w:cs="Arial"/>
        </w:rPr>
        <w:t>Entre los años 2017 y 2020</w:t>
      </w:r>
      <w:r w:rsidR="00165DEF" w:rsidRPr="001C7CF2">
        <w:rPr>
          <w:rFonts w:cs="Arial"/>
        </w:rPr>
        <w:t>,</w:t>
      </w:r>
      <w:r w:rsidRPr="001C7CF2">
        <w:rPr>
          <w:rFonts w:cs="Arial"/>
        </w:rPr>
        <w:t xml:space="preserve"> </w:t>
      </w:r>
      <w:r w:rsidR="00E654EB" w:rsidRPr="00E654EB">
        <w:rPr>
          <w:rFonts w:cs="Arial"/>
          <w:b/>
          <w:bCs/>
        </w:rPr>
        <w:t>existe un mayor número</w:t>
      </w:r>
      <w:r w:rsidR="001C7CF2" w:rsidRPr="00111DC0">
        <w:rPr>
          <w:rFonts w:cs="Arial"/>
          <w:b/>
          <w:bCs/>
        </w:rPr>
        <w:t xml:space="preserve"> de mujeres en las solicitudes de participación en formación</w:t>
      </w:r>
      <w:r w:rsidR="00E654EB">
        <w:rPr>
          <w:rFonts w:cs="Arial"/>
        </w:rPr>
        <w:t>:</w:t>
      </w:r>
    </w:p>
    <w:p w14:paraId="13DF60F5" w14:textId="77777777" w:rsidR="004541FF" w:rsidRPr="00111DC0" w:rsidRDefault="004541FF" w:rsidP="0020712F">
      <w:r w:rsidRPr="00111DC0">
        <w:rPr>
          <w:noProof/>
          <w:lang w:eastAsia="es-ES"/>
        </w:rPr>
        <w:drawing>
          <wp:inline distT="0" distB="0" distL="0" distR="0" wp14:anchorId="77FF8C1C" wp14:editId="52B2267F">
            <wp:extent cx="5229225" cy="2324100"/>
            <wp:effectExtent l="0" t="0" r="0" b="0"/>
            <wp:docPr id="50" name="Gráfico 50"/>
            <wp:cNvGraphicFramePr/>
            <a:graphic xmlns:a="http://schemas.openxmlformats.org/drawingml/2006/main">
              <a:graphicData uri="http://schemas.openxmlformats.org/drawingml/2006/chart">
                <c:chart xmlns:c="http://schemas.openxmlformats.org/drawingml/2006/chart" r:id="rId43"/>
              </a:graphicData>
            </a:graphic>
          </wp:inline>
        </w:drawing>
      </w:r>
    </w:p>
    <w:p w14:paraId="7B97575D" w14:textId="3AFC0A90" w:rsidR="004541FF" w:rsidRPr="00111DC0" w:rsidRDefault="004541FF" w:rsidP="0020712F"/>
    <w:p w14:paraId="29FB6769" w14:textId="19B9C9EE" w:rsidR="00E654EB" w:rsidRPr="00003B0D" w:rsidRDefault="001C7CF2" w:rsidP="00E654EB">
      <w:pPr>
        <w:rPr>
          <w:rFonts w:cs="Arial"/>
          <w:b/>
          <w:bCs/>
        </w:rPr>
      </w:pPr>
      <w:r>
        <w:rPr>
          <w:rFonts w:cs="Arial"/>
        </w:rPr>
        <w:t>U</w:t>
      </w:r>
      <w:r w:rsidR="004541FF" w:rsidRPr="00111DC0">
        <w:rPr>
          <w:rFonts w:cs="Arial"/>
        </w:rPr>
        <w:t xml:space="preserve">n análisis por grupo de las </w:t>
      </w:r>
      <w:r w:rsidR="00165DEF" w:rsidRPr="00111DC0">
        <w:rPr>
          <w:rFonts w:cs="Arial"/>
        </w:rPr>
        <w:t>solicitudes</w:t>
      </w:r>
      <w:r w:rsidR="00A705CC" w:rsidRPr="00111DC0">
        <w:rPr>
          <w:rFonts w:cs="Arial"/>
        </w:rPr>
        <w:t xml:space="preserve"> cursadas</w:t>
      </w:r>
      <w:r w:rsidR="004541FF" w:rsidRPr="00111DC0">
        <w:rPr>
          <w:rFonts w:cs="Arial"/>
        </w:rPr>
        <w:t xml:space="preserve"> </w:t>
      </w:r>
      <w:r w:rsidR="004B351E" w:rsidRPr="00111DC0">
        <w:rPr>
          <w:rFonts w:cs="Arial"/>
        </w:rPr>
        <w:t xml:space="preserve">permite observar </w:t>
      </w:r>
      <w:r w:rsidR="009A526B" w:rsidRPr="00111DC0">
        <w:rPr>
          <w:rFonts w:cs="Arial"/>
        </w:rPr>
        <w:t>que,</w:t>
      </w:r>
      <w:r w:rsidR="004B351E" w:rsidRPr="00111DC0">
        <w:rPr>
          <w:rFonts w:cs="Arial"/>
        </w:rPr>
        <w:t xml:space="preserve"> en todos los grupos</w:t>
      </w:r>
      <w:r w:rsidR="00A02F91" w:rsidRPr="00111DC0">
        <w:rPr>
          <w:rFonts w:cs="Arial"/>
        </w:rPr>
        <w:t>,</w:t>
      </w:r>
      <w:r w:rsidR="004B351E" w:rsidRPr="00111DC0">
        <w:rPr>
          <w:rFonts w:cs="Arial"/>
        </w:rPr>
        <w:t xml:space="preserve"> a excepción del Grupo </w:t>
      </w:r>
      <w:r w:rsidR="00A02F91" w:rsidRPr="00111DC0">
        <w:rPr>
          <w:rFonts w:cs="Arial"/>
        </w:rPr>
        <w:t xml:space="preserve">E, la proporción </w:t>
      </w:r>
      <w:r w:rsidR="001940A9" w:rsidRPr="00111DC0">
        <w:rPr>
          <w:rFonts w:cs="Arial"/>
        </w:rPr>
        <w:t xml:space="preserve">de </w:t>
      </w:r>
      <w:r w:rsidR="004B351E" w:rsidRPr="00111DC0">
        <w:rPr>
          <w:rFonts w:cs="Arial"/>
        </w:rPr>
        <w:t xml:space="preserve">empleadas es mayor que </w:t>
      </w:r>
      <w:r w:rsidR="00A02F91" w:rsidRPr="00111DC0">
        <w:rPr>
          <w:rFonts w:cs="Arial"/>
        </w:rPr>
        <w:t>la</w:t>
      </w:r>
      <w:r w:rsidR="004B351E" w:rsidRPr="00111DC0">
        <w:rPr>
          <w:rFonts w:cs="Arial"/>
        </w:rPr>
        <w:t xml:space="preserve"> de empleados</w:t>
      </w:r>
      <w:r w:rsidR="00E654EB">
        <w:rPr>
          <w:rFonts w:cs="Arial"/>
        </w:rPr>
        <w:t xml:space="preserve">, aunque </w:t>
      </w:r>
      <w:r w:rsidR="00E654EB" w:rsidRPr="00111DC0">
        <w:rPr>
          <w:rFonts w:cs="Arial"/>
        </w:rPr>
        <w:t xml:space="preserve">no sufren grandes alteraciones </w:t>
      </w:r>
      <w:r w:rsidR="00E654EB">
        <w:rPr>
          <w:rFonts w:cs="Arial"/>
        </w:rPr>
        <w:t xml:space="preserve">respecto a los datos de referencia </w:t>
      </w:r>
      <w:r w:rsidR="00E654EB" w:rsidRPr="00111DC0">
        <w:rPr>
          <w:rFonts w:cs="Arial"/>
        </w:rPr>
        <w:t>en los Grupos A1, C2 ni E</w:t>
      </w:r>
      <w:r w:rsidR="00E654EB">
        <w:rPr>
          <w:rFonts w:cs="Arial"/>
        </w:rPr>
        <w:t>,</w:t>
      </w:r>
      <w:r w:rsidR="00E654EB" w:rsidRPr="00111DC0">
        <w:rPr>
          <w:rFonts w:cs="Arial"/>
        </w:rPr>
        <w:t xml:space="preserve"> </w:t>
      </w:r>
      <w:r w:rsidR="00E654EB">
        <w:rPr>
          <w:rFonts w:cs="Arial"/>
        </w:rPr>
        <w:t xml:space="preserve">pero sí </w:t>
      </w:r>
      <w:r w:rsidR="00E654EB" w:rsidRPr="00003B0D">
        <w:rPr>
          <w:rFonts w:cs="Arial"/>
        </w:rPr>
        <w:t>en los Grupos A2 y C1.</w:t>
      </w:r>
      <w:r w:rsidR="00E654EB" w:rsidRPr="00111DC0">
        <w:rPr>
          <w:rFonts w:cs="Arial"/>
        </w:rPr>
        <w:t xml:space="preserve"> En estos Grupos la participación relativa de mujeres desciende considerablemente. </w:t>
      </w:r>
      <w:r w:rsidR="00E654EB" w:rsidRPr="00003B0D">
        <w:rPr>
          <w:rFonts w:cs="Arial"/>
          <w:b/>
          <w:bCs/>
        </w:rPr>
        <w:t>En Grupo A1 se registra un 6</w:t>
      </w:r>
      <w:r w:rsidR="00E654EB">
        <w:rPr>
          <w:rFonts w:cs="Arial"/>
          <w:b/>
          <w:bCs/>
        </w:rPr>
        <w:t>4</w:t>
      </w:r>
      <w:r w:rsidR="00E654EB" w:rsidRPr="00003B0D">
        <w:rPr>
          <w:rFonts w:cs="Arial"/>
          <w:b/>
          <w:bCs/>
        </w:rPr>
        <w:t xml:space="preserve">% de solicitudes cursadas por mujeres mientras que su presencia en el grupo es del 73%. En el C1, las solicitudes cursadas por mujeres son del 61%, mientras que su presencia en el grupo es 10 puntos porcentuales más elevada (71%). </w:t>
      </w:r>
    </w:p>
    <w:p w14:paraId="2CBAE077" w14:textId="77777777" w:rsidR="00E654EB" w:rsidRDefault="00E654EB" w:rsidP="00E654EB">
      <w:pPr>
        <w:rPr>
          <w:rFonts w:cs="Arial"/>
        </w:rPr>
      </w:pPr>
      <w:r w:rsidRPr="00111DC0">
        <w:rPr>
          <w:rFonts w:cs="Arial"/>
        </w:rPr>
        <w:t xml:space="preserve">Una posible explicación a estas diferencias en las proporciones puede tener que ver con los colectivos profesionales y la naturaleza de las funciones que desempeñan mujeres y hombres en los citados Grupos, </w:t>
      </w:r>
      <w:r w:rsidRPr="00003B0D">
        <w:rPr>
          <w:rFonts w:cs="Arial"/>
        </w:rPr>
        <w:t>asumiéndose que ellas encuentran mayores dificultades para acudir a las formaciones presenciales, principalmente por incompatibilidad horaria.</w:t>
      </w:r>
      <w:r w:rsidRPr="00111DC0">
        <w:rPr>
          <w:rFonts w:cs="Arial"/>
        </w:rPr>
        <w:t xml:space="preserve"> </w:t>
      </w:r>
    </w:p>
    <w:p w14:paraId="09E5CEAB" w14:textId="18420D59" w:rsidR="009A526B" w:rsidRPr="00111DC0" w:rsidRDefault="000525A1" w:rsidP="00672003">
      <w:pPr>
        <w:rPr>
          <w:rFonts w:cs="Arial"/>
        </w:rPr>
      </w:pPr>
      <w:r w:rsidRPr="00111DC0">
        <w:rPr>
          <w:rFonts w:cs="Arial"/>
          <w:noProof/>
          <w:lang w:eastAsia="es-ES"/>
        </w:rPr>
        <w:drawing>
          <wp:inline distT="0" distB="0" distL="0" distR="0" wp14:anchorId="02E5BC61" wp14:editId="290CCDE5">
            <wp:extent cx="5295900" cy="2571750"/>
            <wp:effectExtent l="0" t="0" r="0" b="0"/>
            <wp:docPr id="10" name="Gráfico 10"/>
            <wp:cNvGraphicFramePr/>
            <a:graphic xmlns:a="http://schemas.openxmlformats.org/drawingml/2006/main">
              <a:graphicData uri="http://schemas.openxmlformats.org/drawingml/2006/chart">
                <c:chart xmlns:c="http://schemas.openxmlformats.org/drawingml/2006/chart" r:id="rId44"/>
              </a:graphicData>
            </a:graphic>
          </wp:inline>
        </w:drawing>
      </w:r>
    </w:p>
    <w:p w14:paraId="40C4A536" w14:textId="77777777" w:rsidR="009A526B" w:rsidRPr="00111DC0" w:rsidRDefault="009A526B" w:rsidP="00672003">
      <w:pPr>
        <w:rPr>
          <w:rFonts w:cs="Arial"/>
        </w:rPr>
      </w:pPr>
    </w:p>
    <w:p w14:paraId="1C815B8E" w14:textId="0E167153" w:rsidR="004541FF" w:rsidRPr="00111DC0" w:rsidRDefault="004541FF" w:rsidP="00003B0D">
      <w:pPr>
        <w:pStyle w:val="Ttulo3"/>
      </w:pPr>
      <w:r w:rsidRPr="00111DC0">
        <w:t>Solicitudes aceptadas</w:t>
      </w:r>
    </w:p>
    <w:p w14:paraId="0AA2F670" w14:textId="07847A52" w:rsidR="0020712F" w:rsidRPr="00111DC0" w:rsidRDefault="00003B0D" w:rsidP="0020712F">
      <w:r w:rsidRPr="00003B0D">
        <w:rPr>
          <w:b/>
          <w:bCs/>
        </w:rPr>
        <w:t>Se identifica</w:t>
      </w:r>
      <w:r w:rsidR="0083053F" w:rsidRPr="00907A96">
        <w:rPr>
          <w:b/>
          <w:bCs/>
        </w:rPr>
        <w:t xml:space="preserve"> un incremento relativo de solicitudes aceptadas para el caso de los empleados</w:t>
      </w:r>
      <w:r>
        <w:t>:</w:t>
      </w:r>
    </w:p>
    <w:p w14:paraId="35578FD9" w14:textId="0F0B8552" w:rsidR="000C4453" w:rsidRPr="00111DC0" w:rsidRDefault="000C4453" w:rsidP="00672003">
      <w:pPr>
        <w:rPr>
          <w:rFonts w:cs="Arial"/>
        </w:rPr>
      </w:pPr>
      <w:r w:rsidRPr="00111DC0">
        <w:rPr>
          <w:rFonts w:cs="Arial"/>
          <w:noProof/>
          <w:lang w:eastAsia="es-ES"/>
        </w:rPr>
        <w:drawing>
          <wp:inline distT="0" distB="0" distL="0" distR="0" wp14:anchorId="2ECEA478" wp14:editId="5C9220AE">
            <wp:extent cx="5349240" cy="2766252"/>
            <wp:effectExtent l="0" t="0" r="0" b="0"/>
            <wp:docPr id="51" name="Gráfico 51"/>
            <wp:cNvGraphicFramePr/>
            <a:graphic xmlns:a="http://schemas.openxmlformats.org/drawingml/2006/main">
              <a:graphicData uri="http://schemas.openxmlformats.org/drawingml/2006/chart">
                <c:chart xmlns:c="http://schemas.openxmlformats.org/drawingml/2006/chart" r:id="rId45"/>
              </a:graphicData>
            </a:graphic>
          </wp:inline>
        </w:drawing>
      </w:r>
    </w:p>
    <w:p w14:paraId="48064CFE" w14:textId="5AB75CBE" w:rsidR="006E2FEE" w:rsidRDefault="006E2FEE" w:rsidP="00672003">
      <w:pPr>
        <w:rPr>
          <w:rFonts w:cs="Arial"/>
        </w:rPr>
      </w:pPr>
    </w:p>
    <w:p w14:paraId="498B2C6C" w14:textId="79430BE0" w:rsidR="004541FF" w:rsidRPr="00111DC0" w:rsidRDefault="00003B0D" w:rsidP="00907A96">
      <w:r>
        <w:rPr>
          <w:b/>
          <w:bCs/>
        </w:rPr>
        <w:t>S</w:t>
      </w:r>
      <w:r w:rsidR="004541FF" w:rsidRPr="00907A96">
        <w:rPr>
          <w:b/>
          <w:bCs/>
        </w:rPr>
        <w:t xml:space="preserve">e desconoce la causa de las autorizaciones o rechazos por parte de las unidades </w:t>
      </w:r>
      <w:r w:rsidR="0080535B" w:rsidRPr="00907A96">
        <w:rPr>
          <w:b/>
          <w:bCs/>
        </w:rPr>
        <w:t>administrativas</w:t>
      </w:r>
      <w:r w:rsidR="0083053F" w:rsidRPr="00907A96">
        <w:rPr>
          <w:b/>
          <w:bCs/>
        </w:rPr>
        <w:t>,</w:t>
      </w:r>
      <w:r w:rsidR="0083053F" w:rsidRPr="00111DC0">
        <w:t xml:space="preserve"> y este tiene que ser el objetivo de un registro más exhaustivo de información</w:t>
      </w:r>
      <w:r w:rsidR="004541FF" w:rsidRPr="00111DC0">
        <w:t xml:space="preserve">. Asumiendo de partida que las causas están justificadas </w:t>
      </w:r>
      <w:r w:rsidR="0080535B" w:rsidRPr="00111DC0">
        <w:t>en función de</w:t>
      </w:r>
      <w:r w:rsidR="004541FF" w:rsidRPr="00111DC0">
        <w:t xml:space="preserve"> criterios objetivos</w:t>
      </w:r>
      <w:r w:rsidR="0083053F" w:rsidRPr="00111DC0">
        <w:t xml:space="preserve"> es</w:t>
      </w:r>
      <w:r>
        <w:t xml:space="preserve"> </w:t>
      </w:r>
      <w:r w:rsidR="0083053F" w:rsidRPr="00111DC0">
        <w:t xml:space="preserve">adecuado </w:t>
      </w:r>
      <w:r w:rsidR="004541FF" w:rsidRPr="00111DC0">
        <w:t xml:space="preserve">disponer de </w:t>
      </w:r>
      <w:r w:rsidR="0083053F" w:rsidRPr="00111DC0">
        <w:t xml:space="preserve">más </w:t>
      </w:r>
      <w:r w:rsidR="004541FF" w:rsidRPr="00111DC0">
        <w:t xml:space="preserve">información </w:t>
      </w:r>
      <w:r w:rsidR="0083053F" w:rsidRPr="00111DC0">
        <w:t xml:space="preserve">de manera que se pueda </w:t>
      </w:r>
      <w:r w:rsidR="004541FF" w:rsidRPr="00111DC0">
        <w:t xml:space="preserve">seguir </w:t>
      </w:r>
      <w:r w:rsidR="0080535B" w:rsidRPr="00111DC0">
        <w:t>profundizando</w:t>
      </w:r>
      <w:r w:rsidR="004541FF" w:rsidRPr="00111DC0">
        <w:t xml:space="preserve"> en la realidad de gestión interna del personal de la Administración General.  </w:t>
      </w:r>
    </w:p>
    <w:p w14:paraId="209436E6" w14:textId="31288AAA" w:rsidR="004541FF" w:rsidRPr="00111DC0" w:rsidRDefault="004541FF" w:rsidP="00003B0D">
      <w:pPr>
        <w:pStyle w:val="Ttulo3"/>
      </w:pPr>
      <w:r w:rsidRPr="00111DC0">
        <w:t>Personas diplomadas</w:t>
      </w:r>
    </w:p>
    <w:p w14:paraId="3DCDC285" w14:textId="6A524715" w:rsidR="00F053C8" w:rsidRDefault="00003B0D" w:rsidP="00AA5940">
      <w:pPr>
        <w:rPr>
          <w:rFonts w:cs="Arial"/>
        </w:rPr>
      </w:pPr>
      <w:r>
        <w:rPr>
          <w:rFonts w:cs="Arial"/>
        </w:rPr>
        <w:t>E</w:t>
      </w:r>
      <w:r w:rsidR="00A83C27" w:rsidRPr="00111DC0">
        <w:rPr>
          <w:rFonts w:cs="Arial"/>
        </w:rPr>
        <w:t xml:space="preserve">xiste la misma proporción </w:t>
      </w:r>
      <w:r w:rsidR="003601D5" w:rsidRPr="00111DC0">
        <w:rPr>
          <w:rFonts w:cs="Arial"/>
        </w:rPr>
        <w:t xml:space="preserve">de mujeres y hombres </w:t>
      </w:r>
      <w:r w:rsidR="00A83C27" w:rsidRPr="00111DC0">
        <w:rPr>
          <w:rFonts w:cs="Arial"/>
        </w:rPr>
        <w:t>entre las</w:t>
      </w:r>
      <w:r w:rsidR="00D5736D" w:rsidRPr="00111DC0">
        <w:rPr>
          <w:rFonts w:cs="Arial"/>
        </w:rPr>
        <w:t xml:space="preserve"> solicitudes aceptadas y las</w:t>
      </w:r>
      <w:r w:rsidR="00A83C27" w:rsidRPr="00111DC0">
        <w:rPr>
          <w:rFonts w:cs="Arial"/>
        </w:rPr>
        <w:t xml:space="preserve"> personas diplomadas de los Servicios Generale</w:t>
      </w:r>
      <w:r w:rsidR="0080535B" w:rsidRPr="00111DC0">
        <w:rPr>
          <w:rFonts w:cs="Arial"/>
        </w:rPr>
        <w:t>s</w:t>
      </w:r>
      <w:r w:rsidR="00D5736D" w:rsidRPr="00111DC0">
        <w:rPr>
          <w:rFonts w:cs="Arial"/>
        </w:rPr>
        <w:t xml:space="preserve"> </w:t>
      </w:r>
      <w:r w:rsidR="00A83C27" w:rsidRPr="00111DC0">
        <w:rPr>
          <w:rFonts w:cs="Arial"/>
        </w:rPr>
        <w:t xml:space="preserve">y </w:t>
      </w:r>
      <w:r w:rsidR="00A83C27" w:rsidRPr="00111DC0">
        <w:rPr>
          <w:rFonts w:cs="Arial"/>
          <w:b/>
          <w:bCs/>
        </w:rPr>
        <w:t xml:space="preserve">un incremento relativo del número de diplomadas mujeres entre el </w:t>
      </w:r>
      <w:r w:rsidR="00832653" w:rsidRPr="00111DC0">
        <w:rPr>
          <w:rFonts w:cs="Arial"/>
          <w:b/>
          <w:bCs/>
        </w:rPr>
        <w:t>Personal Docente</w:t>
      </w:r>
      <w:r w:rsidR="00A83C27" w:rsidRPr="00111DC0">
        <w:rPr>
          <w:rFonts w:cs="Arial"/>
          <w:b/>
          <w:bCs/>
        </w:rPr>
        <w:t xml:space="preserve">. </w:t>
      </w:r>
      <w:r w:rsidR="0080535B" w:rsidRPr="00111DC0">
        <w:rPr>
          <w:rFonts w:cs="Arial"/>
        </w:rPr>
        <w:t xml:space="preserve">No se conocen las causas motivadoras del </w:t>
      </w:r>
      <w:r w:rsidR="00DD38F8" w:rsidRPr="00111DC0">
        <w:rPr>
          <w:rFonts w:cs="Arial"/>
        </w:rPr>
        <w:t>abandono</w:t>
      </w:r>
      <w:r w:rsidR="0080535B" w:rsidRPr="00111DC0">
        <w:rPr>
          <w:rFonts w:cs="Arial"/>
        </w:rPr>
        <w:t xml:space="preserve"> o no finalización</w:t>
      </w:r>
      <w:r w:rsidR="00DD38F8" w:rsidRPr="00111DC0">
        <w:rPr>
          <w:rFonts w:cs="Arial"/>
        </w:rPr>
        <w:t xml:space="preserve"> </w:t>
      </w:r>
      <w:r w:rsidR="0080535B" w:rsidRPr="00111DC0">
        <w:rPr>
          <w:rFonts w:cs="Arial"/>
        </w:rPr>
        <w:t xml:space="preserve">de las formaciones por </w:t>
      </w:r>
      <w:r w:rsidR="000C4453" w:rsidRPr="00111DC0">
        <w:rPr>
          <w:rFonts w:cs="Arial"/>
        </w:rPr>
        <w:t>p</w:t>
      </w:r>
      <w:r w:rsidR="0080535B" w:rsidRPr="00111DC0">
        <w:rPr>
          <w:rFonts w:cs="Arial"/>
        </w:rPr>
        <w:t xml:space="preserve">arte de las personas aceptadas, pero pueden ser varias, </w:t>
      </w:r>
      <w:r w:rsidR="000C4453" w:rsidRPr="00111DC0">
        <w:rPr>
          <w:rFonts w:cs="Arial"/>
        </w:rPr>
        <w:t xml:space="preserve">desde </w:t>
      </w:r>
      <w:r w:rsidR="00DD38F8" w:rsidRPr="00111DC0">
        <w:rPr>
          <w:rFonts w:cs="Arial"/>
        </w:rPr>
        <w:t>la</w:t>
      </w:r>
      <w:r w:rsidR="0080535B" w:rsidRPr="00111DC0">
        <w:rPr>
          <w:rFonts w:cs="Arial"/>
        </w:rPr>
        <w:t xml:space="preserve"> </w:t>
      </w:r>
      <w:r w:rsidR="00DD38F8" w:rsidRPr="00111DC0">
        <w:rPr>
          <w:rFonts w:cs="Arial"/>
        </w:rPr>
        <w:t>imposibilidad</w:t>
      </w:r>
      <w:r w:rsidR="0080535B" w:rsidRPr="00111DC0">
        <w:rPr>
          <w:rFonts w:cs="Arial"/>
        </w:rPr>
        <w:t xml:space="preserve"> de continuar la formación por carga de trabajo</w:t>
      </w:r>
      <w:r w:rsidR="00DD38F8" w:rsidRPr="00111DC0">
        <w:rPr>
          <w:rFonts w:cs="Arial"/>
        </w:rPr>
        <w:t xml:space="preserve"> </w:t>
      </w:r>
      <w:r w:rsidR="000C4453" w:rsidRPr="00111DC0">
        <w:rPr>
          <w:rFonts w:cs="Arial"/>
        </w:rPr>
        <w:t xml:space="preserve">hasta la aparición de </w:t>
      </w:r>
      <w:r w:rsidR="00DD38F8" w:rsidRPr="00111DC0">
        <w:rPr>
          <w:rFonts w:cs="Arial"/>
        </w:rPr>
        <w:t>acontecimientos imprevistos.</w:t>
      </w:r>
    </w:p>
    <w:p w14:paraId="3A0F1274" w14:textId="6F43CA06" w:rsidR="00A83C27" w:rsidRPr="00111DC0" w:rsidRDefault="00A83C27" w:rsidP="0020712F">
      <w:r w:rsidRPr="00111DC0">
        <w:rPr>
          <w:noProof/>
          <w:lang w:eastAsia="es-ES"/>
        </w:rPr>
        <w:drawing>
          <wp:inline distT="0" distB="0" distL="0" distR="0" wp14:anchorId="16AA38E0" wp14:editId="19F1AC90">
            <wp:extent cx="5349240" cy="2766252"/>
            <wp:effectExtent l="0" t="0" r="0" b="0"/>
            <wp:docPr id="49" name="Gráfico 49"/>
            <wp:cNvGraphicFramePr/>
            <a:graphic xmlns:a="http://schemas.openxmlformats.org/drawingml/2006/main">
              <a:graphicData uri="http://schemas.openxmlformats.org/drawingml/2006/chart">
                <c:chart xmlns:c="http://schemas.openxmlformats.org/drawingml/2006/chart" r:id="rId46"/>
              </a:graphicData>
            </a:graphic>
          </wp:inline>
        </w:drawing>
      </w:r>
    </w:p>
    <w:p w14:paraId="35FAF676" w14:textId="2F5B9D67" w:rsidR="006E2FEE" w:rsidRDefault="006E2FEE" w:rsidP="000549BD">
      <w:pPr>
        <w:rPr>
          <w:rFonts w:cs="Arial"/>
        </w:rPr>
      </w:pPr>
    </w:p>
    <w:p w14:paraId="73D5A68E" w14:textId="2CAE4E34" w:rsidR="0076503E" w:rsidRPr="00111DC0" w:rsidRDefault="0076503E" w:rsidP="004B6A1B">
      <w:pPr>
        <w:pStyle w:val="Ttulo3"/>
        <w:rPr>
          <w:rFonts w:cs="Arial"/>
        </w:rPr>
      </w:pPr>
      <w:r w:rsidRPr="00111DC0">
        <w:rPr>
          <w:rFonts w:cs="Arial"/>
        </w:rPr>
        <w:t>Modalidad de formación</w:t>
      </w:r>
    </w:p>
    <w:p w14:paraId="0DE060B3" w14:textId="23114119" w:rsidR="005F22F6" w:rsidRPr="00111DC0" w:rsidRDefault="00034823" w:rsidP="00350BA5">
      <w:pPr>
        <w:spacing w:after="0"/>
        <w:rPr>
          <w:rFonts w:eastAsia="Helvetica Neue" w:cs="Arial"/>
        </w:rPr>
      </w:pPr>
      <w:r w:rsidRPr="00111DC0">
        <w:rPr>
          <w:rFonts w:eastAsia="Helvetica Neue" w:cs="Arial"/>
        </w:rPr>
        <w:t xml:space="preserve">El Plan de Formación se imparte en dos modalidades: presencial y </w:t>
      </w:r>
      <w:r w:rsidR="00C20128" w:rsidRPr="00111DC0">
        <w:rPr>
          <w:rFonts w:eastAsia="Helvetica Neue" w:cs="Arial"/>
          <w:i/>
          <w:iCs/>
        </w:rPr>
        <w:t>online</w:t>
      </w:r>
      <w:r w:rsidRPr="00111DC0">
        <w:rPr>
          <w:rFonts w:eastAsia="Helvetica Neue" w:cs="Arial"/>
        </w:rPr>
        <w:t xml:space="preserve">. </w:t>
      </w:r>
      <w:r w:rsidR="00363DD5" w:rsidRPr="00111DC0">
        <w:rPr>
          <w:rFonts w:cs="Arial"/>
        </w:rPr>
        <w:t xml:space="preserve">Se facilitan así diferentes medios para la mejora de la calidad de las destrezas profesionales y del servicio público prestado. </w:t>
      </w:r>
    </w:p>
    <w:p w14:paraId="5CD3880D" w14:textId="50ABD7D1" w:rsidR="00D5477F" w:rsidRPr="005C741B" w:rsidRDefault="00D5477F" w:rsidP="00D5477F">
      <w:pPr>
        <w:rPr>
          <w:rFonts w:cs="Arial"/>
          <w:b/>
          <w:bCs/>
        </w:rPr>
      </w:pPr>
      <w:r w:rsidRPr="00111DC0">
        <w:rPr>
          <w:rFonts w:cs="Arial"/>
        </w:rPr>
        <w:t xml:space="preserve">En su modalidad presencial, </w:t>
      </w:r>
      <w:r w:rsidR="00837609" w:rsidRPr="00111DC0">
        <w:rPr>
          <w:rFonts w:cs="Arial"/>
        </w:rPr>
        <w:t xml:space="preserve">la participación de personal de los Servicios Generales ha alcanzado en los últimos años las 18.032 personas, </w:t>
      </w:r>
      <w:r w:rsidR="00837609" w:rsidRPr="005C741B">
        <w:rPr>
          <w:rFonts w:cs="Arial"/>
          <w:b/>
          <w:bCs/>
        </w:rPr>
        <w:t>con una distribución por sexo de 59% mujeres y 41% hombres.</w:t>
      </w:r>
      <w:r w:rsidR="00837609" w:rsidRPr="00111DC0">
        <w:rPr>
          <w:rFonts w:cs="Arial"/>
        </w:rPr>
        <w:t xml:space="preserve"> En el Personal Docente, el número de personas formadas es sensiblemente menor, dadas las características de su trabajo: tan solo 3.143 han participado en la modalidad presencial. D</w:t>
      </w:r>
      <w:r w:rsidR="005C741B">
        <w:rPr>
          <w:rFonts w:cs="Arial"/>
        </w:rPr>
        <w:t>e</w:t>
      </w:r>
      <w:r w:rsidR="00837609" w:rsidRPr="00111DC0">
        <w:rPr>
          <w:rFonts w:cs="Arial"/>
        </w:rPr>
        <w:t xml:space="preserve"> este total, </w:t>
      </w:r>
      <w:r w:rsidR="00837609" w:rsidRPr="005C741B">
        <w:rPr>
          <w:rFonts w:cs="Arial"/>
          <w:b/>
          <w:bCs/>
        </w:rPr>
        <w:t xml:space="preserve">la distribución por sexo es del 67% mujeres y 33% hombres. </w:t>
      </w:r>
    </w:p>
    <w:p w14:paraId="29A27531" w14:textId="29C81624" w:rsidR="00837609" w:rsidRPr="00111DC0" w:rsidRDefault="00837609" w:rsidP="005C741B">
      <w:pPr>
        <w:rPr>
          <w:rFonts w:eastAsia="Helvetica Neue" w:cs="Arial"/>
        </w:rPr>
      </w:pPr>
      <w:r w:rsidRPr="005C741B">
        <w:rPr>
          <w:rFonts w:cs="Arial"/>
        </w:rPr>
        <w:t xml:space="preserve">La </w:t>
      </w:r>
      <w:r w:rsidR="00D5477F" w:rsidRPr="005C741B">
        <w:rPr>
          <w:rFonts w:cs="Arial"/>
        </w:rPr>
        <w:t xml:space="preserve">formación </w:t>
      </w:r>
      <w:r w:rsidRPr="005C741B">
        <w:rPr>
          <w:rFonts w:cs="Arial"/>
        </w:rPr>
        <w:t xml:space="preserve">presencial </w:t>
      </w:r>
      <w:r w:rsidR="00D5477F" w:rsidRPr="005C741B">
        <w:rPr>
          <w:rFonts w:cs="Arial"/>
        </w:rPr>
        <w:t xml:space="preserve">se realiza en horario de mañana principalmente (97% de los cursos), a fin de que la formación no suponga un menoscabo para la conciliación. </w:t>
      </w:r>
      <w:r w:rsidRPr="005C741B">
        <w:rPr>
          <w:rFonts w:cs="Arial"/>
        </w:rPr>
        <w:t>Por su parte, la</w:t>
      </w:r>
      <w:r w:rsidR="00D5477F" w:rsidRPr="005C741B">
        <w:rPr>
          <w:rFonts w:cs="Arial"/>
        </w:rPr>
        <w:t xml:space="preserve"> modalidad </w:t>
      </w:r>
      <w:r w:rsidR="00D5477F" w:rsidRPr="005C741B">
        <w:rPr>
          <w:rFonts w:cs="Arial"/>
          <w:i/>
          <w:iCs/>
        </w:rPr>
        <w:t>online</w:t>
      </w:r>
      <w:r w:rsidR="00D5477F" w:rsidRPr="005C741B">
        <w:rPr>
          <w:rFonts w:cs="Arial"/>
        </w:rPr>
        <w:t xml:space="preserve"> está presente en todo el Plan de Formación y en las diferentes áreas formativas, representando alrededor de la mitad del total de los cursos</w:t>
      </w:r>
      <w:r w:rsidR="00D5477F" w:rsidRPr="00111DC0">
        <w:rPr>
          <w:rFonts w:cs="Arial"/>
        </w:rPr>
        <w:t xml:space="preserve">. </w:t>
      </w:r>
      <w:r w:rsidR="00363DD5" w:rsidRPr="00907A96">
        <w:t>P</w:t>
      </w:r>
      <w:r w:rsidRPr="00907A96">
        <w:t xml:space="preserve">or las posibilidades de su alcance, </w:t>
      </w:r>
      <w:r w:rsidR="00363DD5" w:rsidRPr="00907A96">
        <w:t xml:space="preserve">la modalidad </w:t>
      </w:r>
      <w:r w:rsidR="00363DD5" w:rsidRPr="00907A96">
        <w:rPr>
          <w:i/>
          <w:iCs/>
        </w:rPr>
        <w:t>online</w:t>
      </w:r>
      <w:r w:rsidR="00363DD5" w:rsidRPr="00907A96">
        <w:t xml:space="preserve"> </w:t>
      </w:r>
      <w:r w:rsidRPr="00907A96">
        <w:t>es la más concurrida, habiendo alcanzado cuotas de participación del 57% en los Servicios Generales y del 92% en el Personal Docente.</w:t>
      </w:r>
      <w:r w:rsidRPr="00111DC0">
        <w:rPr>
          <w:rFonts w:eastAsia="Helvetica Neue" w:cs="Arial"/>
        </w:rPr>
        <w:t xml:space="preserve"> </w:t>
      </w:r>
    </w:p>
    <w:p w14:paraId="7ADDDF66" w14:textId="55E4881D" w:rsidR="00F053C8" w:rsidRDefault="00363DD5" w:rsidP="000863BC">
      <w:pPr>
        <w:rPr>
          <w:rFonts w:eastAsia="Helvetica Neue" w:cs="Arial"/>
        </w:rPr>
      </w:pPr>
      <w:r w:rsidRPr="00111DC0">
        <w:t xml:space="preserve">La formación </w:t>
      </w:r>
      <w:r w:rsidRPr="00111DC0">
        <w:rPr>
          <w:i/>
          <w:iCs/>
        </w:rPr>
        <w:t>online</w:t>
      </w:r>
      <w:r w:rsidR="00D5477F" w:rsidRPr="00111DC0">
        <w:t xml:space="preserve"> se imparte a través del aula virtual</w:t>
      </w:r>
      <w:r w:rsidRPr="00111DC0">
        <w:t xml:space="preserve">, desde </w:t>
      </w:r>
      <w:r w:rsidR="00D5477F" w:rsidRPr="00111DC0">
        <w:t>las 16.00 horas hasta las 10.00 horas</w:t>
      </w:r>
      <w:r w:rsidR="00D5477F" w:rsidRPr="00111DC0">
        <w:rPr>
          <w:color w:val="FF0000"/>
        </w:rPr>
        <w:t xml:space="preserve"> </w:t>
      </w:r>
      <w:r w:rsidR="00D5477F" w:rsidRPr="00111DC0">
        <w:t xml:space="preserve">del día siguiente. </w:t>
      </w:r>
      <w:r w:rsidR="005C741B" w:rsidRPr="005C741B">
        <w:t>S</w:t>
      </w:r>
      <w:r w:rsidR="00D5477F" w:rsidRPr="005C741B">
        <w:rPr>
          <w:rFonts w:eastAsia="Helvetica Neue"/>
        </w:rPr>
        <w:t>e ha identificado que dicho tramo resulta en muchas ocasiones insuficiente para la adaptación de las necesidades de conciliación de las empleadas y empleados públicos.</w:t>
      </w:r>
      <w:r w:rsidR="00D5477F" w:rsidRPr="00111DC0">
        <w:rPr>
          <w:rFonts w:eastAsia="Helvetica Neue"/>
        </w:rPr>
        <w:t xml:space="preserve"> Por este motivo, </w:t>
      </w:r>
      <w:r w:rsidR="00D5477F" w:rsidRPr="000863BC">
        <w:rPr>
          <w:rFonts w:eastAsia="Helvetica Neue"/>
          <w:b/>
          <w:bCs/>
        </w:rPr>
        <w:t xml:space="preserve">se plantea la posibilidad de ampliar el rango horario </w:t>
      </w:r>
      <w:r w:rsidR="00D5477F" w:rsidRPr="000863BC">
        <w:rPr>
          <w:b/>
          <w:bCs/>
        </w:rPr>
        <w:t>abriéndolo a una disponibilidad plena las 24 horas del día.</w:t>
      </w:r>
    </w:p>
    <w:p w14:paraId="7BD42169" w14:textId="41B1417F" w:rsidR="00C20128" w:rsidRPr="00111DC0" w:rsidRDefault="005C741B" w:rsidP="00350BA5">
      <w:pPr>
        <w:spacing w:after="0"/>
        <w:rPr>
          <w:rFonts w:eastAsia="Helvetica Neue" w:cs="Arial"/>
        </w:rPr>
      </w:pPr>
      <w:r>
        <w:rPr>
          <w:rFonts w:eastAsia="Helvetica Neue" w:cs="Arial"/>
        </w:rPr>
        <w:t>E</w:t>
      </w:r>
      <w:r w:rsidR="006F3991" w:rsidRPr="00111DC0">
        <w:rPr>
          <w:rFonts w:eastAsia="Helvetica Neue" w:cs="Arial"/>
        </w:rPr>
        <w:t xml:space="preserve">n </w:t>
      </w:r>
      <w:r w:rsidR="004862AA" w:rsidRPr="00111DC0">
        <w:rPr>
          <w:rFonts w:eastAsia="Helvetica Neue" w:cs="Arial"/>
        </w:rPr>
        <w:t>l</w:t>
      </w:r>
      <w:r w:rsidR="006F3991" w:rsidRPr="00111DC0">
        <w:rPr>
          <w:rFonts w:eastAsia="Helvetica Neue" w:cs="Arial"/>
        </w:rPr>
        <w:t>os Servicios Generales</w:t>
      </w:r>
      <w:r>
        <w:rPr>
          <w:rFonts w:eastAsia="Helvetica Neue" w:cs="Arial"/>
        </w:rPr>
        <w:t xml:space="preserve"> </w:t>
      </w:r>
      <w:r w:rsidR="0067244F" w:rsidRPr="00111DC0">
        <w:rPr>
          <w:rFonts w:eastAsia="Helvetica Neue" w:cs="Arial"/>
        </w:rPr>
        <w:t xml:space="preserve">la brecha entre mujeres y hombres disminuye en la modalidad presencial y se incrementa notablemente en la </w:t>
      </w:r>
      <w:r w:rsidR="0067244F" w:rsidRPr="00111DC0">
        <w:rPr>
          <w:rFonts w:eastAsia="Helvetica Neue" w:cs="Arial"/>
          <w:i/>
          <w:iCs/>
        </w:rPr>
        <w:t>online</w:t>
      </w:r>
      <w:r w:rsidR="000863BC">
        <w:rPr>
          <w:rFonts w:eastAsia="Helvetica Neue" w:cs="Arial"/>
          <w:i/>
          <w:iCs/>
        </w:rPr>
        <w:t xml:space="preserve">, </w:t>
      </w:r>
      <w:r w:rsidR="000863BC" w:rsidRPr="000863BC">
        <w:rPr>
          <w:rFonts w:eastAsia="Helvetica Neue" w:cs="Arial"/>
        </w:rPr>
        <w:t>apreciándose</w:t>
      </w:r>
      <w:r w:rsidR="000863BC">
        <w:rPr>
          <w:rFonts w:eastAsia="Helvetica Neue" w:cs="Arial"/>
          <w:i/>
          <w:iCs/>
        </w:rPr>
        <w:t xml:space="preserve"> </w:t>
      </w:r>
      <w:r w:rsidR="00226AA0" w:rsidRPr="00111DC0">
        <w:rPr>
          <w:rFonts w:eastAsia="Helvetica Neue" w:cs="Arial"/>
          <w:b/>
          <w:bCs/>
        </w:rPr>
        <w:t>una clara feminización del alumnado</w:t>
      </w:r>
      <w:r w:rsidR="000863BC">
        <w:rPr>
          <w:rFonts w:eastAsia="Helvetica Neue" w:cs="Arial"/>
          <w:b/>
          <w:bCs/>
        </w:rPr>
        <w:t>:</w:t>
      </w:r>
    </w:p>
    <w:p w14:paraId="733BC212" w14:textId="3D5A3AF1" w:rsidR="00226AA0" w:rsidRPr="00111DC0" w:rsidRDefault="00226AA0" w:rsidP="0020712F">
      <w:pPr>
        <w:rPr>
          <w:rFonts w:eastAsia="Helvetica Neue"/>
        </w:rPr>
      </w:pPr>
      <w:r w:rsidRPr="00111DC0">
        <w:rPr>
          <w:noProof/>
          <w:lang w:eastAsia="es-ES"/>
        </w:rPr>
        <w:drawing>
          <wp:inline distT="0" distB="0" distL="0" distR="0" wp14:anchorId="0E948BAD" wp14:editId="3E788D35">
            <wp:extent cx="5229225" cy="2524125"/>
            <wp:effectExtent l="0" t="0" r="0" b="0"/>
            <wp:docPr id="54" name="Gráfico 54"/>
            <wp:cNvGraphicFramePr/>
            <a:graphic xmlns:a="http://schemas.openxmlformats.org/drawingml/2006/main">
              <a:graphicData uri="http://schemas.openxmlformats.org/drawingml/2006/chart">
                <c:chart xmlns:c="http://schemas.openxmlformats.org/drawingml/2006/chart" r:id="rId47"/>
              </a:graphicData>
            </a:graphic>
          </wp:inline>
        </w:drawing>
      </w:r>
    </w:p>
    <w:p w14:paraId="7D718567" w14:textId="41A30BC3" w:rsidR="00CE170D" w:rsidRPr="00111DC0" w:rsidRDefault="00CE170D" w:rsidP="0020712F"/>
    <w:p w14:paraId="49AFAE4C" w14:textId="77777777" w:rsidR="000863BC" w:rsidRDefault="009D223C" w:rsidP="00C20128">
      <w:pPr>
        <w:rPr>
          <w:rFonts w:cs="Arial"/>
        </w:rPr>
      </w:pPr>
      <w:r w:rsidRPr="00111DC0">
        <w:rPr>
          <w:rFonts w:cs="Arial"/>
        </w:rPr>
        <w:t xml:space="preserve">Dicha feminización del alumnado de la modalidad </w:t>
      </w:r>
      <w:r w:rsidRPr="00111DC0">
        <w:rPr>
          <w:rFonts w:cs="Arial"/>
          <w:i/>
          <w:iCs/>
        </w:rPr>
        <w:t>online</w:t>
      </w:r>
      <w:r w:rsidRPr="00111DC0">
        <w:rPr>
          <w:rFonts w:cs="Arial"/>
        </w:rPr>
        <w:t xml:space="preserve"> se incrementa todavía más en el Personal Docente, alcanzando el 76% del total</w:t>
      </w:r>
      <w:r w:rsidR="001E34C1">
        <w:rPr>
          <w:rFonts w:cs="Arial"/>
        </w:rPr>
        <w:t>:</w:t>
      </w:r>
    </w:p>
    <w:p w14:paraId="3AECE16E" w14:textId="7BA024C6" w:rsidR="001E34C1" w:rsidRDefault="001E34C1" w:rsidP="00C20128">
      <w:pPr>
        <w:rPr>
          <w:rFonts w:cs="Arial"/>
        </w:rPr>
      </w:pPr>
      <w:r w:rsidRPr="00111DC0">
        <w:rPr>
          <w:noProof/>
          <w:lang w:eastAsia="es-ES"/>
        </w:rPr>
        <w:drawing>
          <wp:inline distT="0" distB="0" distL="0" distR="0" wp14:anchorId="5189D43D" wp14:editId="09757F45">
            <wp:extent cx="5210175" cy="2495550"/>
            <wp:effectExtent l="0" t="0" r="0" b="0"/>
            <wp:docPr id="55" name="Gráfico 55"/>
            <wp:cNvGraphicFramePr/>
            <a:graphic xmlns:a="http://schemas.openxmlformats.org/drawingml/2006/main">
              <a:graphicData uri="http://schemas.openxmlformats.org/drawingml/2006/chart">
                <c:chart xmlns:c="http://schemas.openxmlformats.org/drawingml/2006/chart" r:id="rId48"/>
              </a:graphicData>
            </a:graphic>
          </wp:inline>
        </w:drawing>
      </w:r>
    </w:p>
    <w:p w14:paraId="3A9024E6" w14:textId="77777777" w:rsidR="00F053C8" w:rsidRDefault="00F053C8" w:rsidP="00C20128">
      <w:pPr>
        <w:rPr>
          <w:rFonts w:cs="Arial"/>
        </w:rPr>
      </w:pPr>
      <w:r>
        <w:rPr>
          <w:rFonts w:cs="Arial"/>
        </w:rPr>
        <w:br w:type="page"/>
      </w:r>
    </w:p>
    <w:p w14:paraId="4D3512F3" w14:textId="4A83BA55" w:rsidR="006E2FEE" w:rsidRDefault="006B2907" w:rsidP="00C20128">
      <w:pPr>
        <w:rPr>
          <w:rFonts w:cs="Arial"/>
          <w:b/>
          <w:bCs/>
        </w:rPr>
      </w:pPr>
      <w:r w:rsidRPr="00111DC0">
        <w:rPr>
          <w:rFonts w:cs="Arial"/>
        </w:rPr>
        <w:t xml:space="preserve">En un contexto social en el que todavía no existe plena </w:t>
      </w:r>
      <w:r w:rsidR="0080105C" w:rsidRPr="00111DC0">
        <w:rPr>
          <w:rFonts w:cs="Arial"/>
        </w:rPr>
        <w:t>corresponsabilidad</w:t>
      </w:r>
      <w:r w:rsidRPr="00111DC0">
        <w:rPr>
          <w:rFonts w:cs="Arial"/>
        </w:rPr>
        <w:t xml:space="preserve"> entre mujeres y hombres </w:t>
      </w:r>
      <w:r w:rsidR="0080105C" w:rsidRPr="00111DC0">
        <w:rPr>
          <w:rFonts w:cs="Arial"/>
        </w:rPr>
        <w:t>hacia</w:t>
      </w:r>
      <w:r w:rsidRPr="00111DC0">
        <w:rPr>
          <w:rFonts w:cs="Arial"/>
        </w:rPr>
        <w:t xml:space="preserve"> las responsabilidades de cuidado, </w:t>
      </w:r>
      <w:r w:rsidR="00B466CA" w:rsidRPr="00111DC0">
        <w:rPr>
          <w:rFonts w:cs="Arial"/>
        </w:rPr>
        <w:t xml:space="preserve">y en el que las mujeres asumen la llamada “doble y triple carga de trabajo”, </w:t>
      </w:r>
      <w:r w:rsidRPr="00111DC0">
        <w:rPr>
          <w:rFonts w:cs="Arial"/>
        </w:rPr>
        <w:t xml:space="preserve">probablemente </w:t>
      </w:r>
      <w:r w:rsidRPr="00111DC0">
        <w:rPr>
          <w:rFonts w:cs="Arial"/>
          <w:b/>
          <w:bCs/>
        </w:rPr>
        <w:t xml:space="preserve">la necesidad sentida cotidianamente por las mujeres de encontrar el </w:t>
      </w:r>
      <w:r w:rsidR="0080105C" w:rsidRPr="00111DC0">
        <w:rPr>
          <w:rFonts w:cs="Arial"/>
          <w:b/>
          <w:bCs/>
        </w:rPr>
        <w:t>equilibrio</w:t>
      </w:r>
      <w:r w:rsidRPr="00111DC0">
        <w:rPr>
          <w:rFonts w:cs="Arial"/>
          <w:b/>
          <w:bCs/>
        </w:rPr>
        <w:t xml:space="preserve"> entre la vida profesional, familiar y personal </w:t>
      </w:r>
      <w:r w:rsidR="0080105C" w:rsidRPr="00111DC0">
        <w:rPr>
          <w:rFonts w:cs="Arial"/>
          <w:b/>
          <w:bCs/>
        </w:rPr>
        <w:t xml:space="preserve">pueda explicar al menos parte de esta </w:t>
      </w:r>
      <w:r w:rsidR="009D223C" w:rsidRPr="00111DC0">
        <w:rPr>
          <w:rFonts w:cs="Arial"/>
          <w:b/>
          <w:bCs/>
        </w:rPr>
        <w:t>feminización</w:t>
      </w:r>
      <w:r w:rsidRPr="00111DC0">
        <w:rPr>
          <w:rFonts w:cs="Arial"/>
          <w:b/>
          <w:bCs/>
        </w:rPr>
        <w:t xml:space="preserve">. </w:t>
      </w:r>
    </w:p>
    <w:p w14:paraId="3B2E773B" w14:textId="0A3FD0AC" w:rsidR="001868BB" w:rsidRPr="00111DC0" w:rsidRDefault="001868BB" w:rsidP="00C20128">
      <w:pPr>
        <w:rPr>
          <w:rFonts w:cs="Arial"/>
        </w:rPr>
      </w:pPr>
      <w:r w:rsidRPr="00111DC0">
        <w:rPr>
          <w:rFonts w:cs="Arial"/>
        </w:rPr>
        <w:t xml:space="preserve">Por consiguiente, es importante que desde la Administración General se siga fomentando el reparto </w:t>
      </w:r>
      <w:r w:rsidR="005B0042" w:rsidRPr="00111DC0">
        <w:rPr>
          <w:rFonts w:cs="Arial"/>
        </w:rPr>
        <w:t>corresponsable</w:t>
      </w:r>
      <w:r w:rsidRPr="00111DC0">
        <w:rPr>
          <w:rFonts w:cs="Arial"/>
        </w:rPr>
        <w:t xml:space="preserve"> de los cuidados y los tiempos, de manera se contribuya a avanzar hacia un modelo plenamente equitativo en el que mujeres y hombres gocen de oportunidades similares para decidir sus opciones cotidi</w:t>
      </w:r>
      <w:r w:rsidR="005B0042" w:rsidRPr="00111DC0">
        <w:rPr>
          <w:rFonts w:cs="Arial"/>
        </w:rPr>
        <w:t>a</w:t>
      </w:r>
      <w:r w:rsidRPr="00111DC0">
        <w:rPr>
          <w:rFonts w:cs="Arial"/>
        </w:rPr>
        <w:t xml:space="preserve">nas y profesionales. </w:t>
      </w:r>
    </w:p>
    <w:p w14:paraId="4D77EDEA" w14:textId="145D48C3" w:rsidR="006E2FEE" w:rsidRDefault="006E2FEE" w:rsidP="001E1A18">
      <w:pPr>
        <w:rPr>
          <w:rFonts w:eastAsia="Helvetica Neue" w:cs="Arial"/>
        </w:rPr>
      </w:pPr>
    </w:p>
    <w:p w14:paraId="1A456BB4" w14:textId="782EC006" w:rsidR="004716EC" w:rsidRPr="00111DC0" w:rsidRDefault="00F75755" w:rsidP="004B6A1B">
      <w:pPr>
        <w:pStyle w:val="Ttulo3"/>
        <w:rPr>
          <w:rFonts w:cs="Arial"/>
        </w:rPr>
      </w:pPr>
      <w:r w:rsidRPr="00111DC0">
        <w:rPr>
          <w:rFonts w:cs="Arial"/>
        </w:rPr>
        <w:t>Formación en teletrabajo</w:t>
      </w:r>
    </w:p>
    <w:p w14:paraId="1521BC36" w14:textId="0CAD4820" w:rsidR="005557FA" w:rsidRPr="00111DC0" w:rsidRDefault="005557FA" w:rsidP="001E1A18">
      <w:pPr>
        <w:rPr>
          <w:rFonts w:cs="Arial"/>
        </w:rPr>
      </w:pPr>
      <w:r w:rsidRPr="00111DC0">
        <w:rPr>
          <w:rFonts w:cs="Arial"/>
        </w:rPr>
        <w:t>Con el ánimo de favorecer la conciliación por med</w:t>
      </w:r>
      <w:r w:rsidR="0085587A" w:rsidRPr="00111DC0">
        <w:rPr>
          <w:rFonts w:cs="Arial"/>
        </w:rPr>
        <w:t>i</w:t>
      </w:r>
      <w:r w:rsidRPr="00111DC0">
        <w:rPr>
          <w:rFonts w:cs="Arial"/>
        </w:rPr>
        <w:t xml:space="preserve">o de </w:t>
      </w:r>
      <w:r w:rsidR="0085587A" w:rsidRPr="00111DC0">
        <w:rPr>
          <w:rFonts w:cs="Arial"/>
        </w:rPr>
        <w:t>otras</w:t>
      </w:r>
      <w:r w:rsidRPr="00111DC0">
        <w:rPr>
          <w:rFonts w:cs="Arial"/>
        </w:rPr>
        <w:t xml:space="preserve"> medidas, y también con la intención de </w:t>
      </w:r>
      <w:r w:rsidR="0085587A" w:rsidRPr="00111DC0">
        <w:rPr>
          <w:rFonts w:cs="Arial"/>
        </w:rPr>
        <w:t>implantar</w:t>
      </w:r>
      <w:r w:rsidRPr="00111DC0">
        <w:rPr>
          <w:rFonts w:cs="Arial"/>
        </w:rPr>
        <w:t xml:space="preserve"> fórmulas para incrementar la productividad, el </w:t>
      </w:r>
      <w:r w:rsidR="004862AA" w:rsidRPr="00111DC0">
        <w:rPr>
          <w:rFonts w:cs="Arial"/>
        </w:rPr>
        <w:t>“</w:t>
      </w:r>
      <w:r w:rsidRPr="00111DC0">
        <w:rPr>
          <w:rFonts w:cs="Arial"/>
        </w:rPr>
        <w:t xml:space="preserve">Plan Estratégico </w:t>
      </w:r>
      <w:r w:rsidR="004862AA" w:rsidRPr="00111DC0">
        <w:rPr>
          <w:rFonts w:cs="Arial"/>
        </w:rPr>
        <w:t>La Rioja 2020”</w:t>
      </w:r>
      <w:r w:rsidR="000F6A96" w:rsidRPr="00111DC0">
        <w:rPr>
          <w:rFonts w:cs="Arial"/>
        </w:rPr>
        <w:t xml:space="preserve"> </w:t>
      </w:r>
      <w:r w:rsidRPr="00111DC0">
        <w:rPr>
          <w:rFonts w:cs="Arial"/>
        </w:rPr>
        <w:t xml:space="preserve">recoge la posibilidad de trabajar en remoto. </w:t>
      </w:r>
      <w:r w:rsidR="0085587A" w:rsidRPr="00111DC0">
        <w:rPr>
          <w:rFonts w:cs="Arial"/>
        </w:rPr>
        <w:t xml:space="preserve">En respuesta a ello, la ERAP diseñó un curso de </w:t>
      </w:r>
      <w:r w:rsidR="004862AA" w:rsidRPr="00111DC0">
        <w:rPr>
          <w:rFonts w:cs="Arial"/>
        </w:rPr>
        <w:t>teletrabajo</w:t>
      </w:r>
      <w:r w:rsidR="0085587A" w:rsidRPr="00111DC0">
        <w:rPr>
          <w:rFonts w:cs="Arial"/>
        </w:rPr>
        <w:t xml:space="preserve"> en el que puede participar el personal público una vez se le ha resuelto su solicitud para </w:t>
      </w:r>
      <w:proofErr w:type="spellStart"/>
      <w:r w:rsidR="0085587A" w:rsidRPr="00111DC0">
        <w:rPr>
          <w:rFonts w:cs="Arial"/>
        </w:rPr>
        <w:t>teletrabajar</w:t>
      </w:r>
      <w:proofErr w:type="spellEnd"/>
      <w:r w:rsidR="0085587A" w:rsidRPr="00111DC0">
        <w:rPr>
          <w:rFonts w:cs="Arial"/>
        </w:rPr>
        <w:t xml:space="preserve">. </w:t>
      </w:r>
    </w:p>
    <w:p w14:paraId="4B5D0C67" w14:textId="2AF98FF5" w:rsidR="0020712F" w:rsidRPr="00494AB0" w:rsidRDefault="005557FA" w:rsidP="0020712F">
      <w:pPr>
        <w:rPr>
          <w:b/>
          <w:bCs/>
        </w:rPr>
      </w:pPr>
      <w:r w:rsidRPr="00494AB0">
        <w:rPr>
          <w:rFonts w:cs="Arial"/>
          <w:b/>
          <w:bCs/>
        </w:rPr>
        <w:t xml:space="preserve">Durante el periodo de estudio, la </w:t>
      </w:r>
      <w:r w:rsidR="0085587A" w:rsidRPr="00494AB0">
        <w:rPr>
          <w:rFonts w:cs="Arial"/>
          <w:b/>
          <w:bCs/>
        </w:rPr>
        <w:t>inmensa</w:t>
      </w:r>
      <w:r w:rsidRPr="00494AB0">
        <w:rPr>
          <w:rFonts w:cs="Arial"/>
          <w:b/>
          <w:bCs/>
        </w:rPr>
        <w:t xml:space="preserve"> mayoría de las personas </w:t>
      </w:r>
      <w:r w:rsidR="0085587A" w:rsidRPr="00494AB0">
        <w:rPr>
          <w:rFonts w:cs="Arial"/>
          <w:b/>
          <w:bCs/>
        </w:rPr>
        <w:t>solicitantes</w:t>
      </w:r>
      <w:r w:rsidRPr="00494AB0">
        <w:rPr>
          <w:rFonts w:cs="Arial"/>
          <w:b/>
          <w:bCs/>
        </w:rPr>
        <w:t xml:space="preserve"> como las </w:t>
      </w:r>
      <w:r w:rsidR="0085587A" w:rsidRPr="00494AB0">
        <w:rPr>
          <w:rFonts w:cs="Arial"/>
          <w:b/>
          <w:bCs/>
        </w:rPr>
        <w:t xml:space="preserve">diplomadas </w:t>
      </w:r>
      <w:r w:rsidRPr="00494AB0">
        <w:rPr>
          <w:rFonts w:cs="Arial"/>
          <w:b/>
          <w:bCs/>
        </w:rPr>
        <w:t xml:space="preserve">en </w:t>
      </w:r>
      <w:r w:rsidR="0085587A" w:rsidRPr="00494AB0">
        <w:rPr>
          <w:rFonts w:cs="Arial"/>
          <w:b/>
          <w:bCs/>
        </w:rPr>
        <w:t>este</w:t>
      </w:r>
      <w:r w:rsidRPr="00494AB0">
        <w:rPr>
          <w:rFonts w:cs="Arial"/>
          <w:b/>
          <w:bCs/>
        </w:rPr>
        <w:t xml:space="preserve"> curso son mu</w:t>
      </w:r>
      <w:r w:rsidR="0085587A" w:rsidRPr="00494AB0">
        <w:rPr>
          <w:rFonts w:cs="Arial"/>
          <w:b/>
          <w:bCs/>
        </w:rPr>
        <w:t>j</w:t>
      </w:r>
      <w:r w:rsidRPr="00494AB0">
        <w:rPr>
          <w:rFonts w:cs="Arial"/>
          <w:b/>
          <w:bCs/>
        </w:rPr>
        <w:t>eres</w:t>
      </w:r>
      <w:r w:rsidR="00642161" w:rsidRPr="00494AB0">
        <w:rPr>
          <w:rFonts w:cs="Arial"/>
          <w:b/>
          <w:bCs/>
        </w:rPr>
        <w:t>:</w:t>
      </w:r>
    </w:p>
    <w:p w14:paraId="5D81F3C4" w14:textId="109EFDC0" w:rsidR="006D1E79" w:rsidRPr="00111DC0" w:rsidRDefault="006D1E79" w:rsidP="0020712F">
      <w:r w:rsidRPr="00111DC0">
        <w:rPr>
          <w:noProof/>
          <w:lang w:eastAsia="es-ES"/>
        </w:rPr>
        <w:drawing>
          <wp:inline distT="0" distB="0" distL="0" distR="0" wp14:anchorId="3E796440" wp14:editId="2B16B72E">
            <wp:extent cx="5349240" cy="2766252"/>
            <wp:effectExtent l="0" t="0" r="0" b="0"/>
            <wp:docPr id="56" name="Gráfico 56"/>
            <wp:cNvGraphicFramePr/>
            <a:graphic xmlns:a="http://schemas.openxmlformats.org/drawingml/2006/main">
              <a:graphicData uri="http://schemas.openxmlformats.org/drawingml/2006/chart">
                <c:chart xmlns:c="http://schemas.openxmlformats.org/drawingml/2006/chart" r:id="rId49"/>
              </a:graphicData>
            </a:graphic>
          </wp:inline>
        </w:drawing>
      </w:r>
    </w:p>
    <w:p w14:paraId="28C4A3EE" w14:textId="60365400" w:rsidR="004716EC" w:rsidRPr="00111DC0" w:rsidRDefault="004716EC" w:rsidP="0020712F"/>
    <w:p w14:paraId="64B8C9E0" w14:textId="43FC0002" w:rsidR="00DF05DC" w:rsidRPr="00111DC0" w:rsidRDefault="0076503E" w:rsidP="004B6A1B">
      <w:pPr>
        <w:pStyle w:val="Ttulo3"/>
        <w:rPr>
          <w:rFonts w:cs="Arial"/>
        </w:rPr>
      </w:pPr>
      <w:r w:rsidRPr="00111DC0">
        <w:rPr>
          <w:rFonts w:cs="Arial"/>
        </w:rPr>
        <w:t xml:space="preserve">Formación en igualdad </w:t>
      </w:r>
    </w:p>
    <w:p w14:paraId="484E84BC" w14:textId="1939ED30" w:rsidR="006E2FEE" w:rsidRDefault="00250D91" w:rsidP="00642161">
      <w:pPr>
        <w:rPr>
          <w:rFonts w:cs="Arial"/>
        </w:rPr>
      </w:pPr>
      <w:r w:rsidRPr="00111DC0">
        <w:rPr>
          <w:rFonts w:cs="Arial"/>
        </w:rPr>
        <w:t xml:space="preserve">Tal y como se ha </w:t>
      </w:r>
      <w:r w:rsidR="001C1E84" w:rsidRPr="00111DC0">
        <w:rPr>
          <w:rFonts w:cs="Arial"/>
        </w:rPr>
        <w:t>señalado</w:t>
      </w:r>
      <w:r w:rsidRPr="00111DC0">
        <w:rPr>
          <w:rFonts w:cs="Arial"/>
        </w:rPr>
        <w:t xml:space="preserve"> al inicio de este documento, la </w:t>
      </w:r>
      <w:r w:rsidRPr="00111DC0">
        <w:rPr>
          <w:rFonts w:cs="Arial"/>
          <w:i/>
          <w:iCs/>
          <w:color w:val="78BE20"/>
        </w:rPr>
        <w:t>ley orgánica de igualdad 3/2007</w:t>
      </w:r>
      <w:r w:rsidRPr="00111DC0">
        <w:rPr>
          <w:rFonts w:cs="Arial"/>
        </w:rPr>
        <w:t xml:space="preserve"> recoge en su artículo 61 la obligatoriedad de que la </w:t>
      </w:r>
      <w:r w:rsidR="0085587A" w:rsidRPr="00111DC0">
        <w:rPr>
          <w:rFonts w:cs="Arial"/>
        </w:rPr>
        <w:t>Administración</w:t>
      </w:r>
      <w:r w:rsidRPr="00111DC0">
        <w:rPr>
          <w:rFonts w:cs="Arial"/>
        </w:rPr>
        <w:t xml:space="preserve"> General del Estado ofrezca a </w:t>
      </w:r>
      <w:r w:rsidR="0020609B" w:rsidRPr="00111DC0">
        <w:rPr>
          <w:rFonts w:cs="Arial"/>
        </w:rPr>
        <w:t>todo su personal</w:t>
      </w:r>
      <w:r w:rsidR="000F6A96" w:rsidRPr="00111DC0">
        <w:rPr>
          <w:rFonts w:cs="Arial"/>
        </w:rPr>
        <w:t xml:space="preserve"> cursos de</w:t>
      </w:r>
      <w:r w:rsidR="0020609B" w:rsidRPr="00111DC0">
        <w:rPr>
          <w:rFonts w:cs="Arial"/>
        </w:rPr>
        <w:t xml:space="preserve"> formación</w:t>
      </w:r>
      <w:r w:rsidRPr="00111DC0">
        <w:rPr>
          <w:rFonts w:cs="Arial"/>
        </w:rPr>
        <w:t xml:space="preserve"> </w:t>
      </w:r>
      <w:r w:rsidR="0085587A" w:rsidRPr="00111DC0">
        <w:rPr>
          <w:rFonts w:cs="Arial"/>
        </w:rPr>
        <w:t>en género e</w:t>
      </w:r>
      <w:r w:rsidRPr="00111DC0">
        <w:rPr>
          <w:rFonts w:cs="Arial"/>
        </w:rPr>
        <w:t xml:space="preserve"> igualdad. </w:t>
      </w:r>
      <w:r w:rsidR="00642161">
        <w:rPr>
          <w:rFonts w:cs="Arial"/>
        </w:rPr>
        <w:t>Además</w:t>
      </w:r>
      <w:r w:rsidR="00AA54CF">
        <w:rPr>
          <w:rFonts w:cs="Arial"/>
        </w:rPr>
        <w:t xml:space="preserve">, la recientemente publicada </w:t>
      </w:r>
      <w:r w:rsidR="00AA54CF" w:rsidRPr="0001599F">
        <w:rPr>
          <w:rStyle w:val="KursivaCar"/>
        </w:rPr>
        <w:t>ley 11/2022, de 20 de septiembre, contra la Violencia de Género de La Rioja</w:t>
      </w:r>
      <w:r w:rsidR="00AA54CF">
        <w:rPr>
          <w:rFonts w:cs="Arial"/>
        </w:rPr>
        <w:t xml:space="preserve"> contempla en su articulado numerosas referencias a la formación específica en materia de violencia de género, incluyendo aspectos como el funcionamiento del sistema de sexo/género, la construcción cultural de la desigualdad </w:t>
      </w:r>
      <w:r w:rsidR="004123EC">
        <w:rPr>
          <w:rFonts w:cs="Arial"/>
        </w:rPr>
        <w:t xml:space="preserve">o las diferentes manifestaciones de la violencia de género. </w:t>
      </w:r>
    </w:p>
    <w:p w14:paraId="1A87D267" w14:textId="0FA95D98" w:rsidR="00250D91" w:rsidRPr="00111DC0" w:rsidRDefault="00642161" w:rsidP="001E1A18">
      <w:pPr>
        <w:rPr>
          <w:rFonts w:cs="Arial"/>
        </w:rPr>
      </w:pPr>
      <w:r>
        <w:rPr>
          <w:rFonts w:cs="Arial"/>
        </w:rPr>
        <w:t>P</w:t>
      </w:r>
      <w:r w:rsidR="00250D91" w:rsidRPr="00111DC0">
        <w:rPr>
          <w:rFonts w:cs="Arial"/>
        </w:rPr>
        <w:t>or medio de la ERAP,</w:t>
      </w:r>
      <w:r w:rsidR="001C1E84" w:rsidRPr="00111DC0">
        <w:rPr>
          <w:rFonts w:cs="Arial"/>
        </w:rPr>
        <w:t xml:space="preserve"> y desde el año 2010,</w:t>
      </w:r>
      <w:r w:rsidR="00250D91" w:rsidRPr="00111DC0">
        <w:rPr>
          <w:rFonts w:cs="Arial"/>
        </w:rPr>
        <w:t xml:space="preserve"> la </w:t>
      </w:r>
      <w:r w:rsidR="0085587A" w:rsidRPr="00111DC0">
        <w:rPr>
          <w:rFonts w:cs="Arial"/>
        </w:rPr>
        <w:t>Administración Au</w:t>
      </w:r>
      <w:r w:rsidR="00250D91" w:rsidRPr="00111DC0">
        <w:rPr>
          <w:rFonts w:cs="Arial"/>
        </w:rPr>
        <w:t xml:space="preserve">tonómica ofrece </w:t>
      </w:r>
      <w:r w:rsidR="0085587A" w:rsidRPr="00111DC0">
        <w:rPr>
          <w:rFonts w:cs="Arial"/>
        </w:rPr>
        <w:t>anualmente</w:t>
      </w:r>
      <w:r w:rsidR="00250D91" w:rsidRPr="00111DC0">
        <w:rPr>
          <w:rFonts w:cs="Arial"/>
        </w:rPr>
        <w:t xml:space="preserve"> una oferta variada de cursos en igualdad</w:t>
      </w:r>
      <w:r w:rsidR="001C1E84" w:rsidRPr="00111DC0">
        <w:rPr>
          <w:rFonts w:cs="Arial"/>
        </w:rPr>
        <w:t>. Los cursos presentan</w:t>
      </w:r>
      <w:r w:rsidR="00712319" w:rsidRPr="00111DC0">
        <w:rPr>
          <w:rFonts w:cs="Arial"/>
        </w:rPr>
        <w:t xml:space="preserve"> un distinto grado de </w:t>
      </w:r>
      <w:r w:rsidR="005F23A5" w:rsidRPr="00111DC0">
        <w:rPr>
          <w:rFonts w:cs="Arial"/>
        </w:rPr>
        <w:t>especialización</w:t>
      </w:r>
      <w:r w:rsidR="00712319" w:rsidRPr="00111DC0">
        <w:rPr>
          <w:rFonts w:cs="Arial"/>
        </w:rPr>
        <w:t xml:space="preserve"> y </w:t>
      </w:r>
      <w:r w:rsidR="001C1E84" w:rsidRPr="00111DC0">
        <w:rPr>
          <w:rFonts w:cs="Arial"/>
        </w:rPr>
        <w:t xml:space="preserve">abordan </w:t>
      </w:r>
      <w:r w:rsidR="00712319" w:rsidRPr="00111DC0">
        <w:rPr>
          <w:rFonts w:cs="Arial"/>
        </w:rPr>
        <w:t>contenidos diversos vinculados con la materia</w:t>
      </w:r>
      <w:r w:rsidR="00E870B5" w:rsidRPr="00111DC0">
        <w:rPr>
          <w:rFonts w:cs="Arial"/>
        </w:rPr>
        <w:t xml:space="preserve">, entre los que destacan la violencia de género, la comunicación no </w:t>
      </w:r>
      <w:r w:rsidR="005F23A5" w:rsidRPr="00111DC0">
        <w:rPr>
          <w:rFonts w:cs="Arial"/>
        </w:rPr>
        <w:t>sexista</w:t>
      </w:r>
      <w:r w:rsidR="00E870B5" w:rsidRPr="00111DC0">
        <w:rPr>
          <w:rFonts w:cs="Arial"/>
        </w:rPr>
        <w:t xml:space="preserve"> o la elaboración de informes de </w:t>
      </w:r>
      <w:r w:rsidR="005F23A5" w:rsidRPr="00111DC0">
        <w:rPr>
          <w:rFonts w:cs="Arial"/>
        </w:rPr>
        <w:t>impacto</w:t>
      </w:r>
      <w:r w:rsidR="00E870B5" w:rsidRPr="00111DC0">
        <w:rPr>
          <w:rFonts w:cs="Arial"/>
        </w:rPr>
        <w:t xml:space="preserve"> de género.</w:t>
      </w:r>
    </w:p>
    <w:p w14:paraId="0118D38D" w14:textId="01EA7955" w:rsidR="008223E2" w:rsidRPr="00111DC0" w:rsidRDefault="008B4ED8" w:rsidP="00FC3E16">
      <w:pPr>
        <w:rPr>
          <w:rFonts w:cs="Arial"/>
        </w:rPr>
      </w:pPr>
      <w:r w:rsidRPr="00642161">
        <w:rPr>
          <w:rFonts w:cs="Arial"/>
          <w:b/>
          <w:bCs/>
        </w:rPr>
        <w:t>Entre los años</w:t>
      </w:r>
      <w:r w:rsidR="00503085" w:rsidRPr="00642161">
        <w:rPr>
          <w:rFonts w:cs="Arial"/>
          <w:b/>
          <w:bCs/>
        </w:rPr>
        <w:t xml:space="preserve"> 2017 </w:t>
      </w:r>
      <w:r w:rsidRPr="00642161">
        <w:rPr>
          <w:rFonts w:cs="Arial"/>
          <w:b/>
          <w:bCs/>
        </w:rPr>
        <w:t>y</w:t>
      </w:r>
      <w:r w:rsidR="00503085" w:rsidRPr="00642161">
        <w:rPr>
          <w:rFonts w:cs="Arial"/>
          <w:b/>
          <w:bCs/>
        </w:rPr>
        <w:t xml:space="preserve"> 2020, </w:t>
      </w:r>
      <w:r w:rsidR="00642161">
        <w:rPr>
          <w:rFonts w:cs="Arial"/>
          <w:b/>
          <w:bCs/>
        </w:rPr>
        <w:t>tanto</w:t>
      </w:r>
      <w:r w:rsidR="0008682E" w:rsidRPr="00642161">
        <w:rPr>
          <w:rFonts w:cs="Arial"/>
          <w:b/>
          <w:bCs/>
        </w:rPr>
        <w:t xml:space="preserve"> </w:t>
      </w:r>
      <w:r w:rsidR="00642161">
        <w:rPr>
          <w:rFonts w:cs="Arial"/>
          <w:b/>
          <w:bCs/>
        </w:rPr>
        <w:t xml:space="preserve">en </w:t>
      </w:r>
      <w:r w:rsidR="0008682E" w:rsidRPr="00642161">
        <w:rPr>
          <w:rFonts w:cs="Arial"/>
          <w:b/>
          <w:bCs/>
        </w:rPr>
        <w:t>el personal de los Servicios Generales</w:t>
      </w:r>
      <w:r w:rsidR="00642161">
        <w:rPr>
          <w:rFonts w:cs="Arial"/>
          <w:b/>
          <w:bCs/>
        </w:rPr>
        <w:t xml:space="preserve"> como entre el Personal Docente</w:t>
      </w:r>
      <w:r w:rsidR="0008682E" w:rsidRPr="00642161">
        <w:rPr>
          <w:rFonts w:cs="Arial"/>
          <w:b/>
          <w:bCs/>
        </w:rPr>
        <w:t xml:space="preserve">, </w:t>
      </w:r>
      <w:r w:rsidR="00803914" w:rsidRPr="00642161">
        <w:rPr>
          <w:rFonts w:cs="Arial"/>
          <w:b/>
          <w:bCs/>
        </w:rPr>
        <w:t>el número de personas que se ha formado en igualdad ha ido creciendo progresivamente</w:t>
      </w:r>
      <w:r w:rsidR="00642161">
        <w:rPr>
          <w:rFonts w:cs="Arial"/>
          <w:b/>
          <w:bCs/>
        </w:rPr>
        <w:t xml:space="preserve">. </w:t>
      </w:r>
      <w:r w:rsidR="00F20331" w:rsidRPr="00111DC0">
        <w:rPr>
          <w:rFonts w:cs="Arial"/>
        </w:rPr>
        <w:t>Aunque todavía el impacto cuantitativo de estas formaciones es minoritario, su evolución progresiva da muestras de un creciente interés entre el personal público y de</w:t>
      </w:r>
      <w:r w:rsidR="00281893" w:rsidRPr="00111DC0">
        <w:rPr>
          <w:rFonts w:cs="Arial"/>
        </w:rPr>
        <w:t>l diseño por parte de la ERAP de</w:t>
      </w:r>
      <w:r w:rsidR="00F20331" w:rsidRPr="00111DC0">
        <w:rPr>
          <w:rFonts w:cs="Arial"/>
        </w:rPr>
        <w:t xml:space="preserve"> una oferta formativa más atractiva.</w:t>
      </w:r>
      <w:r w:rsidR="00642161">
        <w:rPr>
          <w:rFonts w:cs="Arial"/>
        </w:rPr>
        <w:t xml:space="preserve"> </w:t>
      </w:r>
      <w:r w:rsidR="0032257C" w:rsidRPr="00642161">
        <w:rPr>
          <w:rFonts w:cs="Arial"/>
        </w:rPr>
        <w:t>De todas las personas formadas en igualda</w:t>
      </w:r>
      <w:r w:rsidR="00F20331" w:rsidRPr="00642161">
        <w:rPr>
          <w:rFonts w:cs="Arial"/>
        </w:rPr>
        <w:t>d</w:t>
      </w:r>
      <w:r w:rsidR="0032257C" w:rsidRPr="00642161">
        <w:rPr>
          <w:rFonts w:cs="Arial"/>
        </w:rPr>
        <w:t xml:space="preserve">, </w:t>
      </w:r>
      <w:r w:rsidR="00441E09" w:rsidRPr="00642161">
        <w:rPr>
          <w:rFonts w:cs="Arial"/>
        </w:rPr>
        <w:t xml:space="preserve">la inmensa mayoría han sido mujeres (83% en los </w:t>
      </w:r>
      <w:r w:rsidR="00F20331" w:rsidRPr="00642161">
        <w:rPr>
          <w:rFonts w:cs="Arial"/>
        </w:rPr>
        <w:t xml:space="preserve">Servicios Generales </w:t>
      </w:r>
      <w:r w:rsidR="00441E09" w:rsidRPr="00642161">
        <w:rPr>
          <w:rFonts w:cs="Arial"/>
        </w:rPr>
        <w:t xml:space="preserve">y </w:t>
      </w:r>
      <w:r w:rsidR="00281893" w:rsidRPr="00642161">
        <w:rPr>
          <w:rFonts w:cs="Arial"/>
        </w:rPr>
        <w:t>8</w:t>
      </w:r>
      <w:r w:rsidR="00441E09" w:rsidRPr="00642161">
        <w:rPr>
          <w:rFonts w:cs="Arial"/>
        </w:rPr>
        <w:t>0</w:t>
      </w:r>
      <w:r w:rsidR="00281893" w:rsidRPr="00642161">
        <w:rPr>
          <w:rFonts w:cs="Arial"/>
        </w:rPr>
        <w:t xml:space="preserve">% en </w:t>
      </w:r>
      <w:r w:rsidR="00F20331" w:rsidRPr="00642161">
        <w:rPr>
          <w:rFonts w:cs="Arial"/>
        </w:rPr>
        <w:t>el Personal Docente</w:t>
      </w:r>
      <w:r w:rsidR="00441E09" w:rsidRPr="00642161">
        <w:rPr>
          <w:rFonts w:cs="Arial"/>
        </w:rPr>
        <w:t>)</w:t>
      </w:r>
      <w:r w:rsidR="00503085" w:rsidRPr="00642161">
        <w:rPr>
          <w:rFonts w:cs="Arial"/>
        </w:rPr>
        <w:t xml:space="preserve">. </w:t>
      </w:r>
    </w:p>
    <w:p w14:paraId="7126D82A" w14:textId="0B41F1D9" w:rsidR="008223E2" w:rsidRDefault="008223E2" w:rsidP="00FC3E16">
      <w:pPr>
        <w:rPr>
          <w:rFonts w:cs="Arial"/>
        </w:rPr>
      </w:pPr>
      <w:r w:rsidRPr="00111DC0">
        <w:rPr>
          <w:rFonts w:cs="Arial"/>
          <w:noProof/>
          <w:lang w:eastAsia="es-ES"/>
        </w:rPr>
        <w:drawing>
          <wp:inline distT="0" distB="0" distL="0" distR="0" wp14:anchorId="2900A3DE" wp14:editId="119AA974">
            <wp:extent cx="5349240" cy="2766252"/>
            <wp:effectExtent l="0" t="0" r="0" b="0"/>
            <wp:docPr id="58" name="Gráfico 58"/>
            <wp:cNvGraphicFramePr/>
            <a:graphic xmlns:a="http://schemas.openxmlformats.org/drawingml/2006/main">
              <a:graphicData uri="http://schemas.openxmlformats.org/drawingml/2006/chart">
                <c:chart xmlns:c="http://schemas.openxmlformats.org/drawingml/2006/chart" r:id="rId50"/>
              </a:graphicData>
            </a:graphic>
          </wp:inline>
        </w:drawing>
      </w:r>
    </w:p>
    <w:p w14:paraId="7BE7D14B" w14:textId="574994E2" w:rsidR="008C53F4" w:rsidRDefault="008C53F4" w:rsidP="00FC3E16">
      <w:pPr>
        <w:rPr>
          <w:rFonts w:cs="Arial"/>
        </w:rPr>
      </w:pPr>
    </w:p>
    <w:p w14:paraId="3CE18C33" w14:textId="42DE8C5F" w:rsidR="00B51C6A" w:rsidRDefault="00B51C6A" w:rsidP="00FC3E16">
      <w:pPr>
        <w:rPr>
          <w:rFonts w:cs="Arial"/>
        </w:rPr>
      </w:pPr>
      <w:r>
        <w:rPr>
          <w:rFonts w:cs="Arial"/>
        </w:rPr>
        <w:br w:type="page"/>
      </w:r>
    </w:p>
    <w:p w14:paraId="6804ABF7" w14:textId="10812005" w:rsidR="00616EC7" w:rsidRPr="00111DC0" w:rsidRDefault="00616EC7" w:rsidP="004B6A1B">
      <w:pPr>
        <w:pStyle w:val="Ttulo3"/>
        <w:rPr>
          <w:rFonts w:cs="Arial"/>
        </w:rPr>
      </w:pPr>
      <w:r w:rsidRPr="00111DC0">
        <w:rPr>
          <w:rFonts w:cs="Arial"/>
        </w:rPr>
        <w:t xml:space="preserve">Conclusiones </w:t>
      </w:r>
    </w:p>
    <w:p w14:paraId="030E45D2" w14:textId="3A7972BD" w:rsidR="00616EC7" w:rsidRPr="00111DC0" w:rsidRDefault="005A5D43" w:rsidP="00DE69A1">
      <w:pPr>
        <w:pStyle w:val="Ttulo4"/>
        <w:rPr>
          <w:rFonts w:cs="Arial"/>
        </w:rPr>
      </w:pPr>
      <w:r w:rsidRPr="00111DC0">
        <w:rPr>
          <w:rFonts w:cs="Arial"/>
        </w:rPr>
        <w:t xml:space="preserve">Fortalezas </w:t>
      </w:r>
    </w:p>
    <w:p w14:paraId="51B8E4FE" w14:textId="2D321D36" w:rsidR="00616EC7" w:rsidRPr="00111DC0" w:rsidRDefault="00616EC7" w:rsidP="00616EC7">
      <w:pPr>
        <w:rPr>
          <w:rFonts w:cs="Arial"/>
        </w:rPr>
      </w:pPr>
      <w:r w:rsidRPr="00111DC0">
        <w:rPr>
          <w:rFonts w:cs="Arial"/>
          <w:noProof/>
          <w:sz w:val="20"/>
          <w:szCs w:val="18"/>
          <w:lang w:eastAsia="es-ES"/>
        </w:rPr>
        <w:drawing>
          <wp:inline distT="0" distB="0" distL="0" distR="0" wp14:anchorId="457607CE" wp14:editId="5C16374F">
            <wp:extent cx="299923" cy="299923"/>
            <wp:effectExtent l="0" t="0" r="0" b="0"/>
            <wp:docPr id="130" name="Gráfico 130"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494AB0">
        <w:rPr>
          <w:rFonts w:cs="Arial"/>
          <w:b/>
          <w:bCs/>
        </w:rPr>
        <w:t xml:space="preserve">Las solicitudes de formación cursadas por mujeres y hombres en los </w:t>
      </w:r>
      <w:r w:rsidR="00941F6E" w:rsidRPr="00494AB0">
        <w:rPr>
          <w:rFonts w:cs="Arial"/>
          <w:b/>
          <w:bCs/>
        </w:rPr>
        <w:t>G</w:t>
      </w:r>
      <w:r w:rsidRPr="00494AB0">
        <w:rPr>
          <w:rFonts w:cs="Arial"/>
          <w:b/>
          <w:bCs/>
        </w:rPr>
        <w:t>rupos A1, C2 y E apenas muestran diferencias</w:t>
      </w:r>
      <w:r w:rsidRPr="00111DC0">
        <w:rPr>
          <w:rFonts w:cs="Arial"/>
        </w:rPr>
        <w:t xml:space="preserve"> en relación con la composición por sexo de dichos grupos</w:t>
      </w:r>
      <w:r w:rsidR="00941F6E" w:rsidRPr="00111DC0">
        <w:rPr>
          <w:rFonts w:cs="Arial"/>
        </w:rPr>
        <w:t xml:space="preserve">; se incrementa ligeramente en el A1 y C2 (2 y 4 puntos respectivamente) y disminuye en 1 en el Grupo E. </w:t>
      </w:r>
    </w:p>
    <w:p w14:paraId="7F249ECC" w14:textId="51DD104F" w:rsidR="00616EC7" w:rsidRPr="00111DC0" w:rsidRDefault="00616EC7" w:rsidP="00616EC7">
      <w:pPr>
        <w:rPr>
          <w:rFonts w:cs="Arial"/>
        </w:rPr>
      </w:pPr>
      <w:r w:rsidRPr="00111DC0">
        <w:rPr>
          <w:rFonts w:cs="Arial"/>
          <w:noProof/>
          <w:sz w:val="20"/>
          <w:szCs w:val="18"/>
          <w:lang w:eastAsia="es-ES"/>
        </w:rPr>
        <w:drawing>
          <wp:inline distT="0" distB="0" distL="0" distR="0" wp14:anchorId="3F37E814" wp14:editId="5ECF2719">
            <wp:extent cx="299923" cy="299923"/>
            <wp:effectExtent l="0" t="0" r="0" b="0"/>
            <wp:docPr id="131" name="Gráfico 131"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00AA393B" w:rsidRPr="00494AB0">
        <w:rPr>
          <w:rFonts w:cs="Arial"/>
          <w:b/>
          <w:bCs/>
        </w:rPr>
        <w:t xml:space="preserve">No existe variación </w:t>
      </w:r>
      <w:r w:rsidRPr="00494AB0">
        <w:rPr>
          <w:rFonts w:cs="Arial"/>
          <w:b/>
          <w:bCs/>
        </w:rPr>
        <w:t xml:space="preserve">entre las solicitudes aceptadas y las </w:t>
      </w:r>
      <w:r w:rsidR="00AA393B" w:rsidRPr="00494AB0">
        <w:rPr>
          <w:rFonts w:cs="Arial"/>
          <w:b/>
          <w:bCs/>
        </w:rPr>
        <w:t>mujeres y hombres que se</w:t>
      </w:r>
      <w:r w:rsidRPr="00494AB0">
        <w:rPr>
          <w:rFonts w:cs="Arial"/>
          <w:b/>
          <w:bCs/>
        </w:rPr>
        <w:t xml:space="preserve"> diploma</w:t>
      </w:r>
      <w:r w:rsidR="00AA393B" w:rsidRPr="00494AB0">
        <w:rPr>
          <w:rFonts w:cs="Arial"/>
          <w:b/>
          <w:bCs/>
        </w:rPr>
        <w:t>n,</w:t>
      </w:r>
      <w:r w:rsidR="00AA393B" w:rsidRPr="00111DC0">
        <w:rPr>
          <w:rFonts w:cs="Arial"/>
        </w:rPr>
        <w:t xml:space="preserve"> manteniéndose estable en el 65% de mujeres y 35% de hombres en los Servicios Generales, es decir, que se aprecia un éxito pleno en la continuidad y desarrollo de la formación cursada. </w:t>
      </w:r>
    </w:p>
    <w:p w14:paraId="12328444" w14:textId="5B6F92BA" w:rsidR="00616EC7" w:rsidRPr="00111DC0" w:rsidRDefault="00616EC7" w:rsidP="00616EC7">
      <w:pPr>
        <w:rPr>
          <w:rFonts w:cs="Arial"/>
        </w:rPr>
      </w:pPr>
      <w:r w:rsidRPr="00111DC0">
        <w:rPr>
          <w:rFonts w:cs="Arial"/>
          <w:noProof/>
          <w:sz w:val="20"/>
          <w:szCs w:val="18"/>
          <w:lang w:eastAsia="es-ES"/>
        </w:rPr>
        <w:drawing>
          <wp:inline distT="0" distB="0" distL="0" distR="0" wp14:anchorId="4605A352" wp14:editId="61575AED">
            <wp:extent cx="299923" cy="299923"/>
            <wp:effectExtent l="0" t="0" r="0" b="0"/>
            <wp:docPr id="132" name="Gráfico 132"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494AB0">
        <w:rPr>
          <w:rFonts w:cs="Arial"/>
          <w:b/>
          <w:bCs/>
        </w:rPr>
        <w:t xml:space="preserve">El Plan de formación </w:t>
      </w:r>
      <w:r w:rsidR="005B7830" w:rsidRPr="00494AB0">
        <w:rPr>
          <w:rFonts w:cs="Arial"/>
          <w:b/>
          <w:bCs/>
        </w:rPr>
        <w:t xml:space="preserve">de la ERAP </w:t>
      </w:r>
      <w:r w:rsidRPr="00494AB0">
        <w:rPr>
          <w:rFonts w:cs="Arial"/>
          <w:b/>
          <w:bCs/>
        </w:rPr>
        <w:t xml:space="preserve">incluye </w:t>
      </w:r>
      <w:r w:rsidR="0059074A" w:rsidRPr="00494AB0">
        <w:rPr>
          <w:rFonts w:cs="Arial"/>
          <w:b/>
          <w:bCs/>
        </w:rPr>
        <w:t xml:space="preserve">las </w:t>
      </w:r>
      <w:r w:rsidRPr="00494AB0">
        <w:rPr>
          <w:rFonts w:cs="Arial"/>
          <w:b/>
          <w:bCs/>
        </w:rPr>
        <w:t>modalidad</w:t>
      </w:r>
      <w:r w:rsidR="0059074A" w:rsidRPr="00494AB0">
        <w:rPr>
          <w:rFonts w:cs="Arial"/>
          <w:b/>
          <w:bCs/>
        </w:rPr>
        <w:t>es</w:t>
      </w:r>
      <w:r w:rsidRPr="00494AB0">
        <w:rPr>
          <w:rFonts w:cs="Arial"/>
          <w:b/>
          <w:bCs/>
        </w:rPr>
        <w:t xml:space="preserve"> presencial y </w:t>
      </w:r>
      <w:r w:rsidRPr="00494AB0">
        <w:rPr>
          <w:rFonts w:cs="Arial"/>
          <w:b/>
          <w:bCs/>
          <w:i/>
          <w:iCs/>
        </w:rPr>
        <w:t>online</w:t>
      </w:r>
      <w:r w:rsidRPr="00494AB0">
        <w:rPr>
          <w:rFonts w:cs="Arial"/>
          <w:b/>
          <w:bCs/>
        </w:rPr>
        <w:t>,</w:t>
      </w:r>
      <w:r w:rsidRPr="00111DC0">
        <w:rPr>
          <w:rFonts w:cs="Arial"/>
        </w:rPr>
        <w:t xml:space="preserve"> de forma que se favorece tanto el desarrollo profesional como la conciliación entre la vida laboral, familiar y personal</w:t>
      </w:r>
      <w:r w:rsidR="0059074A" w:rsidRPr="00111DC0">
        <w:rPr>
          <w:rFonts w:cs="Arial"/>
        </w:rPr>
        <w:t>.</w:t>
      </w:r>
    </w:p>
    <w:p w14:paraId="7581AD3C" w14:textId="625CD311" w:rsidR="00616EC7" w:rsidRPr="00111DC0" w:rsidRDefault="00616EC7" w:rsidP="00616EC7">
      <w:pPr>
        <w:rPr>
          <w:rFonts w:cs="Arial"/>
        </w:rPr>
      </w:pPr>
      <w:r w:rsidRPr="00111DC0">
        <w:rPr>
          <w:rFonts w:cs="Arial"/>
          <w:noProof/>
          <w:sz w:val="20"/>
          <w:szCs w:val="18"/>
          <w:lang w:eastAsia="es-ES"/>
        </w:rPr>
        <w:drawing>
          <wp:inline distT="0" distB="0" distL="0" distR="0" wp14:anchorId="292B47BE" wp14:editId="7C6C1E62">
            <wp:extent cx="299923" cy="299923"/>
            <wp:effectExtent l="0" t="0" r="0" b="0"/>
            <wp:docPr id="133" name="Gráfico 133"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007224B2" w:rsidRPr="00111DC0">
        <w:rPr>
          <w:rFonts w:cs="Arial"/>
        </w:rPr>
        <w:t xml:space="preserve"> </w:t>
      </w:r>
      <w:r w:rsidR="007224B2" w:rsidRPr="00494AB0">
        <w:rPr>
          <w:rFonts w:cs="Arial"/>
          <w:b/>
          <w:bCs/>
        </w:rPr>
        <w:t>Se favorece el teletrabajo por medio de una formación específica</w:t>
      </w:r>
      <w:r w:rsidR="0059074A" w:rsidRPr="00494AB0">
        <w:rPr>
          <w:rFonts w:cs="Arial"/>
          <w:b/>
          <w:bCs/>
        </w:rPr>
        <w:t>,</w:t>
      </w:r>
      <w:r w:rsidR="0059074A" w:rsidRPr="00111DC0">
        <w:rPr>
          <w:rFonts w:cs="Arial"/>
        </w:rPr>
        <w:t xml:space="preserve"> en respuesta a la Estrategia Riojana 2020 y</w:t>
      </w:r>
      <w:r w:rsidR="007224B2" w:rsidRPr="00111DC0">
        <w:rPr>
          <w:rFonts w:cs="Arial"/>
        </w:rPr>
        <w:t xml:space="preserve"> como una manera de incrementar la productividad y favorecer la conciliación.</w:t>
      </w:r>
    </w:p>
    <w:p w14:paraId="3CE29E01" w14:textId="1E1A29CA" w:rsidR="007224B2" w:rsidRPr="00111DC0" w:rsidRDefault="00616EC7" w:rsidP="00494AB0">
      <w:r w:rsidRPr="00111DC0">
        <w:rPr>
          <w:noProof/>
          <w:sz w:val="20"/>
          <w:szCs w:val="18"/>
          <w:lang w:eastAsia="es-ES"/>
        </w:rPr>
        <w:drawing>
          <wp:inline distT="0" distB="0" distL="0" distR="0" wp14:anchorId="57A0E279" wp14:editId="521D10DA">
            <wp:extent cx="299923" cy="299923"/>
            <wp:effectExtent l="0" t="0" r="0" b="0"/>
            <wp:docPr id="134" name="Gráfico 134"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007224B2" w:rsidRPr="00111DC0">
        <w:t xml:space="preserve"> </w:t>
      </w:r>
      <w:r w:rsidR="007224B2" w:rsidRPr="00494AB0">
        <w:rPr>
          <w:b/>
          <w:bCs/>
        </w:rPr>
        <w:t>La formación en igualdad se ha incrementado notablemente en los últimos años,</w:t>
      </w:r>
      <w:r w:rsidR="007224B2" w:rsidRPr="00111DC0">
        <w:t xml:space="preserve"> tanto en el número de personas formadas (que se ha duplicado entre 2017 y 2021) como en el número y tipo de cursos ofrecidos. Esto da muestras de que</w:t>
      </w:r>
      <w:r w:rsidR="005B7830" w:rsidRPr="00111DC0">
        <w:t>, por un lado, la ERAP está sabiendo dar respuesta a las demandas del personal con ofertas atractivas y, por otro, de que</w:t>
      </w:r>
      <w:r w:rsidR="007224B2" w:rsidRPr="00111DC0">
        <w:t xml:space="preserve"> existe en la Administración riojana un conjunto de empleadas y empleados que, en su compromiso con la igualdad, asumen la función de aplicar activamente el principio de igualdad.  </w:t>
      </w:r>
    </w:p>
    <w:p w14:paraId="4B6AE7B6" w14:textId="1F70775D" w:rsidR="00616EC7" w:rsidRPr="00111DC0" w:rsidRDefault="00616EC7" w:rsidP="00616EC7">
      <w:pPr>
        <w:rPr>
          <w:rFonts w:cs="Arial"/>
        </w:rPr>
      </w:pPr>
      <w:r w:rsidRPr="00111DC0">
        <w:rPr>
          <w:rFonts w:cs="Arial"/>
          <w:noProof/>
          <w:sz w:val="20"/>
          <w:szCs w:val="18"/>
          <w:lang w:eastAsia="es-ES"/>
        </w:rPr>
        <w:drawing>
          <wp:inline distT="0" distB="0" distL="0" distR="0" wp14:anchorId="3964D7D0" wp14:editId="6CB8227F">
            <wp:extent cx="299923" cy="299923"/>
            <wp:effectExtent l="0" t="0" r="0" b="0"/>
            <wp:docPr id="135" name="Gráfico 135"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007224B2" w:rsidRPr="00111DC0">
        <w:rPr>
          <w:rFonts w:cs="Arial"/>
        </w:rPr>
        <w:t xml:space="preserve"> </w:t>
      </w:r>
      <w:r w:rsidR="007224B2" w:rsidRPr="00494AB0">
        <w:rPr>
          <w:rFonts w:cs="Arial"/>
          <w:b/>
          <w:bCs/>
        </w:rPr>
        <w:t>El Plan de formación de 2022 ha comenzado a formar en igualdad a personal directivo,</w:t>
      </w:r>
      <w:r w:rsidR="007224B2" w:rsidRPr="00111DC0">
        <w:rPr>
          <w:rFonts w:cs="Arial"/>
        </w:rPr>
        <w:t xml:space="preserve"> haciéndose eco de las sugerencias de mejora obtenidas </w:t>
      </w:r>
      <w:r w:rsidR="0059074A" w:rsidRPr="00111DC0">
        <w:rPr>
          <w:rFonts w:cs="Arial"/>
        </w:rPr>
        <w:t xml:space="preserve">en las encuestas de valoración </w:t>
      </w:r>
      <w:r w:rsidR="007224B2" w:rsidRPr="00111DC0">
        <w:rPr>
          <w:rFonts w:cs="Arial"/>
        </w:rPr>
        <w:t>a lo largo del tiempo.</w:t>
      </w:r>
    </w:p>
    <w:p w14:paraId="7BC28400" w14:textId="77777777" w:rsidR="007224B2" w:rsidRPr="00111DC0" w:rsidRDefault="007224B2" w:rsidP="00616EC7">
      <w:pPr>
        <w:rPr>
          <w:rFonts w:cs="Arial"/>
        </w:rPr>
      </w:pPr>
    </w:p>
    <w:p w14:paraId="452178E0" w14:textId="77777777" w:rsidR="0059074A" w:rsidRPr="00111DC0" w:rsidRDefault="0059074A" w:rsidP="00DE69A1">
      <w:pPr>
        <w:pStyle w:val="Ttulo4"/>
        <w:rPr>
          <w:rFonts w:cs="Arial"/>
        </w:rPr>
      </w:pPr>
      <w:r w:rsidRPr="00111DC0">
        <w:rPr>
          <w:rFonts w:cs="Arial"/>
        </w:rPr>
        <w:br w:type="page"/>
      </w:r>
    </w:p>
    <w:p w14:paraId="508B671A" w14:textId="137D3330" w:rsidR="005A5D43" w:rsidRPr="00111DC0" w:rsidRDefault="00616EC7" w:rsidP="00DE69A1">
      <w:pPr>
        <w:pStyle w:val="Ttulo4"/>
        <w:rPr>
          <w:rFonts w:cs="Arial"/>
        </w:rPr>
      </w:pPr>
      <w:r w:rsidRPr="00111DC0">
        <w:rPr>
          <w:rFonts w:cs="Arial"/>
        </w:rPr>
        <w:t>Á</w:t>
      </w:r>
      <w:r w:rsidR="005A5D43" w:rsidRPr="00111DC0">
        <w:rPr>
          <w:rFonts w:cs="Arial"/>
        </w:rPr>
        <w:t>reas de mejora</w:t>
      </w:r>
    </w:p>
    <w:p w14:paraId="46E0F61A" w14:textId="01C0EAEA" w:rsidR="00616EC7" w:rsidRPr="00111DC0" w:rsidRDefault="00616EC7" w:rsidP="00616EC7">
      <w:pPr>
        <w:rPr>
          <w:rFonts w:cs="Arial"/>
        </w:rPr>
      </w:pPr>
      <w:r w:rsidRPr="00111DC0">
        <w:rPr>
          <w:rFonts w:cs="Arial"/>
          <w:noProof/>
          <w:sz w:val="20"/>
          <w:szCs w:val="18"/>
          <w:lang w:eastAsia="es-ES"/>
        </w:rPr>
        <w:drawing>
          <wp:inline distT="0" distB="0" distL="0" distR="0" wp14:anchorId="465D6736" wp14:editId="084D6B12">
            <wp:extent cx="277978" cy="277978"/>
            <wp:effectExtent l="0" t="0" r="0" b="0"/>
            <wp:docPr id="129" name="Gráfico 129"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007224B2" w:rsidRPr="00111DC0">
        <w:rPr>
          <w:rFonts w:cs="Arial"/>
        </w:rPr>
        <w:t xml:space="preserve"> </w:t>
      </w:r>
      <w:r w:rsidR="007224B2" w:rsidRPr="006E2FEE">
        <w:rPr>
          <w:rFonts w:cs="Arial"/>
        </w:rPr>
        <w:t xml:space="preserve">1 </w:t>
      </w:r>
      <w:r w:rsidR="007224B2" w:rsidRPr="00494AB0">
        <w:rPr>
          <w:rFonts w:cs="Arial"/>
          <w:b/>
          <w:bCs/>
        </w:rPr>
        <w:t>- En las solicitudes de formación cursadas en los grupos A2 y C1 sí existe una disminución proporcional significativa de mujeres en relación con su presencia en el grupo</w:t>
      </w:r>
      <w:r w:rsidR="00941F6E" w:rsidRPr="006E2FEE">
        <w:rPr>
          <w:rFonts w:cs="Arial"/>
        </w:rPr>
        <w:t xml:space="preserve"> (desciende en 8 y 10 puntos porcentuales respectivamente)</w:t>
      </w:r>
      <w:r w:rsidR="007224B2" w:rsidRPr="006E2FEE">
        <w:rPr>
          <w:rFonts w:cs="Arial"/>
        </w:rPr>
        <w:t>. Esta situación es debida probablemente a incompatibilidad horaria, por lo que se propone la posibilidad de considerar las horas de formación como horas extraordinarias para colectivos de estos grupos o de cualquier otro, que podrán ser compensadas por horas libres o abonadas económicamente siempre que se justifique</w:t>
      </w:r>
      <w:r w:rsidR="006E2FEE">
        <w:rPr>
          <w:rFonts w:cs="Arial"/>
        </w:rPr>
        <w:t xml:space="preserve"> y cuando la formación sea obligatoria o exista un informe de la Secretaría General Técnica indicando que el curso es necesario para su puesto de trabajo y que existe incompatibilidad horaria con la jornada ordinaria</w:t>
      </w:r>
      <w:r w:rsidR="006E2FEE" w:rsidRPr="00111DC0">
        <w:rPr>
          <w:rFonts w:cs="Arial"/>
        </w:rPr>
        <w:t>.</w:t>
      </w:r>
    </w:p>
    <w:p w14:paraId="0E809FD9" w14:textId="239EEA9E" w:rsidR="00DA3CEC" w:rsidRPr="00111DC0" w:rsidRDefault="007224B2" w:rsidP="00350BA5">
      <w:pPr>
        <w:spacing w:after="0"/>
        <w:rPr>
          <w:rFonts w:cs="Arial"/>
        </w:rPr>
      </w:pPr>
      <w:r w:rsidRPr="00111DC0">
        <w:rPr>
          <w:rFonts w:cs="Arial"/>
          <w:noProof/>
          <w:sz w:val="20"/>
          <w:szCs w:val="18"/>
          <w:lang w:eastAsia="es-ES"/>
        </w:rPr>
        <w:drawing>
          <wp:inline distT="0" distB="0" distL="0" distR="0" wp14:anchorId="18A8ED43" wp14:editId="23A2E6A1">
            <wp:extent cx="277978" cy="277978"/>
            <wp:effectExtent l="0" t="0" r="0" b="0"/>
            <wp:docPr id="136" name="Gráfico 136"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2 </w:t>
      </w:r>
      <w:r w:rsidRPr="00494AB0">
        <w:rPr>
          <w:rFonts w:cs="Arial"/>
          <w:b/>
          <w:bCs/>
        </w:rPr>
        <w:t>- Existe un incremento de</w:t>
      </w:r>
      <w:r w:rsidR="005B7830" w:rsidRPr="00494AB0">
        <w:rPr>
          <w:rFonts w:cs="Arial"/>
          <w:b/>
          <w:bCs/>
        </w:rPr>
        <w:t xml:space="preserve"> 3 puntos porcentuales en</w:t>
      </w:r>
      <w:r w:rsidRPr="00494AB0">
        <w:rPr>
          <w:rFonts w:cs="Arial"/>
          <w:b/>
          <w:bCs/>
        </w:rPr>
        <w:t xml:space="preserve"> la ratio masculina entre las solicitudes </w:t>
      </w:r>
      <w:r w:rsidR="005B7830" w:rsidRPr="00494AB0">
        <w:rPr>
          <w:rFonts w:cs="Arial"/>
          <w:b/>
          <w:bCs/>
        </w:rPr>
        <w:t xml:space="preserve">cursadas (32% del total) y </w:t>
      </w:r>
      <w:r w:rsidRPr="00494AB0">
        <w:rPr>
          <w:rFonts w:cs="Arial"/>
          <w:b/>
          <w:bCs/>
        </w:rPr>
        <w:t>aceptadas</w:t>
      </w:r>
      <w:r w:rsidR="005B7830" w:rsidRPr="00494AB0">
        <w:rPr>
          <w:rFonts w:cs="Arial"/>
          <w:b/>
          <w:bCs/>
        </w:rPr>
        <w:t xml:space="preserve"> (35% del total);</w:t>
      </w:r>
      <w:r w:rsidR="005B7830" w:rsidRPr="00111DC0">
        <w:rPr>
          <w:rFonts w:cs="Arial"/>
        </w:rPr>
        <w:t xml:space="preserve"> </w:t>
      </w:r>
      <w:r w:rsidRPr="00111DC0">
        <w:rPr>
          <w:rFonts w:cs="Arial"/>
        </w:rPr>
        <w:t xml:space="preserve">aunque seguramente </w:t>
      </w:r>
      <w:r w:rsidR="005B7830" w:rsidRPr="00111DC0">
        <w:rPr>
          <w:rFonts w:cs="Arial"/>
        </w:rPr>
        <w:t xml:space="preserve">ello </w:t>
      </w:r>
      <w:r w:rsidRPr="00111DC0">
        <w:rPr>
          <w:rFonts w:cs="Arial"/>
        </w:rPr>
        <w:t>responda a criterios objetivos, se plantea la necesidad realizar una mejora informática para la recogida de datos sobre las aceptaciones y rechazos a la formación decididas por las Unidades Administrativas</w:t>
      </w:r>
      <w:r w:rsidR="005B7830" w:rsidRPr="00111DC0">
        <w:rPr>
          <w:rFonts w:cs="Arial"/>
        </w:rPr>
        <w:t xml:space="preserve"> y que incluya </w:t>
      </w:r>
      <w:r w:rsidRPr="00111DC0">
        <w:rPr>
          <w:rFonts w:cs="Arial"/>
        </w:rPr>
        <w:t>aspectos como motivación de rechazo o perfil de la persona solicitante.</w:t>
      </w:r>
    </w:p>
    <w:p w14:paraId="32D3097F" w14:textId="4A715033" w:rsidR="007224B2" w:rsidRPr="00111DC0" w:rsidRDefault="007224B2" w:rsidP="00350BA5">
      <w:pPr>
        <w:spacing w:after="0"/>
        <w:rPr>
          <w:rFonts w:cs="Arial"/>
        </w:rPr>
      </w:pPr>
      <w:r w:rsidRPr="00111DC0">
        <w:rPr>
          <w:rFonts w:cs="Arial"/>
          <w:noProof/>
          <w:sz w:val="20"/>
          <w:szCs w:val="18"/>
          <w:lang w:eastAsia="es-ES"/>
        </w:rPr>
        <w:drawing>
          <wp:inline distT="0" distB="0" distL="0" distR="0" wp14:anchorId="07B909A8" wp14:editId="60B438B0">
            <wp:extent cx="277978" cy="277978"/>
            <wp:effectExtent l="0" t="0" r="0" b="0"/>
            <wp:docPr id="137" name="Gráfico 137"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3 </w:t>
      </w:r>
      <w:r w:rsidRPr="00494AB0">
        <w:rPr>
          <w:rFonts w:cs="Arial"/>
          <w:b/>
          <w:bCs/>
        </w:rPr>
        <w:t xml:space="preserve">- Existe una clara feminización del alumnado en la modalidad </w:t>
      </w:r>
      <w:r w:rsidRPr="00494AB0">
        <w:rPr>
          <w:rFonts w:cs="Arial"/>
          <w:b/>
          <w:bCs/>
          <w:i/>
          <w:iCs/>
        </w:rPr>
        <w:t xml:space="preserve">online </w:t>
      </w:r>
      <w:r w:rsidRPr="00494AB0">
        <w:rPr>
          <w:rFonts w:cs="Arial"/>
          <w:b/>
          <w:bCs/>
        </w:rPr>
        <w:t>(74%</w:t>
      </w:r>
      <w:r w:rsidR="00B466CA" w:rsidRPr="00494AB0">
        <w:rPr>
          <w:rFonts w:cs="Arial"/>
          <w:b/>
          <w:bCs/>
        </w:rPr>
        <w:t xml:space="preserve"> en los Servicios Generales y 76% en Personal Docente</w:t>
      </w:r>
      <w:r w:rsidRPr="00494AB0">
        <w:rPr>
          <w:rFonts w:cs="Arial"/>
          <w:b/>
          <w:bCs/>
        </w:rPr>
        <w:t>)</w:t>
      </w:r>
      <w:r w:rsidRPr="00111DC0">
        <w:rPr>
          <w:rFonts w:cs="Arial"/>
        </w:rPr>
        <w:t xml:space="preserve"> que contrasta con </w:t>
      </w:r>
      <w:r w:rsidR="00B466CA" w:rsidRPr="00111DC0">
        <w:rPr>
          <w:rFonts w:cs="Arial"/>
        </w:rPr>
        <w:t>la participación de mujeres en la modalidad presencial (</w:t>
      </w:r>
      <w:r w:rsidRPr="00111DC0">
        <w:rPr>
          <w:rFonts w:cs="Arial"/>
        </w:rPr>
        <w:t xml:space="preserve">59% </w:t>
      </w:r>
      <w:r w:rsidR="00B466CA" w:rsidRPr="00111DC0">
        <w:rPr>
          <w:rFonts w:cs="Arial"/>
        </w:rPr>
        <w:t>en el primer colectivo y 67% en el segundo). Probablemente el</w:t>
      </w:r>
      <w:r w:rsidRPr="00111DC0">
        <w:rPr>
          <w:rFonts w:cs="Arial"/>
        </w:rPr>
        <w:t xml:space="preserve"> impacto de la falta de corresponsabilidad </w:t>
      </w:r>
      <w:r w:rsidR="00B466CA" w:rsidRPr="00111DC0">
        <w:rPr>
          <w:rFonts w:cs="Arial"/>
        </w:rPr>
        <w:t>y la doble carga de trabajo femenino</w:t>
      </w:r>
      <w:r w:rsidRPr="00111DC0">
        <w:rPr>
          <w:rFonts w:cs="Arial"/>
        </w:rPr>
        <w:t xml:space="preserve"> </w:t>
      </w:r>
      <w:r w:rsidR="00B466CA" w:rsidRPr="00111DC0">
        <w:rPr>
          <w:rFonts w:cs="Arial"/>
        </w:rPr>
        <w:t>contribuye a explicar</w:t>
      </w:r>
      <w:r w:rsidRPr="00111DC0">
        <w:rPr>
          <w:rFonts w:cs="Arial"/>
        </w:rPr>
        <w:t xml:space="preserve"> esta situación, por lo que se torna necesario que en la Administración General se siga fomentando el reparto corresponsable de los cuidados y los tiempos entre mujeres y hombres.</w:t>
      </w:r>
    </w:p>
    <w:p w14:paraId="3B23B8CA" w14:textId="7DD19FBF" w:rsidR="007224B2" w:rsidRPr="00111DC0" w:rsidRDefault="007224B2" w:rsidP="00350BA5">
      <w:pPr>
        <w:spacing w:after="0"/>
        <w:rPr>
          <w:rFonts w:cs="Arial"/>
        </w:rPr>
      </w:pPr>
      <w:r w:rsidRPr="00111DC0">
        <w:rPr>
          <w:rFonts w:cs="Arial"/>
          <w:noProof/>
          <w:sz w:val="20"/>
          <w:szCs w:val="18"/>
          <w:lang w:eastAsia="es-ES"/>
        </w:rPr>
        <w:drawing>
          <wp:inline distT="0" distB="0" distL="0" distR="0" wp14:anchorId="62244E1E" wp14:editId="25D5B8DB">
            <wp:extent cx="277978" cy="277978"/>
            <wp:effectExtent l="0" t="0" r="0" b="0"/>
            <wp:docPr id="138" name="Gráfico 138"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4 </w:t>
      </w:r>
      <w:r w:rsidRPr="00494AB0">
        <w:rPr>
          <w:rFonts w:cs="Arial"/>
          <w:b/>
          <w:bCs/>
        </w:rPr>
        <w:t xml:space="preserve">- Se precisa una ampliación del rango horario para la formación </w:t>
      </w:r>
      <w:r w:rsidRPr="00494AB0">
        <w:rPr>
          <w:rFonts w:cs="Arial"/>
          <w:b/>
          <w:bCs/>
          <w:i/>
          <w:iCs/>
        </w:rPr>
        <w:t>online</w:t>
      </w:r>
      <w:r w:rsidRPr="00111DC0">
        <w:rPr>
          <w:rFonts w:cs="Arial"/>
        </w:rPr>
        <w:t xml:space="preserve"> de manera que sus objetivos se maximicen; para ello se plantea la posibilidad de ampliarlo a las 24 horas al día incluyendo un sistema que permita registrar el </w:t>
      </w:r>
      <w:r w:rsidR="00AD4A55" w:rsidRPr="00111DC0">
        <w:rPr>
          <w:rFonts w:cs="Arial"/>
        </w:rPr>
        <w:t>número de</w:t>
      </w:r>
      <w:r w:rsidRPr="00111DC0">
        <w:rPr>
          <w:rFonts w:cs="Arial"/>
        </w:rPr>
        <w:t xml:space="preserve"> horas y los tramos de conexión de las personas formadas.</w:t>
      </w:r>
    </w:p>
    <w:p w14:paraId="03F05924" w14:textId="229B7888" w:rsidR="007224B2" w:rsidRPr="00111DC0" w:rsidRDefault="007224B2" w:rsidP="00350BA5">
      <w:pPr>
        <w:spacing w:after="0"/>
        <w:rPr>
          <w:rFonts w:cs="Arial"/>
        </w:rPr>
      </w:pPr>
      <w:r w:rsidRPr="00111DC0">
        <w:rPr>
          <w:rFonts w:cs="Arial"/>
          <w:noProof/>
          <w:sz w:val="20"/>
          <w:szCs w:val="18"/>
          <w:lang w:eastAsia="es-ES"/>
        </w:rPr>
        <w:drawing>
          <wp:inline distT="0" distB="0" distL="0" distR="0" wp14:anchorId="793046F3" wp14:editId="4C1EDC73">
            <wp:extent cx="277978" cy="277978"/>
            <wp:effectExtent l="0" t="0" r="0" b="0"/>
            <wp:docPr id="139" name="Gráfico 139"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5 </w:t>
      </w:r>
      <w:r w:rsidRPr="00494AB0">
        <w:rPr>
          <w:rFonts w:cs="Arial"/>
          <w:b/>
          <w:bCs/>
        </w:rPr>
        <w:t xml:space="preserve">- Se identifica la necesidad de fomentar la participación </w:t>
      </w:r>
      <w:r w:rsidR="009F1C3F" w:rsidRPr="00494AB0">
        <w:rPr>
          <w:rFonts w:cs="Arial"/>
          <w:b/>
          <w:bCs/>
        </w:rPr>
        <w:t xml:space="preserve">de empleados públicos </w:t>
      </w:r>
      <w:r w:rsidRPr="00494AB0">
        <w:rPr>
          <w:rFonts w:cs="Arial"/>
          <w:b/>
          <w:bCs/>
        </w:rPr>
        <w:t xml:space="preserve">en los cursos de formación en igualdad </w:t>
      </w:r>
      <w:r w:rsidRPr="00111DC0">
        <w:rPr>
          <w:rFonts w:cs="Arial"/>
        </w:rPr>
        <w:t>(la proporción de hombres formados en igualdad a lo largo del tiempo apenas alcanza el 20%), pero también de seguir incrementando el impacto cuantitativo en términos generales, y particularmente entre los cargos directivos y plantilla de los grupos C1, C2 y E.</w:t>
      </w:r>
    </w:p>
    <w:p w14:paraId="1AE71065" w14:textId="26B32456" w:rsidR="007224B2" w:rsidRPr="00111DC0" w:rsidRDefault="007224B2" w:rsidP="00350BA5">
      <w:pPr>
        <w:spacing w:after="0"/>
        <w:rPr>
          <w:rFonts w:cs="Arial"/>
        </w:rPr>
      </w:pPr>
    </w:p>
    <w:p w14:paraId="4185B5F5" w14:textId="4EFA6266" w:rsidR="009F1C3F" w:rsidRPr="00111DC0" w:rsidRDefault="009F1C3F" w:rsidP="00530BE0">
      <w:pPr>
        <w:rPr>
          <w:rFonts w:cs="Arial"/>
          <w:highlight w:val="lightGray"/>
        </w:rPr>
      </w:pPr>
      <w:r w:rsidRPr="00111DC0">
        <w:rPr>
          <w:rFonts w:cs="Arial"/>
          <w:highlight w:val="lightGray"/>
        </w:rPr>
        <w:br w:type="page"/>
      </w:r>
    </w:p>
    <w:p w14:paraId="59F1B662" w14:textId="61C2E42D" w:rsidR="0045734D" w:rsidRPr="00111DC0" w:rsidRDefault="00AE532C" w:rsidP="00024B4E">
      <w:pPr>
        <w:pStyle w:val="Ttulo2"/>
      </w:pPr>
      <w:bookmarkStart w:id="18" w:name="_Toc122080793"/>
      <w:r w:rsidRPr="00111DC0">
        <w:t>Promoción</w:t>
      </w:r>
      <w:bookmarkEnd w:id="18"/>
      <w:r w:rsidR="00B255EE" w:rsidRPr="00111DC0">
        <w:t xml:space="preserve"> </w:t>
      </w:r>
    </w:p>
    <w:p w14:paraId="3E17DBD4" w14:textId="62947459" w:rsidR="002C2B98" w:rsidRPr="002A28F6" w:rsidRDefault="002A28F6" w:rsidP="002C2B98">
      <w:pPr>
        <w:rPr>
          <w:rFonts w:cs="Arial"/>
          <w:b/>
          <w:bCs/>
        </w:rPr>
      </w:pPr>
      <w:r w:rsidRPr="002A28F6">
        <w:rPr>
          <w:rFonts w:cs="Arial"/>
          <w:b/>
          <w:bCs/>
        </w:rPr>
        <w:t>Una proporción menor de</w:t>
      </w:r>
      <w:r w:rsidR="00AF70C4" w:rsidRPr="002A28F6">
        <w:rPr>
          <w:rFonts w:cs="Arial"/>
          <w:b/>
          <w:bCs/>
        </w:rPr>
        <w:t xml:space="preserve"> empleadas</w:t>
      </w:r>
      <w:r w:rsidR="00A021F8" w:rsidRPr="002A28F6">
        <w:rPr>
          <w:rFonts w:cs="Arial"/>
          <w:b/>
          <w:bCs/>
        </w:rPr>
        <w:t xml:space="preserve"> </w:t>
      </w:r>
      <w:r w:rsidRPr="002A28F6">
        <w:rPr>
          <w:rFonts w:cs="Arial"/>
          <w:b/>
          <w:bCs/>
        </w:rPr>
        <w:t>que</w:t>
      </w:r>
      <w:r w:rsidR="00AF70C4" w:rsidRPr="002A28F6">
        <w:rPr>
          <w:rFonts w:cs="Arial"/>
          <w:b/>
          <w:bCs/>
        </w:rPr>
        <w:t xml:space="preserve"> de los empleados considera que en la Administración General de La Rioja existe igualdad </w:t>
      </w:r>
      <w:r w:rsidR="00AF70C4" w:rsidRPr="002A28F6">
        <w:rPr>
          <w:rFonts w:cs="Arial"/>
        </w:rPr>
        <w:t>en la promoción y provisión de puestos de trabajo</w:t>
      </w:r>
      <w:r w:rsidRPr="002A28F6">
        <w:rPr>
          <w:rFonts w:cs="Arial"/>
        </w:rPr>
        <w:t>:</w:t>
      </w:r>
      <w:r w:rsidR="002C2B98" w:rsidRPr="002A28F6">
        <w:rPr>
          <w:rFonts w:cs="Arial"/>
        </w:rPr>
        <w:t xml:space="preserve"> </w:t>
      </w:r>
    </w:p>
    <w:p w14:paraId="227E9359" w14:textId="568F79C1" w:rsidR="00AF70C4" w:rsidRPr="00111DC0" w:rsidRDefault="00AF70C4" w:rsidP="00350BA5">
      <w:pPr>
        <w:spacing w:after="0"/>
        <w:rPr>
          <w:rFonts w:cs="Arial"/>
        </w:rPr>
      </w:pPr>
      <w:r w:rsidRPr="00111DC0">
        <w:rPr>
          <w:rFonts w:cs="Arial"/>
          <w:noProof/>
          <w:color w:val="EA0000"/>
          <w:sz w:val="24"/>
          <w:szCs w:val="24"/>
          <w:lang w:eastAsia="es-ES"/>
        </w:rPr>
        <w:drawing>
          <wp:inline distT="0" distB="0" distL="0" distR="0" wp14:anchorId="593ECD75" wp14:editId="720EDC5F">
            <wp:extent cx="5400040" cy="2255520"/>
            <wp:effectExtent l="0" t="0" r="0" b="0"/>
            <wp:docPr id="43" name="Gráfico 43"/>
            <wp:cNvGraphicFramePr/>
            <a:graphic xmlns:a="http://schemas.openxmlformats.org/drawingml/2006/main">
              <a:graphicData uri="http://schemas.openxmlformats.org/drawingml/2006/chart">
                <c:chart xmlns:c="http://schemas.openxmlformats.org/drawingml/2006/chart" r:id="rId51"/>
              </a:graphicData>
            </a:graphic>
          </wp:inline>
        </w:drawing>
      </w:r>
    </w:p>
    <w:p w14:paraId="090D1947" w14:textId="7B3CD35F" w:rsidR="00AF70C4" w:rsidRPr="00111DC0" w:rsidRDefault="00AF70C4" w:rsidP="00350BA5">
      <w:pPr>
        <w:spacing w:after="0"/>
        <w:rPr>
          <w:rFonts w:cs="Arial"/>
        </w:rPr>
      </w:pPr>
    </w:p>
    <w:p w14:paraId="65D549A9" w14:textId="57E2675D" w:rsidR="00AE605A" w:rsidRPr="00111DC0" w:rsidRDefault="00F110E3" w:rsidP="002A47E6">
      <w:r w:rsidRPr="00111DC0">
        <w:t xml:space="preserve">La falta de conciencia y sensibilización masculina sobre un tipo de desigualdad específicamente sufrida por mujeres, las resistencias cognitivas e ideológicas a asumir la imperfección de las estructuras y normas de igualdad formal, o la dificultad para ponerle nombre a las situaciones de discriminación indirecta están probablemente detrás de las variaciones en la percepción y opiniones de las mujeres y hombres en relación con el empleo público. </w:t>
      </w:r>
    </w:p>
    <w:p w14:paraId="1DFFD60A" w14:textId="77777777" w:rsidR="00F110E3" w:rsidRPr="00111DC0" w:rsidRDefault="00F110E3" w:rsidP="00F63CCB">
      <w:pPr>
        <w:rPr>
          <w:snapToGrid w:val="0"/>
        </w:rPr>
      </w:pPr>
    </w:p>
    <w:p w14:paraId="4115A0D0" w14:textId="772E9398" w:rsidR="00AE532C" w:rsidRPr="00111DC0" w:rsidRDefault="00AE532C" w:rsidP="004B6A1B">
      <w:pPr>
        <w:pStyle w:val="Ttulo3"/>
        <w:rPr>
          <w:rFonts w:cs="Arial"/>
        </w:rPr>
      </w:pPr>
      <w:bookmarkStart w:id="19" w:name="AQUÏ"/>
      <w:bookmarkEnd w:id="19"/>
      <w:r w:rsidRPr="00111DC0">
        <w:rPr>
          <w:rFonts w:cs="Arial"/>
        </w:rPr>
        <w:t xml:space="preserve">Carrera horizontal </w:t>
      </w:r>
    </w:p>
    <w:p w14:paraId="4E88F5AA" w14:textId="384EC989" w:rsidR="00835B37" w:rsidRPr="00111DC0" w:rsidRDefault="00B55961" w:rsidP="00835B37">
      <w:pPr>
        <w:rPr>
          <w:rFonts w:cs="Arial"/>
        </w:rPr>
      </w:pPr>
      <w:r w:rsidRPr="002A28F6">
        <w:rPr>
          <w:rFonts w:cs="Arial"/>
          <w:b/>
          <w:bCs/>
        </w:rPr>
        <w:t xml:space="preserve">Recientemente </w:t>
      </w:r>
      <w:r w:rsidR="0037244A" w:rsidRPr="002A28F6">
        <w:rPr>
          <w:rFonts w:cs="Arial"/>
          <w:b/>
          <w:bCs/>
        </w:rPr>
        <w:t xml:space="preserve">se ha aprobado </w:t>
      </w:r>
      <w:r w:rsidR="001D20F8" w:rsidRPr="002A28F6">
        <w:rPr>
          <w:rFonts w:cs="Arial"/>
          <w:b/>
          <w:bCs/>
        </w:rPr>
        <w:t xml:space="preserve">un nuevo modelo de carrera profesional </w:t>
      </w:r>
      <w:r w:rsidR="007C2261" w:rsidRPr="002A28F6">
        <w:rPr>
          <w:rFonts w:cs="Arial"/>
          <w:b/>
          <w:bCs/>
        </w:rPr>
        <w:t xml:space="preserve">que </w:t>
      </w:r>
      <w:r w:rsidRPr="002A28F6">
        <w:rPr>
          <w:rFonts w:cs="Arial"/>
          <w:b/>
          <w:bCs/>
        </w:rPr>
        <w:t>corrige la situación de discriminación indirecta que se venía arrastrando</w:t>
      </w:r>
      <w:r w:rsidRPr="00111DC0">
        <w:rPr>
          <w:rFonts w:cs="Arial"/>
        </w:rPr>
        <w:t xml:space="preserve"> y </w:t>
      </w:r>
      <w:r>
        <w:rPr>
          <w:rFonts w:cs="Arial"/>
        </w:rPr>
        <w:t>que evita</w:t>
      </w:r>
      <w:r w:rsidR="00F23DF8" w:rsidRPr="00B55961">
        <w:rPr>
          <w:rFonts w:cs="Arial"/>
        </w:rPr>
        <w:t xml:space="preserve"> la generación de posibles </w:t>
      </w:r>
      <w:r w:rsidR="001D20F8" w:rsidRPr="00B55961">
        <w:rPr>
          <w:rFonts w:cs="Arial"/>
        </w:rPr>
        <w:t>situaciones discriminatorias y</w:t>
      </w:r>
      <w:r w:rsidR="00F23DF8" w:rsidRPr="00B55961">
        <w:rPr>
          <w:rFonts w:cs="Arial"/>
        </w:rPr>
        <w:t xml:space="preserve"> de</w:t>
      </w:r>
      <w:r w:rsidR="001D20F8" w:rsidRPr="00B55961">
        <w:rPr>
          <w:rFonts w:cs="Arial"/>
        </w:rPr>
        <w:t xml:space="preserve"> brecha salarial.</w:t>
      </w:r>
      <w:r w:rsidR="007C2261" w:rsidRPr="00111DC0">
        <w:rPr>
          <w:rFonts w:cs="Arial"/>
        </w:rPr>
        <w:t xml:space="preserve"> </w:t>
      </w:r>
      <w:r w:rsidR="00AE0271" w:rsidRPr="00111DC0">
        <w:rPr>
          <w:rFonts w:cs="Arial"/>
        </w:rPr>
        <w:t xml:space="preserve">El </w:t>
      </w:r>
      <w:r w:rsidR="007C2261" w:rsidRPr="00111DC0">
        <w:rPr>
          <w:rFonts w:cs="Arial"/>
        </w:rPr>
        <w:t xml:space="preserve">nuevo modelo </w:t>
      </w:r>
      <w:r w:rsidR="00835B37" w:rsidRPr="00111DC0">
        <w:rPr>
          <w:rFonts w:cs="Arial"/>
        </w:rPr>
        <w:t>establece los bloques de valoración en el sistema de carrera horizontal, que son: la evaluación del rendimiento, la evaluación de competencia y profesionalidad técnica, y la formación y transferencia del conocimiento.</w:t>
      </w:r>
    </w:p>
    <w:p w14:paraId="159D941B" w14:textId="3F29238B" w:rsidR="00B55961" w:rsidRDefault="00B55961" w:rsidP="00B55961">
      <w:pPr>
        <w:rPr>
          <w:rFonts w:cs="Arial"/>
        </w:rPr>
      </w:pPr>
      <w:r>
        <w:rPr>
          <w:rFonts w:cs="Arial"/>
        </w:rPr>
        <w:t xml:space="preserve">Desde </w:t>
      </w:r>
      <w:r w:rsidR="001D20F8" w:rsidRPr="00111DC0">
        <w:rPr>
          <w:rFonts w:cs="Arial"/>
        </w:rPr>
        <w:t xml:space="preserve">2017 hasta </w:t>
      </w:r>
      <w:r w:rsidR="00897961" w:rsidRPr="00111DC0">
        <w:rPr>
          <w:rFonts w:cs="Arial"/>
        </w:rPr>
        <w:t xml:space="preserve">el </w:t>
      </w:r>
      <w:r w:rsidR="001D20F8" w:rsidRPr="00111DC0">
        <w:rPr>
          <w:rFonts w:cs="Arial"/>
        </w:rPr>
        <w:t>año 2020</w:t>
      </w:r>
      <w:r>
        <w:rPr>
          <w:rFonts w:cs="Arial"/>
        </w:rPr>
        <w:t xml:space="preserve"> e</w:t>
      </w:r>
      <w:r w:rsidRPr="00B55961">
        <w:rPr>
          <w:rFonts w:cs="Arial"/>
        </w:rPr>
        <w:t xml:space="preserve">l índice de distribución en el Grado I de carrera horizontal en los Servicios Generales se mantiene estable. </w:t>
      </w:r>
      <w:r w:rsidRPr="00B55961">
        <w:rPr>
          <w:rFonts w:cs="Arial"/>
          <w:b/>
          <w:bCs/>
        </w:rPr>
        <w:t xml:space="preserve">La participación femenina es mayor en todos los años, situándose entre el 64% (2017 y 2018) y el 65% (2019 y 2020), </w:t>
      </w:r>
      <w:r w:rsidRPr="00B55961">
        <w:rPr>
          <w:rFonts w:cs="Arial"/>
        </w:rPr>
        <w:t>en consonancia con los datos de representatividad globales para cada uno de estos años</w:t>
      </w:r>
      <w:r>
        <w:rPr>
          <w:rFonts w:cs="Arial"/>
        </w:rPr>
        <w:t>:</w:t>
      </w:r>
    </w:p>
    <w:p w14:paraId="28456F3A" w14:textId="559A34F7" w:rsidR="00983982" w:rsidRDefault="00983982" w:rsidP="00B55961">
      <w:pPr>
        <w:rPr>
          <w:rFonts w:cs="Arial"/>
        </w:rPr>
      </w:pPr>
      <w:r>
        <w:rPr>
          <w:rFonts w:cs="Arial"/>
        </w:rPr>
        <w:br w:type="page"/>
      </w:r>
    </w:p>
    <w:p w14:paraId="0BB444C1" w14:textId="59479BEF" w:rsidR="001937AD" w:rsidRPr="00111DC0" w:rsidRDefault="00DD0397" w:rsidP="001937AD">
      <w:pPr>
        <w:rPr>
          <w:rFonts w:cs="Arial"/>
        </w:rPr>
      </w:pPr>
      <w:r w:rsidRPr="00111DC0">
        <w:rPr>
          <w:rFonts w:cs="Arial"/>
          <w:noProof/>
          <w:lang w:eastAsia="es-ES"/>
        </w:rPr>
        <w:drawing>
          <wp:inline distT="0" distB="0" distL="0" distR="0" wp14:anchorId="1F982048" wp14:editId="75CD8BF4">
            <wp:extent cx="5349240" cy="2766252"/>
            <wp:effectExtent l="0" t="0" r="0" b="0"/>
            <wp:docPr id="41" name="Gráfico 41"/>
            <wp:cNvGraphicFramePr/>
            <a:graphic xmlns:a="http://schemas.openxmlformats.org/drawingml/2006/main">
              <a:graphicData uri="http://schemas.openxmlformats.org/drawingml/2006/chart">
                <c:chart xmlns:c="http://schemas.openxmlformats.org/drawingml/2006/chart" r:id="rId52"/>
              </a:graphicData>
            </a:graphic>
          </wp:inline>
        </w:drawing>
      </w:r>
    </w:p>
    <w:p w14:paraId="6E5A5AB5" w14:textId="0855DF4D" w:rsidR="00AF4205" w:rsidRPr="00111DC0" w:rsidRDefault="00AF4205" w:rsidP="001937AD">
      <w:pPr>
        <w:rPr>
          <w:rFonts w:cs="Arial"/>
        </w:rPr>
      </w:pPr>
    </w:p>
    <w:p w14:paraId="3B131C3E" w14:textId="55AD9308" w:rsidR="002F63F9" w:rsidRPr="00111DC0" w:rsidRDefault="004B712D" w:rsidP="007D25E4">
      <w:pPr>
        <w:rPr>
          <w:rFonts w:cs="Arial"/>
        </w:rPr>
      </w:pPr>
      <w:r w:rsidRPr="002A28F6">
        <w:rPr>
          <w:rFonts w:cs="Arial"/>
          <w:b/>
          <w:bCs/>
        </w:rPr>
        <w:t>En</w:t>
      </w:r>
      <w:r w:rsidR="002A28F6" w:rsidRPr="002A28F6">
        <w:rPr>
          <w:rFonts w:cs="Arial"/>
          <w:b/>
          <w:bCs/>
        </w:rPr>
        <w:t xml:space="preserve">tre 2018 y 2019 </w:t>
      </w:r>
      <w:r w:rsidR="007A280E" w:rsidRPr="002A28F6">
        <w:rPr>
          <w:rFonts w:cs="Arial"/>
          <w:b/>
          <w:bCs/>
        </w:rPr>
        <w:t xml:space="preserve">la distribución de mujeres y hombres en la carrera horizontal </w:t>
      </w:r>
      <w:r w:rsidR="00B6494F" w:rsidRPr="002A28F6">
        <w:rPr>
          <w:rFonts w:cs="Arial"/>
          <w:b/>
          <w:bCs/>
        </w:rPr>
        <w:t xml:space="preserve">del Personal Docente </w:t>
      </w:r>
      <w:r w:rsidR="00703974" w:rsidRPr="002A28F6">
        <w:rPr>
          <w:rFonts w:cs="Arial"/>
          <w:b/>
          <w:bCs/>
        </w:rPr>
        <w:t>es estable</w:t>
      </w:r>
      <w:r w:rsidR="00703974" w:rsidRPr="00111DC0">
        <w:rPr>
          <w:rFonts w:cs="Arial"/>
        </w:rPr>
        <w:t xml:space="preserve"> y </w:t>
      </w:r>
      <w:r w:rsidR="007A280E" w:rsidRPr="00111DC0">
        <w:rPr>
          <w:rFonts w:cs="Arial"/>
        </w:rPr>
        <w:t xml:space="preserve">se mantiene exactamente en la misma proporción que la </w:t>
      </w:r>
      <w:r w:rsidR="006821BF" w:rsidRPr="00111DC0">
        <w:rPr>
          <w:rFonts w:cs="Arial"/>
        </w:rPr>
        <w:t>distribución</w:t>
      </w:r>
      <w:r w:rsidR="007A280E" w:rsidRPr="00111DC0">
        <w:rPr>
          <w:rFonts w:cs="Arial"/>
        </w:rPr>
        <w:t xml:space="preserve"> </w:t>
      </w:r>
      <w:r w:rsidR="00703974" w:rsidRPr="00111DC0">
        <w:rPr>
          <w:rFonts w:cs="Arial"/>
        </w:rPr>
        <w:t xml:space="preserve">global </w:t>
      </w:r>
      <w:r w:rsidR="00B6494F">
        <w:rPr>
          <w:rFonts w:cs="Arial"/>
        </w:rPr>
        <w:t xml:space="preserve">de los datos de referencia </w:t>
      </w:r>
      <w:r w:rsidR="00F6015D" w:rsidRPr="00111DC0">
        <w:rPr>
          <w:rFonts w:cs="Arial"/>
        </w:rPr>
        <w:t>(70% de mujeres y 30% de hombres)</w:t>
      </w:r>
      <w:r w:rsidR="00B6494F">
        <w:rPr>
          <w:rFonts w:cs="Arial"/>
        </w:rPr>
        <w:t>:</w:t>
      </w:r>
      <w:r w:rsidR="006821BF" w:rsidRPr="00111DC0">
        <w:rPr>
          <w:rFonts w:cs="Arial"/>
        </w:rPr>
        <w:t xml:space="preserve"> </w:t>
      </w:r>
    </w:p>
    <w:p w14:paraId="17C5DFB5" w14:textId="77777777" w:rsidR="00AB4A7A" w:rsidRPr="00111DC0" w:rsidRDefault="00AD71E9" w:rsidP="002A47E6">
      <w:r w:rsidRPr="00111DC0">
        <w:rPr>
          <w:noProof/>
          <w:lang w:eastAsia="es-ES"/>
        </w:rPr>
        <w:drawing>
          <wp:inline distT="0" distB="0" distL="0" distR="0" wp14:anchorId="30058160" wp14:editId="3535C9B2">
            <wp:extent cx="5349240" cy="2766252"/>
            <wp:effectExtent l="0" t="0" r="0" b="0"/>
            <wp:docPr id="65" name="Gráfico 65"/>
            <wp:cNvGraphicFramePr/>
            <a:graphic xmlns:a="http://schemas.openxmlformats.org/drawingml/2006/main">
              <a:graphicData uri="http://schemas.openxmlformats.org/drawingml/2006/chart">
                <c:chart xmlns:c="http://schemas.openxmlformats.org/drawingml/2006/chart" r:id="rId53"/>
              </a:graphicData>
            </a:graphic>
          </wp:inline>
        </w:drawing>
      </w:r>
    </w:p>
    <w:p w14:paraId="0750B3E5" w14:textId="27346D46" w:rsidR="00983982" w:rsidRDefault="00983982" w:rsidP="002A47E6">
      <w:r>
        <w:br w:type="page"/>
      </w:r>
    </w:p>
    <w:p w14:paraId="74E44EBE" w14:textId="761608BA" w:rsidR="00D16C9D" w:rsidRPr="00111DC0" w:rsidRDefault="00D16C9D" w:rsidP="004B6A1B">
      <w:pPr>
        <w:pStyle w:val="Ttulo3"/>
        <w:rPr>
          <w:rFonts w:cs="Arial"/>
        </w:rPr>
      </w:pPr>
      <w:r w:rsidRPr="00111DC0">
        <w:rPr>
          <w:rFonts w:cs="Arial"/>
        </w:rPr>
        <w:t>Carrera vertical</w:t>
      </w:r>
    </w:p>
    <w:p w14:paraId="1F5C3B39" w14:textId="3058AE88" w:rsidR="002A28F6" w:rsidRPr="002A28F6" w:rsidRDefault="00B6494F" w:rsidP="0034022F">
      <w:pPr>
        <w:rPr>
          <w:rFonts w:cs="Arial"/>
        </w:rPr>
      </w:pPr>
      <w:r>
        <w:rPr>
          <w:rFonts w:cs="Arial"/>
        </w:rPr>
        <w:t xml:space="preserve">Numerosa normativa regula </w:t>
      </w:r>
      <w:r w:rsidR="00AB4A7A" w:rsidRPr="00111DC0">
        <w:rPr>
          <w:rFonts w:cs="Arial"/>
        </w:rPr>
        <w:t xml:space="preserve">el ascenso en la estructura de puestos de trabajo por </w:t>
      </w:r>
      <w:r>
        <w:rPr>
          <w:rFonts w:cs="Arial"/>
        </w:rPr>
        <w:t>diferentes</w:t>
      </w:r>
      <w:r w:rsidR="00AB4A7A" w:rsidRPr="00111DC0">
        <w:rPr>
          <w:rFonts w:cs="Arial"/>
        </w:rPr>
        <w:t xml:space="preserve"> procedimientos de provisión</w:t>
      </w:r>
      <w:r>
        <w:rPr>
          <w:rFonts w:cs="Arial"/>
        </w:rPr>
        <w:t xml:space="preserve">. </w:t>
      </w:r>
    </w:p>
    <w:p w14:paraId="5BB6CE6A" w14:textId="77777777" w:rsidR="00703974" w:rsidRPr="00111DC0" w:rsidRDefault="00703974" w:rsidP="00DE69A1">
      <w:pPr>
        <w:pStyle w:val="Ttulo4"/>
        <w:rPr>
          <w:rFonts w:cs="Arial"/>
        </w:rPr>
      </w:pPr>
      <w:r w:rsidRPr="00111DC0">
        <w:rPr>
          <w:rFonts w:cs="Arial"/>
        </w:rPr>
        <w:t>Concurso de méritos</w:t>
      </w:r>
    </w:p>
    <w:p w14:paraId="090C6FC0" w14:textId="476E7BD7" w:rsidR="00BA123E" w:rsidRDefault="00EE02DD" w:rsidP="00703974">
      <w:pPr>
        <w:rPr>
          <w:rFonts w:cs="Arial"/>
        </w:rPr>
      </w:pPr>
      <w:r w:rsidRPr="00111DC0">
        <w:rPr>
          <w:rFonts w:cs="Arial"/>
        </w:rPr>
        <w:t>De la comparativa con la distribución de mujeres y hombres entre las personas candidatas se desprende que</w:t>
      </w:r>
      <w:r w:rsidR="002A28F6">
        <w:rPr>
          <w:rFonts w:cs="Arial"/>
        </w:rPr>
        <w:t xml:space="preserve"> se incrementa la proporción de</w:t>
      </w:r>
      <w:r w:rsidRPr="00111DC0">
        <w:rPr>
          <w:rFonts w:cs="Arial"/>
        </w:rPr>
        <w:t xml:space="preserve"> adjudicatarias. Por consiguiente, </w:t>
      </w:r>
      <w:r w:rsidR="00703974" w:rsidRPr="00111DC0">
        <w:rPr>
          <w:rFonts w:cs="Arial"/>
          <w:b/>
          <w:bCs/>
        </w:rPr>
        <w:t>no se aprecian muestras de desventaja femenina en el concurso de méritos</w:t>
      </w:r>
      <w:r w:rsidR="000F0852" w:rsidRPr="00111DC0">
        <w:rPr>
          <w:rFonts w:cs="Arial"/>
          <w:b/>
          <w:bCs/>
        </w:rPr>
        <w:t>; a</w:t>
      </w:r>
      <w:r w:rsidR="00703974" w:rsidRPr="00111DC0">
        <w:rPr>
          <w:rFonts w:cs="Arial"/>
          <w:b/>
          <w:bCs/>
        </w:rPr>
        <w:t>l contrario, las mujeres incrementan su proporción en las adjudicaciones</w:t>
      </w:r>
      <w:r w:rsidR="00B6494F">
        <w:rPr>
          <w:rFonts w:cs="Arial"/>
          <w:b/>
          <w:bCs/>
        </w:rPr>
        <w:t>:</w:t>
      </w:r>
    </w:p>
    <w:p w14:paraId="39852DBF" w14:textId="59BB3C1C" w:rsidR="00703974" w:rsidRPr="00111DC0" w:rsidRDefault="00703974" w:rsidP="0034022F">
      <w:r w:rsidRPr="00111DC0">
        <w:rPr>
          <w:noProof/>
          <w:lang w:eastAsia="es-ES"/>
        </w:rPr>
        <w:drawing>
          <wp:inline distT="0" distB="0" distL="0" distR="0" wp14:anchorId="4538BD19" wp14:editId="203A4485">
            <wp:extent cx="5349240" cy="2766252"/>
            <wp:effectExtent l="0" t="0" r="0" b="0"/>
            <wp:docPr id="4" name="Gráfico 4"/>
            <wp:cNvGraphicFramePr/>
            <a:graphic xmlns:a="http://schemas.openxmlformats.org/drawingml/2006/main">
              <a:graphicData uri="http://schemas.openxmlformats.org/drawingml/2006/chart">
                <c:chart xmlns:c="http://schemas.openxmlformats.org/drawingml/2006/chart" r:id="rId54"/>
              </a:graphicData>
            </a:graphic>
          </wp:inline>
        </w:drawing>
      </w:r>
    </w:p>
    <w:p w14:paraId="4EEBD453" w14:textId="69B4D779" w:rsidR="00EE02DD" w:rsidRPr="00111DC0" w:rsidRDefault="00EE02DD" w:rsidP="0034022F"/>
    <w:p w14:paraId="7E862357" w14:textId="3EDB7D8C" w:rsidR="00703974" w:rsidRPr="00111DC0" w:rsidRDefault="00703974" w:rsidP="00DE69A1">
      <w:pPr>
        <w:pStyle w:val="Ttulo4"/>
        <w:rPr>
          <w:rFonts w:cs="Arial"/>
        </w:rPr>
      </w:pPr>
      <w:r w:rsidRPr="00111DC0">
        <w:rPr>
          <w:rFonts w:cs="Arial"/>
        </w:rPr>
        <w:t>Libre designación</w:t>
      </w:r>
    </w:p>
    <w:p w14:paraId="1A74425C" w14:textId="2233617A" w:rsidR="00436D90" w:rsidRPr="00111DC0" w:rsidRDefault="00703974" w:rsidP="000B420F">
      <w:r w:rsidRPr="002A28F6">
        <w:rPr>
          <w:b/>
          <w:bCs/>
        </w:rPr>
        <w:t>En tres de los cinco últimos años analizados, las candidaturas han estado equilibradas entre mujeres y hombres</w:t>
      </w:r>
      <w:r w:rsidR="002A28F6">
        <w:rPr>
          <w:b/>
          <w:bCs/>
        </w:rPr>
        <w:t xml:space="preserve">; </w:t>
      </w:r>
      <w:r w:rsidR="002A28F6">
        <w:t>s</w:t>
      </w:r>
      <w:r w:rsidRPr="00111DC0">
        <w:t xml:space="preserve">olamente en 2018 hubo una sola candidatura </w:t>
      </w:r>
      <w:r w:rsidR="009F2E9B" w:rsidRPr="00111DC0">
        <w:t>femenina</w:t>
      </w:r>
      <w:r w:rsidRPr="00111DC0">
        <w:t xml:space="preserve">, </w:t>
      </w:r>
      <w:r w:rsidR="00436D90" w:rsidRPr="00111DC0">
        <w:t xml:space="preserve">mientras que </w:t>
      </w:r>
      <w:r w:rsidRPr="00111DC0">
        <w:t>en 2021</w:t>
      </w:r>
      <w:r w:rsidR="00436D90" w:rsidRPr="00111DC0">
        <w:t xml:space="preserve"> existió </w:t>
      </w:r>
      <w:proofErr w:type="spellStart"/>
      <w:r w:rsidR="00436D90" w:rsidRPr="00111DC0">
        <w:t>sobrerepresentación</w:t>
      </w:r>
      <w:proofErr w:type="spellEnd"/>
      <w:r w:rsidR="00436D90" w:rsidRPr="00111DC0">
        <w:t xml:space="preserve"> femenina en las mismas (</w:t>
      </w:r>
      <w:r w:rsidRPr="00111DC0">
        <w:t>78%</w:t>
      </w:r>
      <w:r w:rsidR="00436D90" w:rsidRPr="00111DC0">
        <w:t>)</w:t>
      </w:r>
      <w:r w:rsidRPr="00111DC0">
        <w:t xml:space="preserve">. </w:t>
      </w:r>
    </w:p>
    <w:p w14:paraId="4751EF1D" w14:textId="39CA7771" w:rsidR="00703974" w:rsidRPr="00111DC0" w:rsidRDefault="00703974" w:rsidP="000B420F">
      <w:pPr>
        <w:rPr>
          <w:rFonts w:cs="Arial"/>
          <w:b/>
          <w:bCs/>
        </w:rPr>
      </w:pPr>
      <w:r w:rsidRPr="00111DC0">
        <w:rPr>
          <w:rFonts w:cs="Arial"/>
        </w:rPr>
        <w:t>Con estos datos de referencia,</w:t>
      </w:r>
      <w:r w:rsidR="00436D90" w:rsidRPr="00111DC0">
        <w:rPr>
          <w:rFonts w:cs="Arial"/>
        </w:rPr>
        <w:t xml:space="preserve"> y atendiendo a la siguiente gráfica,</w:t>
      </w:r>
      <w:r w:rsidRPr="00111DC0">
        <w:rPr>
          <w:rFonts w:cs="Arial"/>
        </w:rPr>
        <w:t xml:space="preserve"> </w:t>
      </w:r>
      <w:r w:rsidRPr="00111DC0">
        <w:rPr>
          <w:rFonts w:cs="Arial"/>
          <w:b/>
          <w:bCs/>
        </w:rPr>
        <w:t xml:space="preserve">la adjudicación de puestos de libre designación es siempre favorable a las mujeres a lo largo de los años de evolución observados, lo que convierte este procedimiento en un canal habitual para su </w:t>
      </w:r>
      <w:r w:rsidR="00436D90" w:rsidRPr="00111DC0">
        <w:rPr>
          <w:rFonts w:cs="Arial"/>
          <w:b/>
          <w:bCs/>
        </w:rPr>
        <w:t>promoción</w:t>
      </w:r>
      <w:r w:rsidR="002A28F6">
        <w:rPr>
          <w:rFonts w:cs="Arial"/>
          <w:b/>
          <w:bCs/>
        </w:rPr>
        <w:t>:</w:t>
      </w:r>
      <w:r w:rsidRPr="00111DC0">
        <w:rPr>
          <w:rFonts w:cs="Arial"/>
          <w:b/>
          <w:bCs/>
        </w:rPr>
        <w:t xml:space="preserve"> </w:t>
      </w:r>
    </w:p>
    <w:p w14:paraId="385C5ACF" w14:textId="77777777" w:rsidR="00703974" w:rsidRPr="00111DC0" w:rsidRDefault="00703974" w:rsidP="00703974">
      <w:pPr>
        <w:rPr>
          <w:rFonts w:cs="Arial"/>
        </w:rPr>
      </w:pPr>
      <w:r w:rsidRPr="00111DC0">
        <w:rPr>
          <w:rFonts w:cs="Arial"/>
          <w:noProof/>
          <w:lang w:eastAsia="es-ES"/>
        </w:rPr>
        <w:drawing>
          <wp:inline distT="0" distB="0" distL="0" distR="0" wp14:anchorId="4D2E067B" wp14:editId="18EA7B8D">
            <wp:extent cx="5349240" cy="2766252"/>
            <wp:effectExtent l="0" t="0" r="0" b="0"/>
            <wp:docPr id="6" name="Gráfico 6"/>
            <wp:cNvGraphicFramePr/>
            <a:graphic xmlns:a="http://schemas.openxmlformats.org/drawingml/2006/main">
              <a:graphicData uri="http://schemas.openxmlformats.org/drawingml/2006/chart">
                <c:chart xmlns:c="http://schemas.openxmlformats.org/drawingml/2006/chart" r:id="rId55"/>
              </a:graphicData>
            </a:graphic>
          </wp:inline>
        </w:drawing>
      </w:r>
    </w:p>
    <w:p w14:paraId="4A147D55" w14:textId="77777777" w:rsidR="00703974" w:rsidRPr="00111DC0" w:rsidRDefault="00703974" w:rsidP="00703974">
      <w:pPr>
        <w:rPr>
          <w:rFonts w:cs="Arial"/>
        </w:rPr>
      </w:pPr>
    </w:p>
    <w:p w14:paraId="39F9B7EC" w14:textId="0E32471A" w:rsidR="006335E9" w:rsidRPr="00111DC0" w:rsidRDefault="006335E9" w:rsidP="00DE69A1">
      <w:pPr>
        <w:pStyle w:val="Ttulo4"/>
        <w:rPr>
          <w:rFonts w:cs="Arial"/>
        </w:rPr>
      </w:pPr>
      <w:r w:rsidRPr="00111DC0">
        <w:rPr>
          <w:rFonts w:cs="Arial"/>
        </w:rPr>
        <w:t>Comisión de servicios</w:t>
      </w:r>
      <w:r w:rsidR="00A57E27" w:rsidRPr="00111DC0">
        <w:rPr>
          <w:rFonts w:cs="Arial"/>
        </w:rPr>
        <w:t xml:space="preserve"> </w:t>
      </w:r>
    </w:p>
    <w:p w14:paraId="6FF36768" w14:textId="4FC4B731" w:rsidR="00913AC5" w:rsidRPr="00111DC0" w:rsidRDefault="005B72F5" w:rsidP="00913AC5">
      <w:pPr>
        <w:rPr>
          <w:rFonts w:cs="Arial"/>
        </w:rPr>
      </w:pPr>
      <w:r w:rsidRPr="002A28F6">
        <w:rPr>
          <w:rFonts w:cs="Arial"/>
          <w:b/>
          <w:bCs/>
        </w:rPr>
        <w:t>A</w:t>
      </w:r>
      <w:r w:rsidR="00D21729" w:rsidRPr="002A28F6">
        <w:rPr>
          <w:rFonts w:cs="Arial"/>
          <w:b/>
          <w:bCs/>
        </w:rPr>
        <w:t>nte méritos similares</w:t>
      </w:r>
      <w:r w:rsidR="001302BC" w:rsidRPr="002A28F6">
        <w:rPr>
          <w:rFonts w:cs="Arial"/>
          <w:b/>
          <w:bCs/>
        </w:rPr>
        <w:t>,</w:t>
      </w:r>
      <w:r w:rsidR="00D21729" w:rsidRPr="002A28F6">
        <w:rPr>
          <w:rFonts w:cs="Arial"/>
          <w:b/>
          <w:bCs/>
        </w:rPr>
        <w:t xml:space="preserve"> tendrá prioridad la persona candidata que </w:t>
      </w:r>
      <w:r w:rsidR="00BD11AD" w:rsidRPr="002A28F6">
        <w:rPr>
          <w:rFonts w:cs="Arial"/>
          <w:b/>
          <w:bCs/>
        </w:rPr>
        <w:t>alegue</w:t>
      </w:r>
      <w:r w:rsidR="00D21729" w:rsidRPr="002A28F6">
        <w:rPr>
          <w:rFonts w:cs="Arial"/>
          <w:b/>
          <w:bCs/>
        </w:rPr>
        <w:t xml:space="preserve"> en su solicitud motivos de conciliación de vida laboral y familiar o especiales circunstancias</w:t>
      </w:r>
      <w:r w:rsidR="00D21729" w:rsidRPr="005B72F5">
        <w:rPr>
          <w:rFonts w:cs="Arial"/>
        </w:rPr>
        <w:t xml:space="preserve"> personales</w:t>
      </w:r>
      <w:r w:rsidR="00B32130">
        <w:rPr>
          <w:rFonts w:cs="Arial"/>
        </w:rPr>
        <w:t xml:space="preserve">, lo que produce </w:t>
      </w:r>
      <w:r w:rsidR="0070656F" w:rsidRPr="00111DC0">
        <w:rPr>
          <w:rFonts w:cs="Arial"/>
        </w:rPr>
        <w:t xml:space="preserve">un impacto positivo sobre la igualdad. </w:t>
      </w:r>
      <w:r w:rsidR="002A28F6">
        <w:rPr>
          <w:rFonts w:cs="Arial"/>
        </w:rPr>
        <w:t xml:space="preserve">Así, </w:t>
      </w:r>
      <w:r w:rsidR="001A3242" w:rsidRPr="005B72F5">
        <w:rPr>
          <w:rFonts w:cs="Arial"/>
        </w:rPr>
        <w:t>e</w:t>
      </w:r>
      <w:r w:rsidR="00986E7C" w:rsidRPr="005B72F5">
        <w:rPr>
          <w:rFonts w:cs="Arial"/>
        </w:rPr>
        <w:t xml:space="preserve">sta medida </w:t>
      </w:r>
      <w:r w:rsidR="00951144" w:rsidRPr="005B72F5">
        <w:rPr>
          <w:rFonts w:cs="Arial"/>
        </w:rPr>
        <w:t xml:space="preserve">de la Administración General de La Rioja es </w:t>
      </w:r>
      <w:r w:rsidR="00986E7C" w:rsidRPr="005B72F5">
        <w:rPr>
          <w:rFonts w:cs="Arial"/>
        </w:rPr>
        <w:t xml:space="preserve">claramente </w:t>
      </w:r>
      <w:r w:rsidR="00DA419A" w:rsidRPr="005B72F5">
        <w:rPr>
          <w:rFonts w:cs="Arial"/>
        </w:rPr>
        <w:t>generadora de igualdad</w:t>
      </w:r>
      <w:r w:rsidR="00951144" w:rsidRPr="005B72F5">
        <w:rPr>
          <w:rFonts w:cs="Arial"/>
        </w:rPr>
        <w:t xml:space="preserve"> e implica una </w:t>
      </w:r>
      <w:r w:rsidR="00DA419A" w:rsidRPr="005B72F5">
        <w:rPr>
          <w:rFonts w:cs="Arial"/>
        </w:rPr>
        <w:t>respuesta corresponsable</w:t>
      </w:r>
      <w:r w:rsidR="00DA419A" w:rsidRPr="00111DC0">
        <w:rPr>
          <w:rFonts w:cs="Arial"/>
          <w:b/>
          <w:bCs/>
        </w:rPr>
        <w:t xml:space="preserve"> </w:t>
      </w:r>
      <w:r w:rsidR="006D2CFF" w:rsidRPr="00111DC0">
        <w:rPr>
          <w:rFonts w:cs="Arial"/>
        </w:rPr>
        <w:t xml:space="preserve">que </w:t>
      </w:r>
      <w:r w:rsidR="00951144" w:rsidRPr="00111DC0">
        <w:rPr>
          <w:rFonts w:cs="Arial"/>
        </w:rPr>
        <w:t xml:space="preserve">reconoce las distintas responsabilidades de empleadas y empleados y les </w:t>
      </w:r>
      <w:r w:rsidR="006D2CFF" w:rsidRPr="00111DC0">
        <w:rPr>
          <w:rFonts w:cs="Arial"/>
        </w:rPr>
        <w:t>protege</w:t>
      </w:r>
      <w:r w:rsidR="00DA419A" w:rsidRPr="00111DC0">
        <w:rPr>
          <w:rFonts w:cs="Arial"/>
        </w:rPr>
        <w:t xml:space="preserve"> </w:t>
      </w:r>
      <w:r w:rsidR="006D2CFF" w:rsidRPr="00111DC0">
        <w:rPr>
          <w:rFonts w:cs="Arial"/>
        </w:rPr>
        <w:t>ante determinadas circunstancias personales</w:t>
      </w:r>
      <w:r w:rsidR="00DA419A" w:rsidRPr="00111DC0">
        <w:rPr>
          <w:rFonts w:cs="Arial"/>
        </w:rPr>
        <w:t xml:space="preserve">. </w:t>
      </w:r>
    </w:p>
    <w:p w14:paraId="586ADFF0" w14:textId="1D8F7AEA" w:rsidR="00BA123E" w:rsidRPr="002A28F6" w:rsidRDefault="005B72F5" w:rsidP="00395F1F">
      <w:pPr>
        <w:rPr>
          <w:rFonts w:cs="Arial"/>
          <w:b/>
          <w:bCs/>
        </w:rPr>
      </w:pPr>
      <w:r>
        <w:rPr>
          <w:rFonts w:cs="Arial"/>
        </w:rPr>
        <w:t>En t</w:t>
      </w:r>
      <w:r w:rsidR="001A3242" w:rsidRPr="00111DC0">
        <w:rPr>
          <w:rFonts w:cs="Arial"/>
        </w:rPr>
        <w:t xml:space="preserve">odas las convocatorias, salvo en el año 2018, que fue plenamente paritaria, </w:t>
      </w:r>
      <w:r w:rsidR="001A3242" w:rsidRPr="002A28F6">
        <w:rPr>
          <w:rFonts w:cs="Arial"/>
          <w:b/>
          <w:bCs/>
        </w:rPr>
        <w:t>las mujeres han sido las principales adjudicatarias de los puestos en esta forma de provisión</w:t>
      </w:r>
      <w:r w:rsidRPr="002A28F6">
        <w:rPr>
          <w:rFonts w:cs="Arial"/>
          <w:b/>
          <w:bCs/>
        </w:rPr>
        <w:t>:</w:t>
      </w:r>
      <w:r w:rsidR="001A3242" w:rsidRPr="002A28F6">
        <w:rPr>
          <w:rFonts w:cs="Arial"/>
          <w:b/>
          <w:bCs/>
        </w:rPr>
        <w:t xml:space="preserve"> </w:t>
      </w:r>
    </w:p>
    <w:p w14:paraId="0E617BAF" w14:textId="4B7D3D5D" w:rsidR="00443843" w:rsidRPr="00111DC0" w:rsidRDefault="00443843" w:rsidP="00AB4A7A">
      <w:pPr>
        <w:rPr>
          <w:rFonts w:cs="Arial"/>
        </w:rPr>
      </w:pPr>
      <w:r w:rsidRPr="00111DC0">
        <w:rPr>
          <w:rFonts w:cs="Arial"/>
          <w:noProof/>
          <w:lang w:eastAsia="es-ES"/>
        </w:rPr>
        <w:drawing>
          <wp:inline distT="0" distB="0" distL="0" distR="0" wp14:anchorId="1EA806B5" wp14:editId="787C5409">
            <wp:extent cx="5227320" cy="2339340"/>
            <wp:effectExtent l="0" t="0" r="0" b="0"/>
            <wp:docPr id="66" name="Gráfico 66"/>
            <wp:cNvGraphicFramePr/>
            <a:graphic xmlns:a="http://schemas.openxmlformats.org/drawingml/2006/main">
              <a:graphicData uri="http://schemas.openxmlformats.org/drawingml/2006/chart">
                <c:chart xmlns:c="http://schemas.openxmlformats.org/drawingml/2006/chart" r:id="rId56"/>
              </a:graphicData>
            </a:graphic>
          </wp:inline>
        </w:drawing>
      </w:r>
    </w:p>
    <w:p w14:paraId="1C0A9427" w14:textId="1479870D" w:rsidR="006335E9" w:rsidRPr="00111DC0" w:rsidRDefault="006335E9" w:rsidP="00DE69A1">
      <w:pPr>
        <w:pStyle w:val="Ttulo4"/>
        <w:rPr>
          <w:rFonts w:cs="Arial"/>
        </w:rPr>
      </w:pPr>
      <w:r w:rsidRPr="00111DC0">
        <w:rPr>
          <w:rFonts w:cs="Arial"/>
        </w:rPr>
        <w:t>Concurso de traslados</w:t>
      </w:r>
    </w:p>
    <w:p w14:paraId="7926ED92" w14:textId="13C10440" w:rsidR="00B40FE2" w:rsidRDefault="006D2B4F" w:rsidP="00B40FE2">
      <w:r w:rsidRPr="00111DC0">
        <w:t>A</w:t>
      </w:r>
      <w:r w:rsidR="00BD0965" w:rsidRPr="00111DC0">
        <w:t xml:space="preserve"> lo largo de la evolución,</w:t>
      </w:r>
      <w:r w:rsidR="002D3833" w:rsidRPr="00111DC0">
        <w:t xml:space="preserve"> </w:t>
      </w:r>
      <w:r w:rsidR="001F1F20" w:rsidRPr="00111DC0">
        <w:t xml:space="preserve">la gran mayoría de los puestos convocados </w:t>
      </w:r>
      <w:r w:rsidRPr="00111DC0">
        <w:t xml:space="preserve">en los Servicios Generales </w:t>
      </w:r>
      <w:r w:rsidR="001F1F20" w:rsidRPr="00111DC0">
        <w:t>han quedado desiertos</w:t>
      </w:r>
      <w:r w:rsidR="00A82690" w:rsidRPr="00111DC0">
        <w:t xml:space="preserve">. </w:t>
      </w:r>
      <w:r w:rsidR="00D8593A" w:rsidRPr="00111DC0">
        <w:rPr>
          <w:b/>
          <w:bCs/>
        </w:rPr>
        <w:t>De los puestos adjudicados, cada año salvo en 2018, la mayor parte han recaído sobre mujeres</w:t>
      </w:r>
      <w:r w:rsidR="00B40FE2">
        <w:rPr>
          <w:b/>
          <w:bCs/>
        </w:rPr>
        <w:t>:</w:t>
      </w:r>
    </w:p>
    <w:p w14:paraId="100398AC" w14:textId="041A1F14" w:rsidR="002D3833" w:rsidRPr="00111DC0" w:rsidRDefault="007416A1" w:rsidP="00B40FE2">
      <w:pPr>
        <w:rPr>
          <w:rFonts w:cs="Arial"/>
        </w:rPr>
      </w:pPr>
      <w:r w:rsidRPr="00111DC0">
        <w:rPr>
          <w:rFonts w:cs="Arial"/>
          <w:noProof/>
          <w:lang w:eastAsia="es-ES"/>
        </w:rPr>
        <w:drawing>
          <wp:inline distT="0" distB="0" distL="0" distR="0" wp14:anchorId="59845238" wp14:editId="3200AE11">
            <wp:extent cx="5349240" cy="2766252"/>
            <wp:effectExtent l="0" t="0" r="0" b="0"/>
            <wp:docPr id="70" name="Gráfico 70"/>
            <wp:cNvGraphicFramePr/>
            <a:graphic xmlns:a="http://schemas.openxmlformats.org/drawingml/2006/main">
              <a:graphicData uri="http://schemas.openxmlformats.org/drawingml/2006/chart">
                <c:chart xmlns:c="http://schemas.openxmlformats.org/drawingml/2006/chart" r:id="rId57"/>
              </a:graphicData>
            </a:graphic>
          </wp:inline>
        </w:drawing>
      </w:r>
    </w:p>
    <w:p w14:paraId="50121D34" w14:textId="1FB6B026" w:rsidR="002D3833" w:rsidRPr="00111DC0" w:rsidRDefault="002D3833">
      <w:pPr>
        <w:spacing w:line="259" w:lineRule="auto"/>
        <w:jc w:val="left"/>
        <w:rPr>
          <w:rFonts w:cs="Arial"/>
        </w:rPr>
      </w:pPr>
    </w:p>
    <w:p w14:paraId="5D254FFB" w14:textId="6DE7F932" w:rsidR="00346785" w:rsidRPr="00111DC0" w:rsidRDefault="002D3833" w:rsidP="006951C1">
      <w:pPr>
        <w:rPr>
          <w:rFonts w:cs="Arial"/>
        </w:rPr>
      </w:pPr>
      <w:r w:rsidRPr="00111DC0">
        <w:rPr>
          <w:rFonts w:cs="Arial"/>
        </w:rPr>
        <w:t xml:space="preserve">Entre el </w:t>
      </w:r>
      <w:r w:rsidR="00832653" w:rsidRPr="00111DC0">
        <w:rPr>
          <w:rFonts w:cs="Arial"/>
        </w:rPr>
        <w:t>Personal Docente</w:t>
      </w:r>
      <w:r w:rsidRPr="00111DC0">
        <w:rPr>
          <w:rFonts w:cs="Arial"/>
        </w:rPr>
        <w:t xml:space="preserve"> </w:t>
      </w:r>
      <w:r w:rsidR="00EC6256" w:rsidRPr="00111DC0">
        <w:rPr>
          <w:rFonts w:cs="Arial"/>
        </w:rPr>
        <w:t>la</w:t>
      </w:r>
      <w:r w:rsidR="00F16365" w:rsidRPr="00111DC0">
        <w:rPr>
          <w:rFonts w:cs="Arial"/>
        </w:rPr>
        <w:t xml:space="preserve"> distribución por sexo de la</w:t>
      </w:r>
      <w:r w:rsidR="00EC6256" w:rsidRPr="00111DC0">
        <w:rPr>
          <w:rFonts w:cs="Arial"/>
        </w:rPr>
        <w:t xml:space="preserve">s adjudicaciones </w:t>
      </w:r>
      <w:r w:rsidR="00F16365" w:rsidRPr="00111DC0">
        <w:rPr>
          <w:rFonts w:cs="Arial"/>
        </w:rPr>
        <w:t>ha ido fluctuando a lo largo del periodo analizado</w:t>
      </w:r>
      <w:r w:rsidR="00346785" w:rsidRPr="00111DC0">
        <w:rPr>
          <w:rFonts w:cs="Arial"/>
        </w:rPr>
        <w:t xml:space="preserve">. </w:t>
      </w:r>
      <w:r w:rsidR="00346785" w:rsidRPr="00111DC0">
        <w:rPr>
          <w:rFonts w:cs="Arial"/>
          <w:b/>
          <w:bCs/>
        </w:rPr>
        <w:t>Acorde con la feminización del personal docente (70% mujeres), cada año las adjudicaciones han recaído mayoritariamente en mujeres</w:t>
      </w:r>
      <w:r w:rsidR="006951C1">
        <w:rPr>
          <w:rFonts w:cs="Arial"/>
        </w:rPr>
        <w:t>:</w:t>
      </w:r>
    </w:p>
    <w:p w14:paraId="40C5C4D9" w14:textId="77777777" w:rsidR="004D32BC" w:rsidRPr="00111DC0" w:rsidRDefault="005A6803" w:rsidP="000F6684">
      <w:pPr>
        <w:spacing w:line="259" w:lineRule="auto"/>
        <w:jc w:val="left"/>
        <w:rPr>
          <w:rFonts w:cs="Arial"/>
          <w:b/>
          <w:szCs w:val="24"/>
        </w:rPr>
      </w:pPr>
      <w:r w:rsidRPr="00111DC0">
        <w:rPr>
          <w:rFonts w:cs="Arial"/>
          <w:noProof/>
          <w:lang w:eastAsia="es-ES"/>
        </w:rPr>
        <w:drawing>
          <wp:inline distT="0" distB="0" distL="0" distR="0" wp14:anchorId="0C58CFCA" wp14:editId="28396AC8">
            <wp:extent cx="5349240" cy="2766252"/>
            <wp:effectExtent l="0" t="0" r="0" b="0"/>
            <wp:docPr id="72" name="Gráfico 72"/>
            <wp:cNvGraphicFramePr/>
            <a:graphic xmlns:a="http://schemas.openxmlformats.org/drawingml/2006/main">
              <a:graphicData uri="http://schemas.openxmlformats.org/drawingml/2006/chart">
                <c:chart xmlns:c="http://schemas.openxmlformats.org/drawingml/2006/chart" r:id="rId58"/>
              </a:graphicData>
            </a:graphic>
          </wp:inline>
        </w:drawing>
      </w:r>
    </w:p>
    <w:p w14:paraId="7B5F702F" w14:textId="1CEDEFD3" w:rsidR="00EA43B9" w:rsidRPr="00111DC0" w:rsidRDefault="00EA43B9" w:rsidP="004B6A1B">
      <w:pPr>
        <w:pStyle w:val="Ttulo3"/>
        <w:rPr>
          <w:rFonts w:cs="Arial"/>
        </w:rPr>
      </w:pPr>
      <w:r w:rsidRPr="00111DC0">
        <w:rPr>
          <w:rFonts w:cs="Arial"/>
        </w:rPr>
        <w:t xml:space="preserve">Promoción interna </w:t>
      </w:r>
      <w:r w:rsidR="00162A46" w:rsidRPr="00111DC0">
        <w:rPr>
          <w:rFonts w:cs="Arial"/>
        </w:rPr>
        <w:t>vertical y horizontal</w:t>
      </w:r>
    </w:p>
    <w:p w14:paraId="1F0BB517" w14:textId="77777777" w:rsidR="00795A9A" w:rsidRDefault="002A28F6" w:rsidP="00795A9A">
      <w:pPr>
        <w:rPr>
          <w:rFonts w:cs="Arial"/>
        </w:rPr>
      </w:pPr>
      <w:r>
        <w:t>D</w:t>
      </w:r>
      <w:r w:rsidRPr="00111DC0">
        <w:t>esde el año 2017 hasta la actualidad</w:t>
      </w:r>
      <w:r>
        <w:t xml:space="preserve">, </w:t>
      </w:r>
      <w:r w:rsidRPr="00795A9A">
        <w:rPr>
          <w:b/>
          <w:bCs/>
        </w:rPr>
        <w:t>l</w:t>
      </w:r>
      <w:r w:rsidR="00C9245E" w:rsidRPr="00795A9A">
        <w:rPr>
          <w:b/>
          <w:bCs/>
        </w:rPr>
        <w:t>a</w:t>
      </w:r>
      <w:r w:rsidR="00525598" w:rsidRPr="00795A9A">
        <w:rPr>
          <w:b/>
          <w:bCs/>
        </w:rPr>
        <w:t xml:space="preserve"> </w:t>
      </w:r>
      <w:r w:rsidR="00FB3F8A" w:rsidRPr="00795A9A">
        <w:rPr>
          <w:b/>
          <w:bCs/>
        </w:rPr>
        <w:t xml:space="preserve">presencia </w:t>
      </w:r>
      <w:r w:rsidR="00525598" w:rsidRPr="00795A9A">
        <w:rPr>
          <w:b/>
          <w:bCs/>
        </w:rPr>
        <w:t>femenina</w:t>
      </w:r>
      <w:r w:rsidR="007C5962" w:rsidRPr="00795A9A">
        <w:rPr>
          <w:b/>
          <w:bCs/>
        </w:rPr>
        <w:t xml:space="preserve"> en el</w:t>
      </w:r>
      <w:r w:rsidR="00525598" w:rsidRPr="00795A9A">
        <w:rPr>
          <w:b/>
          <w:bCs/>
        </w:rPr>
        <w:t xml:space="preserve"> total </w:t>
      </w:r>
      <w:r w:rsidR="007C5962" w:rsidRPr="00795A9A">
        <w:rPr>
          <w:b/>
          <w:bCs/>
        </w:rPr>
        <w:t xml:space="preserve">de personas que han participado </w:t>
      </w:r>
      <w:r w:rsidR="00525598" w:rsidRPr="00795A9A">
        <w:rPr>
          <w:b/>
          <w:bCs/>
        </w:rPr>
        <w:t xml:space="preserve">en </w:t>
      </w:r>
      <w:r w:rsidR="00FB3F8A" w:rsidRPr="00795A9A">
        <w:rPr>
          <w:b/>
          <w:bCs/>
        </w:rPr>
        <w:t xml:space="preserve">las </w:t>
      </w:r>
      <w:r w:rsidR="006256BC" w:rsidRPr="00795A9A">
        <w:rPr>
          <w:b/>
          <w:bCs/>
        </w:rPr>
        <w:t xml:space="preserve">convocatorias de </w:t>
      </w:r>
      <w:r w:rsidR="00525598" w:rsidRPr="00795A9A">
        <w:rPr>
          <w:b/>
          <w:bCs/>
        </w:rPr>
        <w:t>promoción interna vertical y horizontal en los Servicios Generales es superior a la masculina</w:t>
      </w:r>
      <w:r w:rsidRPr="00795A9A">
        <w:rPr>
          <w:b/>
          <w:bCs/>
        </w:rPr>
        <w:t>.</w:t>
      </w:r>
      <w:r w:rsidR="00795A9A">
        <w:t xml:space="preserve"> </w:t>
      </w:r>
      <w:r w:rsidR="00FB3F8A" w:rsidRPr="00111DC0">
        <w:rPr>
          <w:rFonts w:cs="Arial"/>
        </w:rPr>
        <w:t>No obstante, e</w:t>
      </w:r>
      <w:r w:rsidR="00525598" w:rsidRPr="00111DC0">
        <w:rPr>
          <w:rFonts w:cs="Arial"/>
        </w:rPr>
        <w:t>ste dato</w:t>
      </w:r>
      <w:r w:rsidR="006256BC" w:rsidRPr="00111DC0">
        <w:rPr>
          <w:rFonts w:cs="Arial"/>
        </w:rPr>
        <w:t xml:space="preserve"> </w:t>
      </w:r>
      <w:r w:rsidR="00525598" w:rsidRPr="00111DC0">
        <w:rPr>
          <w:rFonts w:cs="Arial"/>
        </w:rPr>
        <w:t xml:space="preserve">alumbra una </w:t>
      </w:r>
      <w:r w:rsidR="00525598" w:rsidRPr="00795A9A">
        <w:rPr>
          <w:rFonts w:cs="Arial"/>
        </w:rPr>
        <w:t>participación relativa menor de mujeres en las solicitudes</w:t>
      </w:r>
      <w:r w:rsidR="006256BC" w:rsidRPr="00795A9A">
        <w:rPr>
          <w:rFonts w:cs="Arial"/>
        </w:rPr>
        <w:t xml:space="preserve"> en comparación con su presencia global en la plantilla de los Servicios Generales (66%)</w:t>
      </w:r>
      <w:r w:rsidR="00525598" w:rsidRPr="00795A9A">
        <w:rPr>
          <w:rFonts w:cs="Arial"/>
        </w:rPr>
        <w:t>.</w:t>
      </w:r>
      <w:r w:rsidR="00795A9A">
        <w:rPr>
          <w:rFonts w:cs="Arial"/>
        </w:rPr>
        <w:t xml:space="preserve"> </w:t>
      </w:r>
    </w:p>
    <w:p w14:paraId="2B5DE0DD" w14:textId="1F2F0554" w:rsidR="00525598" w:rsidRPr="00795A9A" w:rsidRDefault="00795A9A" w:rsidP="000B420F">
      <w:pPr>
        <w:rPr>
          <w:rFonts w:cs="Arial"/>
        </w:rPr>
      </w:pPr>
      <w:r>
        <w:rPr>
          <w:rFonts w:cs="Arial"/>
        </w:rPr>
        <w:t xml:space="preserve">Por otra parte, </w:t>
      </w:r>
      <w:r w:rsidRPr="00795A9A">
        <w:rPr>
          <w:rFonts w:cs="Arial"/>
        </w:rPr>
        <w:t>el desequilibrio de mujeres y hombres es claro en algunas convocatorias, mostrando una pauta claramente segregada.</w:t>
      </w:r>
      <w:r w:rsidRPr="00111DC0">
        <w:rPr>
          <w:rFonts w:cs="Arial"/>
        </w:rPr>
        <w:t xml:space="preserve"> </w:t>
      </w:r>
      <w:r w:rsidRPr="00795A9A">
        <w:rPr>
          <w:rFonts w:cs="Arial"/>
          <w:b/>
          <w:bCs/>
        </w:rPr>
        <w:t xml:space="preserve">Nuevamente, aparece la necesidad de que la Administración General de La Rioja contribuya al cambio de pauta fomentando la ruptura con los roles de género y expectativas adquiridas en pro de un modelo más equitativo. </w:t>
      </w:r>
    </w:p>
    <w:tbl>
      <w:tblPr>
        <w:tblStyle w:val="Tablaconcuadrcula"/>
        <w:tblW w:w="4938" w:type="pct"/>
        <w:tblInd w:w="108" w:type="dxa"/>
        <w:tblLook w:val="04A0" w:firstRow="1" w:lastRow="0" w:firstColumn="1" w:lastColumn="0" w:noHBand="0" w:noVBand="1"/>
      </w:tblPr>
      <w:tblGrid>
        <w:gridCol w:w="1861"/>
        <w:gridCol w:w="3951"/>
        <w:gridCol w:w="1374"/>
        <w:gridCol w:w="1426"/>
      </w:tblGrid>
      <w:tr w:rsidR="007E569C" w:rsidRPr="00111DC0" w14:paraId="5F3D9EF9" w14:textId="77777777" w:rsidTr="00B12F31">
        <w:trPr>
          <w:trHeight w:val="513"/>
        </w:trPr>
        <w:tc>
          <w:tcPr>
            <w:tcW w:w="5000" w:type="pct"/>
            <w:gridSpan w:val="4"/>
            <w:tcBorders>
              <w:top w:val="double" w:sz="4" w:space="0" w:color="auto"/>
              <w:left w:val="double" w:sz="4" w:space="0" w:color="auto"/>
              <w:bottom w:val="double" w:sz="4" w:space="0" w:color="auto"/>
              <w:right w:val="double" w:sz="4" w:space="0" w:color="auto"/>
            </w:tcBorders>
            <w:shd w:val="clear" w:color="auto" w:fill="78BE20"/>
            <w:vAlign w:val="center"/>
          </w:tcPr>
          <w:p w14:paraId="178C4501" w14:textId="7D74A1FB" w:rsidR="007E569C" w:rsidRPr="00111DC0" w:rsidRDefault="00FB3F8A" w:rsidP="000F4CC1">
            <w:pPr>
              <w:widowControl w:val="0"/>
              <w:spacing w:before="0" w:after="0" w:line="240" w:lineRule="auto"/>
              <w:jc w:val="left"/>
              <w:rPr>
                <w:rFonts w:cs="Arial"/>
                <w:b/>
                <w:bCs/>
                <w:color w:val="FFFFFF" w:themeColor="background1"/>
                <w:szCs w:val="20"/>
              </w:rPr>
            </w:pPr>
            <w:r w:rsidRPr="00111DC0">
              <w:rPr>
                <w:rFonts w:cs="Arial"/>
              </w:rPr>
              <w:br w:type="page"/>
            </w:r>
            <w:r w:rsidR="007E569C" w:rsidRPr="00111DC0">
              <w:rPr>
                <w:rFonts w:cs="Arial"/>
                <w:b/>
                <w:bCs/>
                <w:color w:val="FFFFFF" w:themeColor="background1"/>
                <w:szCs w:val="20"/>
              </w:rPr>
              <w:t xml:space="preserve">Tabla </w:t>
            </w:r>
            <w:r w:rsidR="00A20210">
              <w:rPr>
                <w:rFonts w:cs="Arial"/>
                <w:b/>
                <w:bCs/>
                <w:color w:val="FFFFFF" w:themeColor="background1"/>
                <w:szCs w:val="20"/>
              </w:rPr>
              <w:t>8</w:t>
            </w:r>
            <w:r w:rsidR="007E569C" w:rsidRPr="00111DC0">
              <w:rPr>
                <w:rFonts w:cs="Arial"/>
                <w:b/>
                <w:bCs/>
                <w:color w:val="FFFFFF" w:themeColor="background1"/>
                <w:szCs w:val="20"/>
              </w:rPr>
              <w:t xml:space="preserve">. Distribución por sexo y solicitudes en promoción interna </w:t>
            </w:r>
          </w:p>
          <w:p w14:paraId="7B3FF241" w14:textId="77777777" w:rsidR="007E569C" w:rsidRPr="00111DC0" w:rsidRDefault="007E569C" w:rsidP="000F4CC1">
            <w:pPr>
              <w:widowControl w:val="0"/>
              <w:spacing w:before="0" w:after="0" w:line="240" w:lineRule="auto"/>
              <w:jc w:val="left"/>
              <w:rPr>
                <w:rFonts w:eastAsiaTheme="majorEastAsia" w:cs="Arial"/>
                <w:b/>
                <w:bCs/>
                <w:snapToGrid w:val="0"/>
                <w:color w:val="78BE20"/>
                <w:szCs w:val="26"/>
              </w:rPr>
            </w:pPr>
            <w:r w:rsidRPr="00111DC0">
              <w:rPr>
                <w:rFonts w:cs="Arial"/>
                <w:color w:val="FFFFFF" w:themeColor="background1"/>
                <w:szCs w:val="20"/>
              </w:rPr>
              <w:t>(Servicios Generales)</w:t>
            </w:r>
          </w:p>
        </w:tc>
      </w:tr>
      <w:tr w:rsidR="007E569C" w:rsidRPr="00111DC0" w14:paraId="1939CDE8" w14:textId="77777777" w:rsidTr="00B12F31">
        <w:trPr>
          <w:trHeight w:val="406"/>
        </w:trPr>
        <w:tc>
          <w:tcPr>
            <w:tcW w:w="1080" w:type="pct"/>
            <w:tcBorders>
              <w:top w:val="double" w:sz="4" w:space="0" w:color="auto"/>
              <w:left w:val="double" w:sz="4" w:space="0" w:color="auto"/>
              <w:bottom w:val="double" w:sz="4" w:space="0" w:color="auto"/>
              <w:right w:val="double" w:sz="4" w:space="0" w:color="auto"/>
            </w:tcBorders>
            <w:vAlign w:val="center"/>
          </w:tcPr>
          <w:p w14:paraId="5A089DEF" w14:textId="77777777" w:rsidR="007E569C" w:rsidRPr="00111DC0" w:rsidRDefault="007E569C" w:rsidP="00A60E61">
            <w:pPr>
              <w:spacing w:before="0" w:after="0" w:line="259" w:lineRule="auto"/>
              <w:jc w:val="right"/>
              <w:rPr>
                <w:rFonts w:eastAsiaTheme="majorEastAsia" w:cs="Arial"/>
                <w:b/>
                <w:bCs/>
                <w:snapToGrid w:val="0"/>
                <w:color w:val="78BE20"/>
                <w:szCs w:val="26"/>
              </w:rPr>
            </w:pPr>
            <w:r w:rsidRPr="00111DC0">
              <w:rPr>
                <w:rFonts w:eastAsiaTheme="majorEastAsia" w:cs="Arial"/>
                <w:b/>
                <w:bCs/>
                <w:snapToGrid w:val="0"/>
                <w:color w:val="78BE20"/>
                <w:sz w:val="20"/>
                <w:szCs w:val="24"/>
              </w:rPr>
              <w:t>CONVOCATORIA</w:t>
            </w:r>
          </w:p>
        </w:tc>
        <w:tc>
          <w:tcPr>
            <w:tcW w:w="2294" w:type="pct"/>
            <w:tcBorders>
              <w:top w:val="double" w:sz="4" w:space="0" w:color="auto"/>
              <w:left w:val="double" w:sz="4" w:space="0" w:color="auto"/>
              <w:bottom w:val="double" w:sz="4" w:space="0" w:color="auto"/>
              <w:right w:val="double" w:sz="4" w:space="0" w:color="auto"/>
            </w:tcBorders>
            <w:vAlign w:val="center"/>
          </w:tcPr>
          <w:p w14:paraId="179FADBF" w14:textId="77777777" w:rsidR="007E569C" w:rsidRPr="00111DC0" w:rsidRDefault="007E569C" w:rsidP="00A60E61">
            <w:pPr>
              <w:spacing w:before="0" w:after="0" w:line="259" w:lineRule="auto"/>
              <w:jc w:val="right"/>
              <w:rPr>
                <w:rFonts w:eastAsiaTheme="majorEastAsia" w:cs="Arial"/>
                <w:b/>
                <w:bCs/>
                <w:snapToGrid w:val="0"/>
                <w:color w:val="78BE20"/>
                <w:szCs w:val="26"/>
              </w:rPr>
            </w:pPr>
            <w:r w:rsidRPr="00111DC0">
              <w:rPr>
                <w:rFonts w:eastAsiaTheme="majorEastAsia" w:cs="Arial"/>
                <w:b/>
                <w:bCs/>
                <w:snapToGrid w:val="0"/>
                <w:color w:val="78BE20"/>
                <w:szCs w:val="26"/>
              </w:rPr>
              <w:t>PUESTO</w:t>
            </w:r>
          </w:p>
        </w:tc>
        <w:tc>
          <w:tcPr>
            <w:tcW w:w="798" w:type="pct"/>
            <w:tcBorders>
              <w:top w:val="double" w:sz="4" w:space="0" w:color="auto"/>
              <w:left w:val="double" w:sz="4" w:space="0" w:color="auto"/>
              <w:bottom w:val="double" w:sz="4" w:space="0" w:color="auto"/>
            </w:tcBorders>
            <w:vAlign w:val="center"/>
          </w:tcPr>
          <w:p w14:paraId="63D93CA5" w14:textId="77777777" w:rsidR="007E569C" w:rsidRPr="00111DC0" w:rsidRDefault="007E569C" w:rsidP="000F4CC1">
            <w:pPr>
              <w:widowControl w:val="0"/>
              <w:spacing w:before="0" w:after="0" w:line="240" w:lineRule="auto"/>
              <w:jc w:val="center"/>
              <w:rPr>
                <w:rFonts w:eastAsiaTheme="majorEastAsia" w:cs="Arial"/>
                <w:b/>
                <w:bCs/>
                <w:snapToGrid w:val="0"/>
                <w:color w:val="78BE20"/>
                <w:szCs w:val="26"/>
              </w:rPr>
            </w:pPr>
            <w:r w:rsidRPr="00111DC0">
              <w:rPr>
                <w:rFonts w:cs="Arial"/>
                <w:b/>
                <w:bCs/>
                <w:sz w:val="20"/>
                <w:szCs w:val="18"/>
              </w:rPr>
              <w:t>MUJERES</w:t>
            </w:r>
          </w:p>
        </w:tc>
        <w:tc>
          <w:tcPr>
            <w:tcW w:w="828" w:type="pct"/>
            <w:tcBorders>
              <w:top w:val="double" w:sz="4" w:space="0" w:color="auto"/>
              <w:bottom w:val="double" w:sz="4" w:space="0" w:color="auto"/>
              <w:right w:val="double" w:sz="4" w:space="0" w:color="auto"/>
            </w:tcBorders>
            <w:vAlign w:val="center"/>
          </w:tcPr>
          <w:p w14:paraId="1FF871FE" w14:textId="77777777" w:rsidR="007E569C" w:rsidRPr="00111DC0" w:rsidRDefault="007E569C" w:rsidP="000F4CC1">
            <w:pPr>
              <w:widowControl w:val="0"/>
              <w:spacing w:before="0" w:after="0" w:line="240" w:lineRule="auto"/>
              <w:jc w:val="center"/>
              <w:rPr>
                <w:rFonts w:eastAsiaTheme="majorEastAsia" w:cs="Arial"/>
                <w:b/>
                <w:bCs/>
                <w:snapToGrid w:val="0"/>
                <w:color w:val="78BE20"/>
                <w:szCs w:val="26"/>
              </w:rPr>
            </w:pPr>
            <w:r w:rsidRPr="00111DC0">
              <w:rPr>
                <w:rFonts w:cs="Arial"/>
                <w:b/>
                <w:bCs/>
                <w:sz w:val="20"/>
                <w:szCs w:val="18"/>
              </w:rPr>
              <w:t>HOMBRES</w:t>
            </w:r>
          </w:p>
        </w:tc>
      </w:tr>
      <w:tr w:rsidR="007E569C" w:rsidRPr="00111DC0" w14:paraId="1087080E" w14:textId="77777777" w:rsidTr="00C9245E">
        <w:tc>
          <w:tcPr>
            <w:tcW w:w="1080" w:type="pct"/>
            <w:tcBorders>
              <w:top w:val="double" w:sz="4" w:space="0" w:color="auto"/>
              <w:left w:val="double" w:sz="4" w:space="0" w:color="auto"/>
              <w:right w:val="double" w:sz="4" w:space="0" w:color="auto"/>
            </w:tcBorders>
            <w:vAlign w:val="center"/>
          </w:tcPr>
          <w:p w14:paraId="599CEC56" w14:textId="77777777" w:rsidR="007E569C" w:rsidRPr="00111DC0" w:rsidRDefault="007E569C" w:rsidP="00A60E61">
            <w:pPr>
              <w:spacing w:before="0" w:after="0" w:line="259" w:lineRule="auto"/>
              <w:jc w:val="right"/>
              <w:rPr>
                <w:rFonts w:cs="Arial"/>
                <w:sz w:val="20"/>
                <w:szCs w:val="18"/>
              </w:rPr>
            </w:pPr>
            <w:r w:rsidRPr="00111DC0">
              <w:rPr>
                <w:rFonts w:cs="Arial"/>
                <w:sz w:val="20"/>
                <w:szCs w:val="18"/>
              </w:rPr>
              <w:t>F.07/17</w:t>
            </w:r>
          </w:p>
        </w:tc>
        <w:tc>
          <w:tcPr>
            <w:tcW w:w="2294" w:type="pct"/>
            <w:tcBorders>
              <w:top w:val="double" w:sz="4" w:space="0" w:color="auto"/>
              <w:left w:val="double" w:sz="4" w:space="0" w:color="auto"/>
              <w:right w:val="double" w:sz="4" w:space="0" w:color="auto"/>
            </w:tcBorders>
            <w:vAlign w:val="center"/>
          </w:tcPr>
          <w:p w14:paraId="74237BC7" w14:textId="205AEC1F" w:rsidR="007E569C" w:rsidRPr="00111DC0" w:rsidRDefault="00EC25A8" w:rsidP="00A60E61">
            <w:pPr>
              <w:spacing w:before="0" w:after="0" w:line="259" w:lineRule="auto"/>
              <w:jc w:val="right"/>
              <w:rPr>
                <w:rFonts w:cs="Arial"/>
                <w:sz w:val="18"/>
                <w:szCs w:val="16"/>
              </w:rPr>
            </w:pPr>
            <w:r>
              <w:rPr>
                <w:rFonts w:cs="Arial"/>
                <w:sz w:val="18"/>
                <w:szCs w:val="16"/>
              </w:rPr>
              <w:t xml:space="preserve">Personal </w:t>
            </w:r>
            <w:r w:rsidRPr="00111DC0">
              <w:rPr>
                <w:rFonts w:cs="Arial"/>
                <w:sz w:val="18"/>
                <w:szCs w:val="16"/>
              </w:rPr>
              <w:t>subalterno AG PIH</w:t>
            </w:r>
          </w:p>
        </w:tc>
        <w:tc>
          <w:tcPr>
            <w:tcW w:w="798" w:type="pct"/>
            <w:tcBorders>
              <w:top w:val="double" w:sz="4" w:space="0" w:color="auto"/>
              <w:left w:val="double" w:sz="4" w:space="0" w:color="auto"/>
            </w:tcBorders>
            <w:vAlign w:val="center"/>
          </w:tcPr>
          <w:p w14:paraId="105067A6"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41%</w:t>
            </w:r>
          </w:p>
        </w:tc>
        <w:tc>
          <w:tcPr>
            <w:tcW w:w="828" w:type="pct"/>
            <w:tcBorders>
              <w:top w:val="double" w:sz="4" w:space="0" w:color="auto"/>
              <w:right w:val="double" w:sz="4" w:space="0" w:color="auto"/>
            </w:tcBorders>
            <w:vAlign w:val="center"/>
          </w:tcPr>
          <w:p w14:paraId="77A50393"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59%</w:t>
            </w:r>
          </w:p>
        </w:tc>
      </w:tr>
      <w:tr w:rsidR="007E569C" w:rsidRPr="00111DC0" w14:paraId="7A4C2266" w14:textId="77777777" w:rsidTr="00C9245E">
        <w:tc>
          <w:tcPr>
            <w:tcW w:w="1080" w:type="pct"/>
            <w:tcBorders>
              <w:left w:val="double" w:sz="4" w:space="0" w:color="auto"/>
              <w:right w:val="double" w:sz="4" w:space="0" w:color="auto"/>
            </w:tcBorders>
            <w:vAlign w:val="center"/>
          </w:tcPr>
          <w:p w14:paraId="274CB90F" w14:textId="77777777" w:rsidR="007E569C" w:rsidRPr="00111DC0" w:rsidRDefault="007E569C" w:rsidP="00A60E61">
            <w:pPr>
              <w:spacing w:before="0" w:after="0" w:line="259" w:lineRule="auto"/>
              <w:jc w:val="right"/>
              <w:rPr>
                <w:rFonts w:cs="Arial"/>
                <w:sz w:val="20"/>
                <w:szCs w:val="18"/>
              </w:rPr>
            </w:pPr>
            <w:r w:rsidRPr="00111DC0">
              <w:rPr>
                <w:rFonts w:cs="Arial"/>
                <w:sz w:val="20"/>
                <w:szCs w:val="18"/>
              </w:rPr>
              <w:t>F.09/17</w:t>
            </w:r>
          </w:p>
        </w:tc>
        <w:tc>
          <w:tcPr>
            <w:tcW w:w="2294" w:type="pct"/>
            <w:tcBorders>
              <w:left w:val="double" w:sz="4" w:space="0" w:color="auto"/>
              <w:right w:val="double" w:sz="4" w:space="0" w:color="auto"/>
            </w:tcBorders>
            <w:vAlign w:val="center"/>
          </w:tcPr>
          <w:p w14:paraId="4564423A" w14:textId="046E0EDD" w:rsidR="007E569C" w:rsidRPr="00111DC0" w:rsidRDefault="00EC25A8" w:rsidP="00A60E61">
            <w:pPr>
              <w:spacing w:before="0" w:after="0" w:line="259" w:lineRule="auto"/>
              <w:jc w:val="right"/>
              <w:rPr>
                <w:rFonts w:cs="Arial"/>
                <w:sz w:val="18"/>
                <w:szCs w:val="16"/>
              </w:rPr>
            </w:pPr>
            <w:r w:rsidRPr="00EC25A8">
              <w:rPr>
                <w:rFonts w:cs="Arial"/>
                <w:sz w:val="18"/>
                <w:szCs w:val="16"/>
              </w:rPr>
              <w:t xml:space="preserve">Personal </w:t>
            </w:r>
            <w:r w:rsidRPr="00111DC0">
              <w:rPr>
                <w:rFonts w:cs="Arial"/>
                <w:sz w:val="18"/>
                <w:szCs w:val="16"/>
              </w:rPr>
              <w:t>administrativo PIV PIH</w:t>
            </w:r>
          </w:p>
        </w:tc>
        <w:tc>
          <w:tcPr>
            <w:tcW w:w="798" w:type="pct"/>
            <w:tcBorders>
              <w:left w:val="double" w:sz="4" w:space="0" w:color="auto"/>
            </w:tcBorders>
            <w:vAlign w:val="center"/>
          </w:tcPr>
          <w:p w14:paraId="324D7361"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70%</w:t>
            </w:r>
          </w:p>
        </w:tc>
        <w:tc>
          <w:tcPr>
            <w:tcW w:w="828" w:type="pct"/>
            <w:tcBorders>
              <w:right w:val="double" w:sz="4" w:space="0" w:color="auto"/>
            </w:tcBorders>
            <w:vAlign w:val="center"/>
          </w:tcPr>
          <w:p w14:paraId="60500E94"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30%</w:t>
            </w:r>
          </w:p>
        </w:tc>
      </w:tr>
      <w:tr w:rsidR="007E569C" w:rsidRPr="00111DC0" w14:paraId="16148BEC" w14:textId="77777777" w:rsidTr="00C9245E">
        <w:tc>
          <w:tcPr>
            <w:tcW w:w="1080" w:type="pct"/>
            <w:tcBorders>
              <w:left w:val="double" w:sz="4" w:space="0" w:color="auto"/>
              <w:right w:val="double" w:sz="4" w:space="0" w:color="auto"/>
            </w:tcBorders>
            <w:vAlign w:val="center"/>
          </w:tcPr>
          <w:p w14:paraId="55D08CB4" w14:textId="77777777" w:rsidR="007E569C" w:rsidRPr="00111DC0" w:rsidRDefault="007E569C" w:rsidP="00A60E61">
            <w:pPr>
              <w:spacing w:before="0" w:after="0" w:line="259" w:lineRule="auto"/>
              <w:jc w:val="right"/>
              <w:rPr>
                <w:rFonts w:cs="Arial"/>
                <w:sz w:val="20"/>
                <w:szCs w:val="18"/>
              </w:rPr>
            </w:pPr>
            <w:r w:rsidRPr="00111DC0">
              <w:rPr>
                <w:rFonts w:cs="Arial"/>
                <w:sz w:val="20"/>
                <w:szCs w:val="18"/>
              </w:rPr>
              <w:t>F.11/17</w:t>
            </w:r>
          </w:p>
        </w:tc>
        <w:tc>
          <w:tcPr>
            <w:tcW w:w="2294" w:type="pct"/>
            <w:tcBorders>
              <w:left w:val="double" w:sz="4" w:space="0" w:color="auto"/>
              <w:right w:val="double" w:sz="4" w:space="0" w:color="auto"/>
            </w:tcBorders>
            <w:vAlign w:val="center"/>
          </w:tcPr>
          <w:p w14:paraId="3CB2B3BA" w14:textId="071A4EE3" w:rsidR="007E569C" w:rsidRPr="00111DC0" w:rsidRDefault="00EC25A8" w:rsidP="00A60E61">
            <w:pPr>
              <w:spacing w:before="0" w:after="0" w:line="259" w:lineRule="auto"/>
              <w:jc w:val="right"/>
              <w:rPr>
                <w:rFonts w:cs="Arial"/>
                <w:sz w:val="18"/>
                <w:szCs w:val="16"/>
              </w:rPr>
            </w:pPr>
            <w:r w:rsidRPr="00EC25A8">
              <w:rPr>
                <w:rFonts w:cs="Arial"/>
                <w:sz w:val="18"/>
                <w:szCs w:val="16"/>
              </w:rPr>
              <w:t xml:space="preserve">Personal </w:t>
            </w:r>
            <w:r w:rsidRPr="00111DC0">
              <w:rPr>
                <w:rFonts w:cs="Arial"/>
                <w:sz w:val="18"/>
                <w:szCs w:val="16"/>
              </w:rPr>
              <w:t>auxiliar AG PIV PIH</w:t>
            </w:r>
          </w:p>
        </w:tc>
        <w:tc>
          <w:tcPr>
            <w:tcW w:w="798" w:type="pct"/>
            <w:tcBorders>
              <w:left w:val="double" w:sz="4" w:space="0" w:color="auto"/>
            </w:tcBorders>
            <w:vAlign w:val="center"/>
          </w:tcPr>
          <w:p w14:paraId="2EA5B459"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78%</w:t>
            </w:r>
          </w:p>
        </w:tc>
        <w:tc>
          <w:tcPr>
            <w:tcW w:w="828" w:type="pct"/>
            <w:tcBorders>
              <w:right w:val="double" w:sz="4" w:space="0" w:color="auto"/>
            </w:tcBorders>
            <w:vAlign w:val="center"/>
          </w:tcPr>
          <w:p w14:paraId="260482A4"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22%</w:t>
            </w:r>
          </w:p>
        </w:tc>
      </w:tr>
      <w:tr w:rsidR="007E569C" w:rsidRPr="00111DC0" w14:paraId="248D9C67" w14:textId="77777777" w:rsidTr="00C9245E">
        <w:tc>
          <w:tcPr>
            <w:tcW w:w="1080" w:type="pct"/>
            <w:tcBorders>
              <w:left w:val="double" w:sz="4" w:space="0" w:color="auto"/>
              <w:right w:val="double" w:sz="4" w:space="0" w:color="auto"/>
            </w:tcBorders>
            <w:vAlign w:val="center"/>
          </w:tcPr>
          <w:p w14:paraId="2D489502" w14:textId="77777777" w:rsidR="007E569C" w:rsidRPr="00111DC0" w:rsidRDefault="007E569C" w:rsidP="00A60E61">
            <w:pPr>
              <w:spacing w:before="0" w:after="0" w:line="259" w:lineRule="auto"/>
              <w:jc w:val="right"/>
              <w:rPr>
                <w:rFonts w:cs="Arial"/>
                <w:sz w:val="20"/>
                <w:szCs w:val="18"/>
              </w:rPr>
            </w:pPr>
            <w:r w:rsidRPr="00111DC0">
              <w:rPr>
                <w:rFonts w:cs="Arial"/>
                <w:sz w:val="20"/>
                <w:szCs w:val="18"/>
              </w:rPr>
              <w:t>F.13/17</w:t>
            </w:r>
          </w:p>
        </w:tc>
        <w:tc>
          <w:tcPr>
            <w:tcW w:w="2294" w:type="pct"/>
            <w:tcBorders>
              <w:left w:val="double" w:sz="4" w:space="0" w:color="auto"/>
              <w:right w:val="double" w:sz="4" w:space="0" w:color="auto"/>
            </w:tcBorders>
            <w:vAlign w:val="center"/>
          </w:tcPr>
          <w:p w14:paraId="54893103" w14:textId="5551A21B" w:rsidR="007E569C" w:rsidRPr="00111DC0" w:rsidRDefault="00EC25A8" w:rsidP="00A60E61">
            <w:pPr>
              <w:spacing w:before="0" w:after="0" w:line="259" w:lineRule="auto"/>
              <w:jc w:val="right"/>
              <w:rPr>
                <w:rFonts w:cs="Arial"/>
                <w:sz w:val="18"/>
                <w:szCs w:val="16"/>
              </w:rPr>
            </w:pPr>
            <w:r w:rsidRPr="00EC25A8">
              <w:rPr>
                <w:rFonts w:cs="Arial"/>
                <w:sz w:val="18"/>
                <w:szCs w:val="16"/>
              </w:rPr>
              <w:t xml:space="preserve">Personal </w:t>
            </w:r>
            <w:r>
              <w:rPr>
                <w:rFonts w:cs="Arial"/>
                <w:sz w:val="18"/>
                <w:szCs w:val="16"/>
              </w:rPr>
              <w:t xml:space="preserve">de </w:t>
            </w:r>
            <w:r w:rsidRPr="00111DC0">
              <w:rPr>
                <w:rFonts w:cs="Arial"/>
                <w:sz w:val="18"/>
                <w:szCs w:val="16"/>
              </w:rPr>
              <w:t>gestión AG PIV PIH</w:t>
            </w:r>
          </w:p>
        </w:tc>
        <w:tc>
          <w:tcPr>
            <w:tcW w:w="798" w:type="pct"/>
            <w:tcBorders>
              <w:left w:val="double" w:sz="4" w:space="0" w:color="auto"/>
            </w:tcBorders>
            <w:vAlign w:val="center"/>
          </w:tcPr>
          <w:p w14:paraId="2E2A1E47"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75%</w:t>
            </w:r>
          </w:p>
        </w:tc>
        <w:tc>
          <w:tcPr>
            <w:tcW w:w="828" w:type="pct"/>
            <w:tcBorders>
              <w:right w:val="double" w:sz="4" w:space="0" w:color="auto"/>
            </w:tcBorders>
            <w:vAlign w:val="center"/>
          </w:tcPr>
          <w:p w14:paraId="20D849A2"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25%</w:t>
            </w:r>
          </w:p>
        </w:tc>
      </w:tr>
      <w:tr w:rsidR="007E569C" w:rsidRPr="00111DC0" w14:paraId="37F1ED8C" w14:textId="77777777" w:rsidTr="00C9245E">
        <w:tc>
          <w:tcPr>
            <w:tcW w:w="1080" w:type="pct"/>
            <w:tcBorders>
              <w:left w:val="double" w:sz="4" w:space="0" w:color="auto"/>
              <w:right w:val="double" w:sz="4" w:space="0" w:color="auto"/>
            </w:tcBorders>
            <w:vAlign w:val="center"/>
          </w:tcPr>
          <w:p w14:paraId="67B5D902" w14:textId="77777777" w:rsidR="007E569C" w:rsidRPr="00111DC0" w:rsidRDefault="007E569C" w:rsidP="00A60E61">
            <w:pPr>
              <w:spacing w:before="0" w:after="0" w:line="259" w:lineRule="auto"/>
              <w:jc w:val="right"/>
              <w:rPr>
                <w:rFonts w:cs="Arial"/>
                <w:sz w:val="20"/>
                <w:szCs w:val="18"/>
              </w:rPr>
            </w:pPr>
            <w:r w:rsidRPr="00111DC0">
              <w:rPr>
                <w:rFonts w:cs="Arial"/>
                <w:sz w:val="20"/>
                <w:szCs w:val="18"/>
              </w:rPr>
              <w:t>F.18/17</w:t>
            </w:r>
          </w:p>
        </w:tc>
        <w:tc>
          <w:tcPr>
            <w:tcW w:w="2294" w:type="pct"/>
            <w:tcBorders>
              <w:left w:val="double" w:sz="4" w:space="0" w:color="auto"/>
              <w:bottom w:val="single" w:sz="4" w:space="0" w:color="auto"/>
              <w:right w:val="double" w:sz="4" w:space="0" w:color="auto"/>
            </w:tcBorders>
            <w:vAlign w:val="center"/>
          </w:tcPr>
          <w:p w14:paraId="46530767" w14:textId="672510FC" w:rsidR="007E569C" w:rsidRPr="00111DC0" w:rsidRDefault="00EC25A8" w:rsidP="00A60E61">
            <w:pPr>
              <w:spacing w:before="0" w:after="0" w:line="259" w:lineRule="auto"/>
              <w:jc w:val="right"/>
              <w:rPr>
                <w:rFonts w:cs="Arial"/>
                <w:sz w:val="18"/>
                <w:szCs w:val="16"/>
              </w:rPr>
            </w:pPr>
            <w:r w:rsidRPr="00EC25A8">
              <w:rPr>
                <w:rFonts w:cs="Arial"/>
                <w:sz w:val="18"/>
                <w:szCs w:val="16"/>
              </w:rPr>
              <w:t xml:space="preserve">Personal </w:t>
            </w:r>
            <w:r w:rsidRPr="00111DC0">
              <w:rPr>
                <w:rFonts w:cs="Arial"/>
                <w:sz w:val="18"/>
                <w:szCs w:val="16"/>
              </w:rPr>
              <w:t>ingeniero agrónomo PIV</w:t>
            </w:r>
          </w:p>
        </w:tc>
        <w:tc>
          <w:tcPr>
            <w:tcW w:w="798" w:type="pct"/>
            <w:tcBorders>
              <w:left w:val="double" w:sz="4" w:space="0" w:color="auto"/>
            </w:tcBorders>
            <w:vAlign w:val="center"/>
          </w:tcPr>
          <w:p w14:paraId="7A4FE6E9"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40%</w:t>
            </w:r>
          </w:p>
        </w:tc>
        <w:tc>
          <w:tcPr>
            <w:tcW w:w="828" w:type="pct"/>
            <w:tcBorders>
              <w:right w:val="double" w:sz="4" w:space="0" w:color="auto"/>
            </w:tcBorders>
            <w:vAlign w:val="center"/>
          </w:tcPr>
          <w:p w14:paraId="665A7972"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60%</w:t>
            </w:r>
          </w:p>
        </w:tc>
      </w:tr>
      <w:tr w:rsidR="007E569C" w:rsidRPr="00111DC0" w14:paraId="02A26995" w14:textId="77777777" w:rsidTr="00C9245E">
        <w:tc>
          <w:tcPr>
            <w:tcW w:w="1080" w:type="pct"/>
            <w:tcBorders>
              <w:left w:val="double" w:sz="4" w:space="0" w:color="auto"/>
              <w:right w:val="double" w:sz="4" w:space="0" w:color="auto"/>
            </w:tcBorders>
            <w:vAlign w:val="center"/>
          </w:tcPr>
          <w:p w14:paraId="5732D33F" w14:textId="77777777" w:rsidR="007E569C" w:rsidRPr="00111DC0" w:rsidRDefault="007E569C" w:rsidP="00A60E61">
            <w:pPr>
              <w:spacing w:before="0" w:after="0" w:line="259" w:lineRule="auto"/>
              <w:jc w:val="right"/>
              <w:rPr>
                <w:rFonts w:cs="Arial"/>
                <w:sz w:val="20"/>
                <w:szCs w:val="18"/>
              </w:rPr>
            </w:pPr>
            <w:r w:rsidRPr="00111DC0">
              <w:rPr>
                <w:rFonts w:cs="Arial"/>
                <w:sz w:val="20"/>
                <w:szCs w:val="18"/>
              </w:rPr>
              <w:t>L.08/17</w:t>
            </w:r>
          </w:p>
        </w:tc>
        <w:tc>
          <w:tcPr>
            <w:tcW w:w="2294" w:type="pct"/>
            <w:tcBorders>
              <w:top w:val="single" w:sz="4" w:space="0" w:color="auto"/>
              <w:left w:val="double" w:sz="4" w:space="0" w:color="auto"/>
              <w:right w:val="double" w:sz="4" w:space="0" w:color="auto"/>
            </w:tcBorders>
            <w:vAlign w:val="center"/>
          </w:tcPr>
          <w:p w14:paraId="53DF0B5A" w14:textId="4EDEBB83" w:rsidR="007E569C" w:rsidRPr="00111DC0" w:rsidRDefault="00EC25A8" w:rsidP="00A60E61">
            <w:pPr>
              <w:spacing w:before="0" w:after="0" w:line="259" w:lineRule="auto"/>
              <w:jc w:val="right"/>
              <w:rPr>
                <w:rFonts w:cs="Arial"/>
                <w:sz w:val="18"/>
                <w:szCs w:val="16"/>
              </w:rPr>
            </w:pPr>
            <w:r>
              <w:rPr>
                <w:rFonts w:cs="Arial"/>
                <w:sz w:val="18"/>
                <w:szCs w:val="16"/>
              </w:rPr>
              <w:t>C</w:t>
            </w:r>
            <w:r w:rsidRPr="00111DC0">
              <w:rPr>
                <w:rFonts w:cs="Arial"/>
                <w:sz w:val="18"/>
                <w:szCs w:val="16"/>
              </w:rPr>
              <w:t>apataz PI</w:t>
            </w:r>
          </w:p>
        </w:tc>
        <w:tc>
          <w:tcPr>
            <w:tcW w:w="798" w:type="pct"/>
            <w:tcBorders>
              <w:left w:val="double" w:sz="4" w:space="0" w:color="auto"/>
            </w:tcBorders>
            <w:vAlign w:val="center"/>
          </w:tcPr>
          <w:p w14:paraId="2EC35204"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0%</w:t>
            </w:r>
          </w:p>
        </w:tc>
        <w:tc>
          <w:tcPr>
            <w:tcW w:w="828" w:type="pct"/>
            <w:tcBorders>
              <w:right w:val="double" w:sz="4" w:space="0" w:color="auto"/>
            </w:tcBorders>
            <w:vAlign w:val="center"/>
          </w:tcPr>
          <w:p w14:paraId="162E2086"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100%</w:t>
            </w:r>
          </w:p>
        </w:tc>
      </w:tr>
      <w:tr w:rsidR="007E569C" w:rsidRPr="00111DC0" w14:paraId="2371756F" w14:textId="77777777" w:rsidTr="00C9245E">
        <w:tc>
          <w:tcPr>
            <w:tcW w:w="1080" w:type="pct"/>
            <w:tcBorders>
              <w:left w:val="double" w:sz="4" w:space="0" w:color="auto"/>
              <w:right w:val="double" w:sz="4" w:space="0" w:color="auto"/>
            </w:tcBorders>
            <w:vAlign w:val="center"/>
          </w:tcPr>
          <w:p w14:paraId="2BB935BF" w14:textId="77777777" w:rsidR="007E569C" w:rsidRPr="00111DC0" w:rsidRDefault="007E569C" w:rsidP="00A60E61">
            <w:pPr>
              <w:spacing w:before="0" w:after="0" w:line="259" w:lineRule="auto"/>
              <w:jc w:val="right"/>
              <w:rPr>
                <w:rFonts w:cs="Arial"/>
                <w:sz w:val="20"/>
                <w:szCs w:val="18"/>
              </w:rPr>
            </w:pPr>
            <w:r w:rsidRPr="00111DC0">
              <w:rPr>
                <w:rFonts w:cs="Arial"/>
                <w:sz w:val="20"/>
                <w:szCs w:val="18"/>
              </w:rPr>
              <w:t>L.10/17</w:t>
            </w:r>
          </w:p>
        </w:tc>
        <w:tc>
          <w:tcPr>
            <w:tcW w:w="2294" w:type="pct"/>
            <w:tcBorders>
              <w:left w:val="double" w:sz="4" w:space="0" w:color="auto"/>
              <w:right w:val="double" w:sz="4" w:space="0" w:color="auto"/>
            </w:tcBorders>
            <w:vAlign w:val="center"/>
          </w:tcPr>
          <w:p w14:paraId="7B4FB834" w14:textId="66F4504B" w:rsidR="007E569C" w:rsidRPr="00111DC0" w:rsidRDefault="00EC25A8" w:rsidP="00A60E61">
            <w:pPr>
              <w:spacing w:before="0" w:after="0" w:line="259" w:lineRule="auto"/>
              <w:jc w:val="right"/>
              <w:rPr>
                <w:rFonts w:cs="Arial"/>
                <w:sz w:val="18"/>
                <w:szCs w:val="16"/>
              </w:rPr>
            </w:pPr>
            <w:r>
              <w:rPr>
                <w:rFonts w:cs="Arial"/>
                <w:sz w:val="18"/>
                <w:szCs w:val="16"/>
              </w:rPr>
              <w:t>O</w:t>
            </w:r>
            <w:r w:rsidRPr="00111DC0">
              <w:rPr>
                <w:rFonts w:cs="Arial"/>
                <w:sz w:val="18"/>
                <w:szCs w:val="16"/>
              </w:rPr>
              <w:t>ficial 1ª oficio (</w:t>
            </w:r>
            <w:r>
              <w:rPr>
                <w:rFonts w:cs="Arial"/>
                <w:sz w:val="18"/>
                <w:szCs w:val="16"/>
              </w:rPr>
              <w:t>C</w:t>
            </w:r>
            <w:r w:rsidRPr="00111DC0">
              <w:rPr>
                <w:rFonts w:cs="Arial"/>
                <w:sz w:val="18"/>
                <w:szCs w:val="16"/>
              </w:rPr>
              <w:t>ocina) PI</w:t>
            </w:r>
          </w:p>
        </w:tc>
        <w:tc>
          <w:tcPr>
            <w:tcW w:w="798" w:type="pct"/>
            <w:tcBorders>
              <w:left w:val="double" w:sz="4" w:space="0" w:color="auto"/>
            </w:tcBorders>
            <w:vAlign w:val="center"/>
          </w:tcPr>
          <w:p w14:paraId="3C5A8F3D"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67%</w:t>
            </w:r>
          </w:p>
        </w:tc>
        <w:tc>
          <w:tcPr>
            <w:tcW w:w="828" w:type="pct"/>
            <w:tcBorders>
              <w:right w:val="double" w:sz="4" w:space="0" w:color="auto"/>
            </w:tcBorders>
            <w:vAlign w:val="center"/>
          </w:tcPr>
          <w:p w14:paraId="7935E3CF"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33%</w:t>
            </w:r>
          </w:p>
        </w:tc>
      </w:tr>
      <w:tr w:rsidR="007E569C" w:rsidRPr="00111DC0" w14:paraId="79E524CC" w14:textId="77777777" w:rsidTr="00C9245E">
        <w:tc>
          <w:tcPr>
            <w:tcW w:w="1080" w:type="pct"/>
            <w:tcBorders>
              <w:left w:val="double" w:sz="4" w:space="0" w:color="auto"/>
              <w:right w:val="double" w:sz="4" w:space="0" w:color="auto"/>
            </w:tcBorders>
            <w:vAlign w:val="center"/>
          </w:tcPr>
          <w:p w14:paraId="52B2F944" w14:textId="77777777" w:rsidR="007E569C" w:rsidRPr="00111DC0" w:rsidRDefault="007E569C" w:rsidP="00A60E61">
            <w:pPr>
              <w:spacing w:before="0" w:after="0" w:line="259" w:lineRule="auto"/>
              <w:jc w:val="right"/>
              <w:rPr>
                <w:rFonts w:cs="Arial"/>
                <w:sz w:val="20"/>
                <w:szCs w:val="18"/>
              </w:rPr>
            </w:pPr>
            <w:r w:rsidRPr="00111DC0">
              <w:rPr>
                <w:rFonts w:cs="Arial"/>
                <w:sz w:val="20"/>
                <w:szCs w:val="18"/>
              </w:rPr>
              <w:t>FA.02/20</w:t>
            </w:r>
          </w:p>
        </w:tc>
        <w:tc>
          <w:tcPr>
            <w:tcW w:w="2294" w:type="pct"/>
            <w:tcBorders>
              <w:left w:val="double" w:sz="4" w:space="0" w:color="auto"/>
              <w:right w:val="double" w:sz="4" w:space="0" w:color="auto"/>
            </w:tcBorders>
            <w:vAlign w:val="center"/>
          </w:tcPr>
          <w:p w14:paraId="37118CA8" w14:textId="0D8C7AA8" w:rsidR="007E569C" w:rsidRPr="00111DC0" w:rsidRDefault="00EC25A8" w:rsidP="00A60E61">
            <w:pPr>
              <w:spacing w:before="0" w:after="0" w:line="259" w:lineRule="auto"/>
              <w:jc w:val="right"/>
              <w:rPr>
                <w:rFonts w:cs="Arial"/>
                <w:sz w:val="18"/>
                <w:szCs w:val="16"/>
              </w:rPr>
            </w:pPr>
            <w:r w:rsidRPr="00EC25A8">
              <w:rPr>
                <w:rFonts w:cs="Arial"/>
                <w:sz w:val="18"/>
                <w:szCs w:val="16"/>
              </w:rPr>
              <w:t xml:space="preserve">Personal </w:t>
            </w:r>
            <w:r w:rsidRPr="00111DC0">
              <w:rPr>
                <w:rFonts w:cs="Arial"/>
                <w:sz w:val="18"/>
                <w:szCs w:val="16"/>
              </w:rPr>
              <w:t>técnico AG PIV PIH</w:t>
            </w:r>
          </w:p>
        </w:tc>
        <w:tc>
          <w:tcPr>
            <w:tcW w:w="798" w:type="pct"/>
            <w:tcBorders>
              <w:left w:val="double" w:sz="4" w:space="0" w:color="auto"/>
            </w:tcBorders>
            <w:vAlign w:val="center"/>
          </w:tcPr>
          <w:p w14:paraId="374DD289"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78%</w:t>
            </w:r>
          </w:p>
        </w:tc>
        <w:tc>
          <w:tcPr>
            <w:tcW w:w="828" w:type="pct"/>
            <w:tcBorders>
              <w:right w:val="double" w:sz="4" w:space="0" w:color="auto"/>
            </w:tcBorders>
            <w:vAlign w:val="center"/>
          </w:tcPr>
          <w:p w14:paraId="3F92B2E0"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22%</w:t>
            </w:r>
          </w:p>
        </w:tc>
      </w:tr>
      <w:tr w:rsidR="007E569C" w:rsidRPr="00111DC0" w14:paraId="2E15F9F2" w14:textId="77777777" w:rsidTr="00C9245E">
        <w:tc>
          <w:tcPr>
            <w:tcW w:w="1080" w:type="pct"/>
            <w:tcBorders>
              <w:left w:val="double" w:sz="4" w:space="0" w:color="auto"/>
              <w:right w:val="double" w:sz="4" w:space="0" w:color="auto"/>
            </w:tcBorders>
            <w:vAlign w:val="center"/>
          </w:tcPr>
          <w:p w14:paraId="66C195C0" w14:textId="77777777" w:rsidR="007E569C" w:rsidRPr="00111DC0" w:rsidRDefault="007E569C" w:rsidP="00A60E61">
            <w:pPr>
              <w:spacing w:before="0" w:after="0" w:line="259" w:lineRule="auto"/>
              <w:jc w:val="right"/>
              <w:rPr>
                <w:rFonts w:cs="Arial"/>
                <w:sz w:val="20"/>
                <w:szCs w:val="18"/>
              </w:rPr>
            </w:pPr>
            <w:r w:rsidRPr="00111DC0">
              <w:rPr>
                <w:rFonts w:cs="Arial"/>
                <w:sz w:val="20"/>
                <w:szCs w:val="18"/>
              </w:rPr>
              <w:t>FA.19/20</w:t>
            </w:r>
          </w:p>
        </w:tc>
        <w:tc>
          <w:tcPr>
            <w:tcW w:w="2294" w:type="pct"/>
            <w:tcBorders>
              <w:left w:val="double" w:sz="4" w:space="0" w:color="auto"/>
              <w:right w:val="double" w:sz="4" w:space="0" w:color="auto"/>
            </w:tcBorders>
            <w:vAlign w:val="center"/>
          </w:tcPr>
          <w:p w14:paraId="2B9AD977" w14:textId="451440AB" w:rsidR="007E569C" w:rsidRPr="00111DC0" w:rsidRDefault="00EC25A8" w:rsidP="00A60E61">
            <w:pPr>
              <w:spacing w:before="0" w:after="0" w:line="259" w:lineRule="auto"/>
              <w:jc w:val="right"/>
              <w:rPr>
                <w:rFonts w:cs="Arial"/>
                <w:sz w:val="18"/>
                <w:szCs w:val="16"/>
              </w:rPr>
            </w:pPr>
            <w:r w:rsidRPr="00EC25A8">
              <w:rPr>
                <w:rFonts w:cs="Arial"/>
                <w:sz w:val="18"/>
                <w:szCs w:val="16"/>
              </w:rPr>
              <w:t xml:space="preserve">Personal </w:t>
            </w:r>
            <w:r w:rsidRPr="00111DC0">
              <w:rPr>
                <w:rFonts w:cs="Arial"/>
                <w:sz w:val="18"/>
                <w:szCs w:val="16"/>
              </w:rPr>
              <w:t>educador/a disc psíquica PIV</w:t>
            </w:r>
          </w:p>
        </w:tc>
        <w:tc>
          <w:tcPr>
            <w:tcW w:w="798" w:type="pct"/>
            <w:tcBorders>
              <w:left w:val="double" w:sz="4" w:space="0" w:color="auto"/>
            </w:tcBorders>
            <w:vAlign w:val="center"/>
          </w:tcPr>
          <w:p w14:paraId="6E958797"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86%</w:t>
            </w:r>
          </w:p>
        </w:tc>
        <w:tc>
          <w:tcPr>
            <w:tcW w:w="828" w:type="pct"/>
            <w:tcBorders>
              <w:right w:val="double" w:sz="4" w:space="0" w:color="auto"/>
            </w:tcBorders>
            <w:vAlign w:val="center"/>
          </w:tcPr>
          <w:p w14:paraId="797F9221"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14%</w:t>
            </w:r>
          </w:p>
        </w:tc>
      </w:tr>
      <w:tr w:rsidR="007E569C" w:rsidRPr="00111DC0" w14:paraId="11E04A6B" w14:textId="77777777" w:rsidTr="00C9245E">
        <w:tc>
          <w:tcPr>
            <w:tcW w:w="1080" w:type="pct"/>
            <w:tcBorders>
              <w:left w:val="double" w:sz="4" w:space="0" w:color="auto"/>
              <w:right w:val="double" w:sz="4" w:space="0" w:color="auto"/>
            </w:tcBorders>
            <w:vAlign w:val="center"/>
          </w:tcPr>
          <w:p w14:paraId="1C22796E" w14:textId="77777777" w:rsidR="007E569C" w:rsidRPr="00111DC0" w:rsidRDefault="007E569C" w:rsidP="00A60E61">
            <w:pPr>
              <w:spacing w:before="0" w:after="0" w:line="259" w:lineRule="auto"/>
              <w:jc w:val="right"/>
              <w:rPr>
                <w:rFonts w:cs="Arial"/>
                <w:sz w:val="20"/>
                <w:szCs w:val="18"/>
              </w:rPr>
            </w:pPr>
            <w:r w:rsidRPr="00111DC0">
              <w:rPr>
                <w:rFonts w:cs="Arial"/>
                <w:sz w:val="20"/>
                <w:szCs w:val="18"/>
              </w:rPr>
              <w:t>LA.05/20</w:t>
            </w:r>
          </w:p>
        </w:tc>
        <w:tc>
          <w:tcPr>
            <w:tcW w:w="2294" w:type="pct"/>
            <w:tcBorders>
              <w:left w:val="double" w:sz="4" w:space="0" w:color="auto"/>
              <w:right w:val="double" w:sz="4" w:space="0" w:color="auto"/>
            </w:tcBorders>
            <w:vAlign w:val="center"/>
          </w:tcPr>
          <w:p w14:paraId="7199337F" w14:textId="157D2E9B" w:rsidR="007E569C" w:rsidRPr="00111DC0" w:rsidRDefault="00EC25A8" w:rsidP="00A60E61">
            <w:pPr>
              <w:spacing w:before="0" w:after="0" w:line="259" w:lineRule="auto"/>
              <w:jc w:val="right"/>
              <w:rPr>
                <w:rFonts w:cs="Arial"/>
                <w:sz w:val="18"/>
                <w:szCs w:val="16"/>
              </w:rPr>
            </w:pPr>
            <w:r>
              <w:rPr>
                <w:rFonts w:cs="Arial"/>
                <w:sz w:val="18"/>
                <w:szCs w:val="16"/>
              </w:rPr>
              <w:t>G</w:t>
            </w:r>
            <w:r w:rsidRPr="00111DC0">
              <w:rPr>
                <w:rFonts w:cs="Arial"/>
                <w:sz w:val="18"/>
                <w:szCs w:val="16"/>
              </w:rPr>
              <w:t>obernante/a PI</w:t>
            </w:r>
          </w:p>
        </w:tc>
        <w:tc>
          <w:tcPr>
            <w:tcW w:w="798" w:type="pct"/>
            <w:tcBorders>
              <w:left w:val="double" w:sz="4" w:space="0" w:color="auto"/>
            </w:tcBorders>
            <w:vAlign w:val="center"/>
          </w:tcPr>
          <w:p w14:paraId="1D59745E"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64%</w:t>
            </w:r>
          </w:p>
        </w:tc>
        <w:tc>
          <w:tcPr>
            <w:tcW w:w="828" w:type="pct"/>
            <w:tcBorders>
              <w:right w:val="double" w:sz="4" w:space="0" w:color="auto"/>
            </w:tcBorders>
            <w:vAlign w:val="center"/>
          </w:tcPr>
          <w:p w14:paraId="0BD1FCEA"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36%</w:t>
            </w:r>
          </w:p>
        </w:tc>
      </w:tr>
      <w:tr w:rsidR="007E569C" w:rsidRPr="00111DC0" w14:paraId="6D0E5C61" w14:textId="77777777" w:rsidTr="00C9245E">
        <w:tc>
          <w:tcPr>
            <w:tcW w:w="1080" w:type="pct"/>
            <w:tcBorders>
              <w:left w:val="double" w:sz="4" w:space="0" w:color="auto"/>
              <w:right w:val="double" w:sz="4" w:space="0" w:color="auto"/>
            </w:tcBorders>
            <w:vAlign w:val="center"/>
          </w:tcPr>
          <w:p w14:paraId="6493A131" w14:textId="77777777" w:rsidR="007E569C" w:rsidRPr="00111DC0" w:rsidRDefault="007E569C" w:rsidP="00A60E61">
            <w:pPr>
              <w:spacing w:before="0" w:after="0" w:line="259" w:lineRule="auto"/>
              <w:jc w:val="right"/>
              <w:rPr>
                <w:rFonts w:cs="Arial"/>
                <w:sz w:val="20"/>
                <w:szCs w:val="18"/>
              </w:rPr>
            </w:pPr>
            <w:r w:rsidRPr="00111DC0">
              <w:rPr>
                <w:rFonts w:cs="Arial"/>
                <w:sz w:val="20"/>
                <w:szCs w:val="18"/>
              </w:rPr>
              <w:t>LA.09/20</w:t>
            </w:r>
          </w:p>
        </w:tc>
        <w:tc>
          <w:tcPr>
            <w:tcW w:w="2294" w:type="pct"/>
            <w:tcBorders>
              <w:left w:val="double" w:sz="4" w:space="0" w:color="auto"/>
              <w:right w:val="double" w:sz="4" w:space="0" w:color="auto"/>
            </w:tcBorders>
            <w:vAlign w:val="center"/>
          </w:tcPr>
          <w:p w14:paraId="0E9BC918" w14:textId="6A90B193" w:rsidR="007E569C" w:rsidRPr="00111DC0" w:rsidRDefault="00EC25A8" w:rsidP="00A60E61">
            <w:pPr>
              <w:spacing w:before="0" w:after="0" w:line="259" w:lineRule="auto"/>
              <w:jc w:val="right"/>
              <w:rPr>
                <w:rFonts w:cs="Arial"/>
                <w:sz w:val="18"/>
                <w:szCs w:val="16"/>
              </w:rPr>
            </w:pPr>
            <w:r>
              <w:rPr>
                <w:rFonts w:cs="Arial"/>
                <w:sz w:val="18"/>
                <w:szCs w:val="16"/>
              </w:rPr>
              <w:t>O</w:t>
            </w:r>
            <w:r w:rsidRPr="00111DC0">
              <w:rPr>
                <w:rFonts w:cs="Arial"/>
                <w:sz w:val="18"/>
                <w:szCs w:val="16"/>
              </w:rPr>
              <w:t>ficial 1ª oficio (mantenimiento) PI</w:t>
            </w:r>
          </w:p>
        </w:tc>
        <w:tc>
          <w:tcPr>
            <w:tcW w:w="798" w:type="pct"/>
            <w:tcBorders>
              <w:left w:val="double" w:sz="4" w:space="0" w:color="auto"/>
            </w:tcBorders>
            <w:vAlign w:val="center"/>
          </w:tcPr>
          <w:p w14:paraId="097E4D9A"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0%</w:t>
            </w:r>
          </w:p>
        </w:tc>
        <w:tc>
          <w:tcPr>
            <w:tcW w:w="828" w:type="pct"/>
            <w:tcBorders>
              <w:right w:val="double" w:sz="4" w:space="0" w:color="auto"/>
            </w:tcBorders>
            <w:vAlign w:val="center"/>
          </w:tcPr>
          <w:p w14:paraId="4D73C30B"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100%</w:t>
            </w:r>
          </w:p>
        </w:tc>
      </w:tr>
      <w:tr w:rsidR="007E569C" w:rsidRPr="00111DC0" w14:paraId="246AD833" w14:textId="77777777" w:rsidTr="00C9245E">
        <w:tc>
          <w:tcPr>
            <w:tcW w:w="1080" w:type="pct"/>
            <w:tcBorders>
              <w:left w:val="double" w:sz="4" w:space="0" w:color="auto"/>
              <w:right w:val="double" w:sz="4" w:space="0" w:color="auto"/>
            </w:tcBorders>
            <w:vAlign w:val="center"/>
          </w:tcPr>
          <w:p w14:paraId="5AFAD7D8" w14:textId="77777777" w:rsidR="007E569C" w:rsidRPr="00111DC0" w:rsidRDefault="007E569C" w:rsidP="00A60E61">
            <w:pPr>
              <w:spacing w:before="0" w:after="0" w:line="259" w:lineRule="auto"/>
              <w:jc w:val="right"/>
              <w:rPr>
                <w:rFonts w:cs="Arial"/>
                <w:sz w:val="20"/>
                <w:szCs w:val="18"/>
              </w:rPr>
            </w:pPr>
            <w:r w:rsidRPr="00111DC0">
              <w:rPr>
                <w:rFonts w:cs="Arial"/>
                <w:sz w:val="20"/>
                <w:szCs w:val="18"/>
              </w:rPr>
              <w:t>LA.12/20</w:t>
            </w:r>
          </w:p>
        </w:tc>
        <w:tc>
          <w:tcPr>
            <w:tcW w:w="2294" w:type="pct"/>
            <w:tcBorders>
              <w:left w:val="double" w:sz="4" w:space="0" w:color="auto"/>
              <w:right w:val="double" w:sz="4" w:space="0" w:color="auto"/>
            </w:tcBorders>
            <w:vAlign w:val="center"/>
          </w:tcPr>
          <w:p w14:paraId="643754CE" w14:textId="79F12573" w:rsidR="007E569C" w:rsidRPr="00111DC0" w:rsidRDefault="00EC25A8" w:rsidP="00A60E61">
            <w:pPr>
              <w:spacing w:before="0" w:after="0" w:line="259" w:lineRule="auto"/>
              <w:jc w:val="right"/>
              <w:rPr>
                <w:rFonts w:cs="Arial"/>
                <w:sz w:val="18"/>
                <w:szCs w:val="16"/>
              </w:rPr>
            </w:pPr>
            <w:r>
              <w:rPr>
                <w:rFonts w:cs="Arial"/>
                <w:sz w:val="18"/>
                <w:szCs w:val="16"/>
              </w:rPr>
              <w:t>O</w:t>
            </w:r>
            <w:r w:rsidRPr="00111DC0">
              <w:rPr>
                <w:rFonts w:cs="Arial"/>
                <w:sz w:val="18"/>
                <w:szCs w:val="16"/>
              </w:rPr>
              <w:t>ficial 1ª oficio (viveros) PIV</w:t>
            </w:r>
          </w:p>
        </w:tc>
        <w:tc>
          <w:tcPr>
            <w:tcW w:w="798" w:type="pct"/>
            <w:tcBorders>
              <w:left w:val="double" w:sz="4" w:space="0" w:color="auto"/>
            </w:tcBorders>
            <w:vAlign w:val="center"/>
          </w:tcPr>
          <w:p w14:paraId="39BD4CC9"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0%</w:t>
            </w:r>
          </w:p>
        </w:tc>
        <w:tc>
          <w:tcPr>
            <w:tcW w:w="828" w:type="pct"/>
            <w:tcBorders>
              <w:right w:val="double" w:sz="4" w:space="0" w:color="auto"/>
            </w:tcBorders>
            <w:vAlign w:val="center"/>
          </w:tcPr>
          <w:p w14:paraId="2E378EB7"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100%</w:t>
            </w:r>
          </w:p>
        </w:tc>
      </w:tr>
      <w:tr w:rsidR="007E569C" w:rsidRPr="00111DC0" w14:paraId="11D9C511" w14:textId="77777777" w:rsidTr="00C9245E">
        <w:tc>
          <w:tcPr>
            <w:tcW w:w="1080" w:type="pct"/>
            <w:tcBorders>
              <w:left w:val="double" w:sz="4" w:space="0" w:color="auto"/>
              <w:right w:val="double" w:sz="4" w:space="0" w:color="auto"/>
            </w:tcBorders>
            <w:vAlign w:val="center"/>
          </w:tcPr>
          <w:p w14:paraId="31F4EE93" w14:textId="77777777" w:rsidR="007E569C" w:rsidRPr="00111DC0" w:rsidRDefault="007E569C" w:rsidP="00A60E61">
            <w:pPr>
              <w:spacing w:before="0" w:after="0" w:line="259" w:lineRule="auto"/>
              <w:jc w:val="right"/>
              <w:rPr>
                <w:rFonts w:cs="Arial"/>
                <w:sz w:val="20"/>
                <w:szCs w:val="18"/>
              </w:rPr>
            </w:pPr>
            <w:r w:rsidRPr="00111DC0">
              <w:rPr>
                <w:rFonts w:cs="Arial"/>
                <w:sz w:val="20"/>
                <w:szCs w:val="18"/>
              </w:rPr>
              <w:t>LA.21/20</w:t>
            </w:r>
          </w:p>
        </w:tc>
        <w:tc>
          <w:tcPr>
            <w:tcW w:w="2294" w:type="pct"/>
            <w:tcBorders>
              <w:left w:val="double" w:sz="4" w:space="0" w:color="auto"/>
              <w:right w:val="double" w:sz="4" w:space="0" w:color="auto"/>
            </w:tcBorders>
            <w:vAlign w:val="center"/>
          </w:tcPr>
          <w:p w14:paraId="1C715346" w14:textId="1C5FBF35" w:rsidR="007E569C" w:rsidRPr="00111DC0" w:rsidRDefault="00EC25A8" w:rsidP="00A60E61">
            <w:pPr>
              <w:spacing w:before="0" w:after="0" w:line="259" w:lineRule="auto"/>
              <w:jc w:val="right"/>
              <w:rPr>
                <w:rFonts w:cs="Arial"/>
                <w:sz w:val="18"/>
                <w:szCs w:val="16"/>
              </w:rPr>
            </w:pPr>
            <w:r w:rsidRPr="00EC25A8">
              <w:rPr>
                <w:rFonts w:cs="Arial"/>
                <w:sz w:val="18"/>
                <w:szCs w:val="16"/>
              </w:rPr>
              <w:t xml:space="preserve">Personal </w:t>
            </w:r>
            <w:r w:rsidRPr="00111DC0">
              <w:rPr>
                <w:rFonts w:cs="Arial"/>
                <w:sz w:val="18"/>
                <w:szCs w:val="16"/>
              </w:rPr>
              <w:t>operador de m</w:t>
            </w:r>
            <w:r>
              <w:rPr>
                <w:rFonts w:cs="Arial"/>
                <w:sz w:val="18"/>
                <w:szCs w:val="16"/>
              </w:rPr>
              <w:t>á</w:t>
            </w:r>
            <w:r w:rsidRPr="00111DC0">
              <w:rPr>
                <w:rFonts w:cs="Arial"/>
                <w:sz w:val="18"/>
                <w:szCs w:val="16"/>
              </w:rPr>
              <w:t>quina PI</w:t>
            </w:r>
          </w:p>
        </w:tc>
        <w:tc>
          <w:tcPr>
            <w:tcW w:w="798" w:type="pct"/>
            <w:tcBorders>
              <w:left w:val="double" w:sz="4" w:space="0" w:color="auto"/>
            </w:tcBorders>
            <w:vAlign w:val="center"/>
          </w:tcPr>
          <w:p w14:paraId="42945E0D"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0%</w:t>
            </w:r>
          </w:p>
        </w:tc>
        <w:tc>
          <w:tcPr>
            <w:tcW w:w="828" w:type="pct"/>
            <w:tcBorders>
              <w:right w:val="double" w:sz="4" w:space="0" w:color="auto"/>
            </w:tcBorders>
            <w:vAlign w:val="center"/>
          </w:tcPr>
          <w:p w14:paraId="50E8E659" w14:textId="77777777" w:rsidR="007E569C" w:rsidRPr="00111DC0" w:rsidRDefault="007E569C" w:rsidP="000F4CC1">
            <w:pPr>
              <w:spacing w:before="0" w:after="0" w:line="259" w:lineRule="auto"/>
              <w:jc w:val="center"/>
              <w:rPr>
                <w:rFonts w:cs="Arial"/>
                <w:sz w:val="20"/>
                <w:szCs w:val="18"/>
              </w:rPr>
            </w:pPr>
            <w:r w:rsidRPr="00111DC0">
              <w:rPr>
                <w:rFonts w:cs="Arial"/>
                <w:sz w:val="20"/>
                <w:szCs w:val="18"/>
              </w:rPr>
              <w:t>100%</w:t>
            </w:r>
          </w:p>
        </w:tc>
      </w:tr>
      <w:tr w:rsidR="007E569C" w:rsidRPr="00111DC0" w14:paraId="3E415F22" w14:textId="77777777" w:rsidTr="00C9245E">
        <w:tc>
          <w:tcPr>
            <w:tcW w:w="1080" w:type="pct"/>
            <w:tcBorders>
              <w:left w:val="double" w:sz="4" w:space="0" w:color="auto"/>
              <w:bottom w:val="double" w:sz="4" w:space="0" w:color="auto"/>
              <w:right w:val="double" w:sz="4" w:space="0" w:color="auto"/>
            </w:tcBorders>
            <w:vAlign w:val="center"/>
          </w:tcPr>
          <w:p w14:paraId="6A69E3C2" w14:textId="77777777" w:rsidR="007E569C" w:rsidRPr="00111DC0" w:rsidRDefault="007E569C" w:rsidP="00A60E61">
            <w:pPr>
              <w:spacing w:before="0" w:after="0" w:line="259" w:lineRule="auto"/>
              <w:jc w:val="right"/>
              <w:rPr>
                <w:rFonts w:cs="Arial"/>
                <w:b/>
                <w:bCs/>
                <w:sz w:val="20"/>
                <w:szCs w:val="18"/>
              </w:rPr>
            </w:pPr>
            <w:r w:rsidRPr="00111DC0">
              <w:rPr>
                <w:rFonts w:cs="Arial"/>
                <w:b/>
                <w:bCs/>
                <w:sz w:val="20"/>
                <w:szCs w:val="18"/>
              </w:rPr>
              <w:t>TOTAL</w:t>
            </w:r>
          </w:p>
        </w:tc>
        <w:tc>
          <w:tcPr>
            <w:tcW w:w="2294" w:type="pct"/>
            <w:tcBorders>
              <w:left w:val="double" w:sz="4" w:space="0" w:color="auto"/>
              <w:bottom w:val="double" w:sz="4" w:space="0" w:color="auto"/>
              <w:right w:val="double" w:sz="4" w:space="0" w:color="auto"/>
            </w:tcBorders>
            <w:vAlign w:val="center"/>
          </w:tcPr>
          <w:p w14:paraId="7B53675C" w14:textId="77777777" w:rsidR="007E569C" w:rsidRPr="00111DC0" w:rsidRDefault="007E569C" w:rsidP="00A60E61">
            <w:pPr>
              <w:spacing w:before="0" w:after="0" w:line="259" w:lineRule="auto"/>
              <w:jc w:val="right"/>
              <w:rPr>
                <w:rFonts w:cs="Arial"/>
                <w:b/>
                <w:bCs/>
                <w:sz w:val="18"/>
                <w:szCs w:val="16"/>
              </w:rPr>
            </w:pPr>
            <w:r w:rsidRPr="00111DC0">
              <w:rPr>
                <w:rFonts w:cs="Arial"/>
                <w:b/>
                <w:bCs/>
                <w:sz w:val="18"/>
                <w:szCs w:val="16"/>
              </w:rPr>
              <w:t>Promoción interna vertical y horizontal</w:t>
            </w:r>
          </w:p>
        </w:tc>
        <w:tc>
          <w:tcPr>
            <w:tcW w:w="798" w:type="pct"/>
            <w:tcBorders>
              <w:left w:val="double" w:sz="4" w:space="0" w:color="auto"/>
              <w:bottom w:val="double" w:sz="4" w:space="0" w:color="auto"/>
            </w:tcBorders>
            <w:vAlign w:val="center"/>
          </w:tcPr>
          <w:p w14:paraId="49B1251D" w14:textId="77777777" w:rsidR="007E569C" w:rsidRPr="00111DC0" w:rsidRDefault="007E569C" w:rsidP="000F4CC1">
            <w:pPr>
              <w:spacing w:before="0" w:after="0" w:line="259" w:lineRule="auto"/>
              <w:jc w:val="center"/>
              <w:rPr>
                <w:rFonts w:cs="Arial"/>
                <w:b/>
                <w:bCs/>
                <w:sz w:val="20"/>
                <w:szCs w:val="18"/>
              </w:rPr>
            </w:pPr>
            <w:r w:rsidRPr="00111DC0">
              <w:rPr>
                <w:rFonts w:cs="Arial"/>
                <w:b/>
                <w:bCs/>
                <w:sz w:val="20"/>
                <w:szCs w:val="18"/>
              </w:rPr>
              <w:t>56%</w:t>
            </w:r>
          </w:p>
        </w:tc>
        <w:tc>
          <w:tcPr>
            <w:tcW w:w="828" w:type="pct"/>
            <w:tcBorders>
              <w:bottom w:val="double" w:sz="4" w:space="0" w:color="auto"/>
              <w:right w:val="double" w:sz="4" w:space="0" w:color="auto"/>
            </w:tcBorders>
            <w:vAlign w:val="center"/>
          </w:tcPr>
          <w:p w14:paraId="2BE9AA92" w14:textId="77777777" w:rsidR="007E569C" w:rsidRPr="00111DC0" w:rsidRDefault="007E569C" w:rsidP="000F4CC1">
            <w:pPr>
              <w:spacing w:before="0" w:after="0" w:line="259" w:lineRule="auto"/>
              <w:jc w:val="center"/>
              <w:rPr>
                <w:rFonts w:cs="Arial"/>
                <w:b/>
                <w:bCs/>
                <w:sz w:val="20"/>
                <w:szCs w:val="18"/>
              </w:rPr>
            </w:pPr>
            <w:r w:rsidRPr="00111DC0">
              <w:rPr>
                <w:rFonts w:cs="Arial"/>
                <w:b/>
                <w:bCs/>
                <w:sz w:val="20"/>
                <w:szCs w:val="18"/>
              </w:rPr>
              <w:t>44%</w:t>
            </w:r>
          </w:p>
        </w:tc>
      </w:tr>
    </w:tbl>
    <w:p w14:paraId="55E92C44" w14:textId="69EC366A" w:rsidR="009B68CB" w:rsidRPr="00111DC0" w:rsidRDefault="009B68CB">
      <w:pPr>
        <w:spacing w:before="0" w:after="160" w:line="259" w:lineRule="auto"/>
        <w:jc w:val="left"/>
        <w:rPr>
          <w:rFonts w:cs="Arial"/>
        </w:rPr>
      </w:pPr>
    </w:p>
    <w:p w14:paraId="3FA3DF07" w14:textId="77777777" w:rsidR="00B12F31" w:rsidRDefault="00B12F31" w:rsidP="00F40CFA">
      <w:pPr>
        <w:rPr>
          <w:rFonts w:cs="Arial"/>
        </w:rPr>
      </w:pPr>
    </w:p>
    <w:p w14:paraId="47EE6252" w14:textId="6B3DDF13" w:rsidR="00731415" w:rsidRPr="00111DC0" w:rsidRDefault="00C9245E" w:rsidP="00F40CFA">
      <w:pPr>
        <w:rPr>
          <w:rFonts w:cs="Arial"/>
        </w:rPr>
      </w:pPr>
      <w:r>
        <w:rPr>
          <w:rFonts w:cs="Arial"/>
        </w:rPr>
        <w:t>En</w:t>
      </w:r>
      <w:r w:rsidR="009B68CB" w:rsidRPr="00111DC0">
        <w:rPr>
          <w:rFonts w:cs="Arial"/>
        </w:rPr>
        <w:t xml:space="preserve"> el Personal </w:t>
      </w:r>
      <w:r w:rsidR="00F40CFA" w:rsidRPr="00111DC0">
        <w:rPr>
          <w:rFonts w:cs="Arial"/>
        </w:rPr>
        <w:t>las solicitudes femeninas alcanzan el 84%</w:t>
      </w:r>
      <w:r>
        <w:rPr>
          <w:rFonts w:cs="Arial"/>
        </w:rPr>
        <w:t xml:space="preserve"> en 2021</w:t>
      </w:r>
      <w:r w:rsidR="00F40CFA" w:rsidRPr="00111DC0">
        <w:rPr>
          <w:rFonts w:cs="Arial"/>
        </w:rPr>
        <w:t xml:space="preserve">. Comparado este dato con el </w:t>
      </w:r>
      <w:r w:rsidR="005B07A4" w:rsidRPr="00111DC0">
        <w:rPr>
          <w:rFonts w:cs="Arial"/>
        </w:rPr>
        <w:t xml:space="preserve">77% </w:t>
      </w:r>
      <w:r w:rsidR="00F40CFA" w:rsidRPr="00111DC0">
        <w:rPr>
          <w:rFonts w:cs="Arial"/>
        </w:rPr>
        <w:t xml:space="preserve">de mujeres </w:t>
      </w:r>
      <w:r w:rsidR="005B07A4" w:rsidRPr="00111DC0">
        <w:rPr>
          <w:rFonts w:cs="Arial"/>
        </w:rPr>
        <w:t>que conforman el grupo A1</w:t>
      </w:r>
      <w:r w:rsidR="00F40CFA" w:rsidRPr="00111DC0">
        <w:rPr>
          <w:rFonts w:cs="Arial"/>
        </w:rPr>
        <w:t xml:space="preserve">, se aprecia que </w:t>
      </w:r>
      <w:r w:rsidR="000E005B" w:rsidRPr="00111DC0">
        <w:rPr>
          <w:rFonts w:cs="Arial"/>
          <w:b/>
          <w:bCs/>
        </w:rPr>
        <w:t xml:space="preserve">se produce </w:t>
      </w:r>
      <w:r w:rsidR="00BD7CE0" w:rsidRPr="00111DC0">
        <w:rPr>
          <w:rFonts w:cs="Arial"/>
          <w:b/>
          <w:bCs/>
        </w:rPr>
        <w:t xml:space="preserve">un incremento </w:t>
      </w:r>
      <w:r w:rsidR="00F40CFA" w:rsidRPr="00111DC0">
        <w:rPr>
          <w:rFonts w:cs="Arial"/>
          <w:b/>
          <w:bCs/>
        </w:rPr>
        <w:t xml:space="preserve">de 7 puntos porcentuales </w:t>
      </w:r>
      <w:r w:rsidR="00BD7CE0" w:rsidRPr="00111DC0">
        <w:rPr>
          <w:rFonts w:cs="Arial"/>
          <w:b/>
          <w:bCs/>
        </w:rPr>
        <w:t>en las solicitudes femeninas</w:t>
      </w:r>
      <w:r w:rsidR="005E6EF8" w:rsidRPr="00111DC0">
        <w:rPr>
          <w:rFonts w:cs="Arial"/>
        </w:rPr>
        <w:t xml:space="preserve">. </w:t>
      </w:r>
    </w:p>
    <w:tbl>
      <w:tblPr>
        <w:tblStyle w:val="Tablaconcuadrcula"/>
        <w:tblW w:w="4938" w:type="pct"/>
        <w:tblInd w:w="108" w:type="dxa"/>
        <w:tblLook w:val="04A0" w:firstRow="1" w:lastRow="0" w:firstColumn="1" w:lastColumn="0" w:noHBand="0" w:noVBand="1"/>
      </w:tblPr>
      <w:tblGrid>
        <w:gridCol w:w="1861"/>
        <w:gridCol w:w="3951"/>
        <w:gridCol w:w="1374"/>
        <w:gridCol w:w="1426"/>
      </w:tblGrid>
      <w:tr w:rsidR="00BD7CE0" w:rsidRPr="00111DC0" w14:paraId="11BE529B" w14:textId="77777777" w:rsidTr="00B12F31">
        <w:trPr>
          <w:trHeight w:val="506"/>
        </w:trPr>
        <w:tc>
          <w:tcPr>
            <w:tcW w:w="5000" w:type="pct"/>
            <w:gridSpan w:val="4"/>
            <w:tcBorders>
              <w:top w:val="double" w:sz="4" w:space="0" w:color="auto"/>
              <w:left w:val="double" w:sz="4" w:space="0" w:color="auto"/>
              <w:bottom w:val="double" w:sz="4" w:space="0" w:color="auto"/>
              <w:right w:val="double" w:sz="4" w:space="0" w:color="auto"/>
            </w:tcBorders>
            <w:shd w:val="clear" w:color="auto" w:fill="78BE20"/>
            <w:vAlign w:val="center"/>
          </w:tcPr>
          <w:p w14:paraId="47D4954C" w14:textId="69EB2291" w:rsidR="00BD7CE0" w:rsidRPr="00111DC0" w:rsidRDefault="00BD7CE0" w:rsidP="000F4CC1">
            <w:pPr>
              <w:widowControl w:val="0"/>
              <w:spacing w:before="0" w:after="0" w:line="240" w:lineRule="auto"/>
              <w:jc w:val="left"/>
              <w:rPr>
                <w:rFonts w:cs="Arial"/>
                <w:b/>
                <w:bCs/>
                <w:color w:val="FFFFFF" w:themeColor="background1"/>
                <w:szCs w:val="20"/>
              </w:rPr>
            </w:pPr>
            <w:r w:rsidRPr="00111DC0">
              <w:rPr>
                <w:rFonts w:cs="Arial"/>
                <w:b/>
                <w:bCs/>
                <w:color w:val="FFFFFF" w:themeColor="background1"/>
                <w:szCs w:val="20"/>
              </w:rPr>
              <w:t xml:space="preserve">Tabla </w:t>
            </w:r>
            <w:r w:rsidR="00A20210">
              <w:rPr>
                <w:rFonts w:cs="Arial"/>
                <w:b/>
                <w:bCs/>
                <w:color w:val="FFFFFF" w:themeColor="background1"/>
                <w:szCs w:val="20"/>
              </w:rPr>
              <w:t>9</w:t>
            </w:r>
            <w:r w:rsidRPr="00111DC0">
              <w:rPr>
                <w:rFonts w:cs="Arial"/>
                <w:b/>
                <w:bCs/>
                <w:color w:val="FFFFFF" w:themeColor="background1"/>
                <w:szCs w:val="20"/>
              </w:rPr>
              <w:t xml:space="preserve">. Distribución por sexo y solicitudes en promoción interna </w:t>
            </w:r>
          </w:p>
          <w:p w14:paraId="4170717B" w14:textId="5C14B743" w:rsidR="00BD7CE0" w:rsidRPr="00111DC0" w:rsidRDefault="00BD7CE0" w:rsidP="000F4CC1">
            <w:pPr>
              <w:widowControl w:val="0"/>
              <w:spacing w:before="0" w:after="0" w:line="240" w:lineRule="auto"/>
              <w:jc w:val="left"/>
              <w:rPr>
                <w:rFonts w:eastAsiaTheme="majorEastAsia" w:cs="Arial"/>
                <w:b/>
                <w:bCs/>
                <w:snapToGrid w:val="0"/>
                <w:color w:val="78BE20"/>
                <w:szCs w:val="26"/>
              </w:rPr>
            </w:pPr>
            <w:r w:rsidRPr="00111DC0">
              <w:rPr>
                <w:rFonts w:cs="Arial"/>
                <w:color w:val="FFFFFF" w:themeColor="background1"/>
                <w:szCs w:val="20"/>
              </w:rPr>
              <w:t>(Personal Docente)</w:t>
            </w:r>
          </w:p>
        </w:tc>
      </w:tr>
      <w:tr w:rsidR="00BD7CE0" w:rsidRPr="00111DC0" w14:paraId="30DF58B6" w14:textId="77777777" w:rsidTr="00B12F31">
        <w:trPr>
          <w:trHeight w:val="387"/>
        </w:trPr>
        <w:tc>
          <w:tcPr>
            <w:tcW w:w="1080" w:type="pct"/>
            <w:tcBorders>
              <w:top w:val="double" w:sz="4" w:space="0" w:color="auto"/>
              <w:left w:val="double" w:sz="4" w:space="0" w:color="auto"/>
              <w:bottom w:val="double" w:sz="4" w:space="0" w:color="auto"/>
              <w:right w:val="double" w:sz="4" w:space="0" w:color="auto"/>
            </w:tcBorders>
            <w:vAlign w:val="center"/>
          </w:tcPr>
          <w:p w14:paraId="4D73AC65" w14:textId="77777777" w:rsidR="00BD7CE0" w:rsidRPr="00111DC0" w:rsidRDefault="00BD7CE0" w:rsidP="00A60E61">
            <w:pPr>
              <w:spacing w:before="0" w:after="0" w:line="259" w:lineRule="auto"/>
              <w:jc w:val="right"/>
              <w:rPr>
                <w:rFonts w:eastAsiaTheme="majorEastAsia" w:cs="Arial"/>
                <w:b/>
                <w:bCs/>
                <w:snapToGrid w:val="0"/>
                <w:color w:val="78BE20"/>
                <w:szCs w:val="26"/>
              </w:rPr>
            </w:pPr>
            <w:r w:rsidRPr="00111DC0">
              <w:rPr>
                <w:rFonts w:eastAsiaTheme="majorEastAsia" w:cs="Arial"/>
                <w:b/>
                <w:bCs/>
                <w:snapToGrid w:val="0"/>
                <w:color w:val="78BE20"/>
                <w:sz w:val="20"/>
                <w:szCs w:val="24"/>
              </w:rPr>
              <w:t>CONVOCATORIA</w:t>
            </w:r>
          </w:p>
        </w:tc>
        <w:tc>
          <w:tcPr>
            <w:tcW w:w="2294" w:type="pct"/>
            <w:tcBorders>
              <w:left w:val="double" w:sz="4" w:space="0" w:color="auto"/>
              <w:bottom w:val="double" w:sz="4" w:space="0" w:color="auto"/>
              <w:right w:val="double" w:sz="4" w:space="0" w:color="auto"/>
            </w:tcBorders>
            <w:vAlign w:val="center"/>
          </w:tcPr>
          <w:p w14:paraId="69A97F59" w14:textId="77777777" w:rsidR="00BD7CE0" w:rsidRPr="00111DC0" w:rsidRDefault="00BD7CE0" w:rsidP="00A60E61">
            <w:pPr>
              <w:spacing w:before="0" w:after="0" w:line="259" w:lineRule="auto"/>
              <w:jc w:val="right"/>
              <w:rPr>
                <w:rFonts w:eastAsiaTheme="majorEastAsia" w:cs="Arial"/>
                <w:b/>
                <w:bCs/>
                <w:snapToGrid w:val="0"/>
                <w:color w:val="78BE20"/>
                <w:szCs w:val="26"/>
              </w:rPr>
            </w:pPr>
            <w:r w:rsidRPr="00111DC0">
              <w:rPr>
                <w:rFonts w:eastAsiaTheme="majorEastAsia" w:cs="Arial"/>
                <w:b/>
                <w:bCs/>
                <w:snapToGrid w:val="0"/>
                <w:color w:val="78BE20"/>
                <w:szCs w:val="26"/>
              </w:rPr>
              <w:t>PUESTO</w:t>
            </w:r>
          </w:p>
        </w:tc>
        <w:tc>
          <w:tcPr>
            <w:tcW w:w="798" w:type="pct"/>
            <w:tcBorders>
              <w:left w:val="double" w:sz="4" w:space="0" w:color="auto"/>
              <w:bottom w:val="double" w:sz="4" w:space="0" w:color="auto"/>
              <w:right w:val="double" w:sz="4" w:space="0" w:color="auto"/>
            </w:tcBorders>
            <w:vAlign w:val="center"/>
          </w:tcPr>
          <w:p w14:paraId="26875F50" w14:textId="77777777" w:rsidR="00BD7CE0" w:rsidRPr="00111DC0" w:rsidRDefault="00BD7CE0" w:rsidP="000F4CC1">
            <w:pPr>
              <w:widowControl w:val="0"/>
              <w:spacing w:before="0" w:after="0" w:line="240" w:lineRule="auto"/>
              <w:jc w:val="center"/>
              <w:rPr>
                <w:rFonts w:eastAsiaTheme="majorEastAsia" w:cs="Arial"/>
                <w:b/>
                <w:bCs/>
                <w:snapToGrid w:val="0"/>
                <w:color w:val="78BE20"/>
                <w:szCs w:val="26"/>
              </w:rPr>
            </w:pPr>
            <w:r w:rsidRPr="00111DC0">
              <w:rPr>
                <w:rFonts w:cs="Arial"/>
                <w:b/>
                <w:bCs/>
                <w:sz w:val="20"/>
                <w:szCs w:val="18"/>
              </w:rPr>
              <w:t>MUJERES</w:t>
            </w:r>
          </w:p>
        </w:tc>
        <w:tc>
          <w:tcPr>
            <w:tcW w:w="828" w:type="pct"/>
            <w:tcBorders>
              <w:left w:val="double" w:sz="4" w:space="0" w:color="auto"/>
              <w:right w:val="double" w:sz="4" w:space="0" w:color="auto"/>
            </w:tcBorders>
            <w:vAlign w:val="center"/>
          </w:tcPr>
          <w:p w14:paraId="32603BB5" w14:textId="77777777" w:rsidR="00BD7CE0" w:rsidRPr="00111DC0" w:rsidRDefault="00BD7CE0" w:rsidP="000F4CC1">
            <w:pPr>
              <w:widowControl w:val="0"/>
              <w:spacing w:before="0" w:after="0" w:line="240" w:lineRule="auto"/>
              <w:jc w:val="center"/>
              <w:rPr>
                <w:rFonts w:eastAsiaTheme="majorEastAsia" w:cs="Arial"/>
                <w:b/>
                <w:bCs/>
                <w:snapToGrid w:val="0"/>
                <w:color w:val="78BE20"/>
                <w:szCs w:val="26"/>
              </w:rPr>
            </w:pPr>
            <w:r w:rsidRPr="00111DC0">
              <w:rPr>
                <w:rFonts w:cs="Arial"/>
                <w:b/>
                <w:bCs/>
                <w:sz w:val="20"/>
                <w:szCs w:val="18"/>
              </w:rPr>
              <w:t>HOMBRES</w:t>
            </w:r>
          </w:p>
        </w:tc>
      </w:tr>
      <w:tr w:rsidR="00BD7CE0" w:rsidRPr="00111DC0" w14:paraId="67A001A1" w14:textId="77777777" w:rsidTr="007570E0">
        <w:tc>
          <w:tcPr>
            <w:tcW w:w="1080" w:type="pct"/>
            <w:tcBorders>
              <w:top w:val="double" w:sz="4" w:space="0" w:color="auto"/>
              <w:left w:val="double" w:sz="4" w:space="0" w:color="auto"/>
              <w:right w:val="double" w:sz="4" w:space="0" w:color="auto"/>
            </w:tcBorders>
            <w:vAlign w:val="center"/>
          </w:tcPr>
          <w:p w14:paraId="035AFC50" w14:textId="2890D58A" w:rsidR="00BD7CE0" w:rsidRPr="00111DC0" w:rsidRDefault="00BD7CE0" w:rsidP="00A60E61">
            <w:pPr>
              <w:spacing w:before="0" w:after="0" w:line="259" w:lineRule="auto"/>
              <w:jc w:val="right"/>
              <w:rPr>
                <w:rFonts w:cs="Arial"/>
                <w:sz w:val="20"/>
                <w:szCs w:val="18"/>
              </w:rPr>
            </w:pPr>
            <w:r w:rsidRPr="00111DC0">
              <w:rPr>
                <w:rFonts w:cs="Arial"/>
                <w:sz w:val="20"/>
                <w:szCs w:val="18"/>
              </w:rPr>
              <w:t>2018</w:t>
            </w:r>
          </w:p>
        </w:tc>
        <w:tc>
          <w:tcPr>
            <w:tcW w:w="2294" w:type="pct"/>
            <w:tcBorders>
              <w:top w:val="double" w:sz="4" w:space="0" w:color="auto"/>
              <w:left w:val="double" w:sz="4" w:space="0" w:color="auto"/>
              <w:right w:val="double" w:sz="4" w:space="0" w:color="auto"/>
            </w:tcBorders>
            <w:vAlign w:val="center"/>
          </w:tcPr>
          <w:p w14:paraId="548E3365" w14:textId="4F2ADB66" w:rsidR="00BD7CE0" w:rsidRPr="00111DC0" w:rsidRDefault="004E729C" w:rsidP="00A60E61">
            <w:pPr>
              <w:spacing w:before="0" w:after="0" w:line="259" w:lineRule="auto"/>
              <w:jc w:val="right"/>
              <w:rPr>
                <w:rFonts w:cs="Arial"/>
                <w:sz w:val="18"/>
                <w:szCs w:val="16"/>
              </w:rPr>
            </w:pPr>
            <w:r w:rsidRPr="00111DC0">
              <w:rPr>
                <w:rFonts w:cs="Arial"/>
                <w:sz w:val="18"/>
                <w:szCs w:val="16"/>
              </w:rPr>
              <w:t>PI. S</w:t>
            </w:r>
            <w:r w:rsidR="00EC25A8">
              <w:rPr>
                <w:rFonts w:cs="Arial"/>
                <w:sz w:val="18"/>
                <w:szCs w:val="16"/>
              </w:rPr>
              <w:t>ecundaria</w:t>
            </w:r>
          </w:p>
        </w:tc>
        <w:tc>
          <w:tcPr>
            <w:tcW w:w="798" w:type="pct"/>
            <w:tcBorders>
              <w:top w:val="double" w:sz="4" w:space="0" w:color="auto"/>
              <w:left w:val="double" w:sz="4" w:space="0" w:color="auto"/>
              <w:right w:val="double" w:sz="4" w:space="0" w:color="auto"/>
            </w:tcBorders>
            <w:vAlign w:val="center"/>
          </w:tcPr>
          <w:p w14:paraId="6E569B94" w14:textId="4CCB487A" w:rsidR="00BD7CE0" w:rsidRPr="00111DC0" w:rsidRDefault="00731415" w:rsidP="00BD7CE0">
            <w:pPr>
              <w:spacing w:before="0" w:after="0" w:line="259" w:lineRule="auto"/>
              <w:jc w:val="center"/>
              <w:rPr>
                <w:rFonts w:cs="Arial"/>
                <w:sz w:val="20"/>
                <w:szCs w:val="18"/>
              </w:rPr>
            </w:pPr>
            <w:r w:rsidRPr="00111DC0">
              <w:rPr>
                <w:rFonts w:cs="Arial"/>
                <w:sz w:val="20"/>
                <w:szCs w:val="18"/>
              </w:rPr>
              <w:t>0</w:t>
            </w:r>
            <w:r w:rsidR="00BD7CE0" w:rsidRPr="00111DC0">
              <w:rPr>
                <w:rFonts w:cs="Arial"/>
                <w:sz w:val="20"/>
                <w:szCs w:val="18"/>
              </w:rPr>
              <w:t>%</w:t>
            </w:r>
          </w:p>
        </w:tc>
        <w:tc>
          <w:tcPr>
            <w:tcW w:w="828" w:type="pct"/>
            <w:tcBorders>
              <w:left w:val="double" w:sz="4" w:space="0" w:color="auto"/>
              <w:right w:val="double" w:sz="4" w:space="0" w:color="auto"/>
            </w:tcBorders>
            <w:vAlign w:val="center"/>
          </w:tcPr>
          <w:p w14:paraId="0B9B8091" w14:textId="7C04594B" w:rsidR="00BD7CE0" w:rsidRPr="00111DC0" w:rsidRDefault="00731415" w:rsidP="00BD7CE0">
            <w:pPr>
              <w:spacing w:before="0" w:after="0" w:line="259" w:lineRule="auto"/>
              <w:jc w:val="center"/>
              <w:rPr>
                <w:rFonts w:cs="Arial"/>
                <w:sz w:val="20"/>
                <w:szCs w:val="18"/>
              </w:rPr>
            </w:pPr>
            <w:r w:rsidRPr="00111DC0">
              <w:rPr>
                <w:rFonts w:cs="Arial"/>
                <w:sz w:val="20"/>
                <w:szCs w:val="18"/>
              </w:rPr>
              <w:t>100</w:t>
            </w:r>
            <w:r w:rsidR="00BD7CE0" w:rsidRPr="00111DC0">
              <w:rPr>
                <w:rFonts w:cs="Arial"/>
                <w:sz w:val="20"/>
                <w:szCs w:val="18"/>
              </w:rPr>
              <w:t>%</w:t>
            </w:r>
          </w:p>
        </w:tc>
      </w:tr>
      <w:tr w:rsidR="00BD7CE0" w:rsidRPr="00111DC0" w14:paraId="0E65D300" w14:textId="77777777" w:rsidTr="007570E0">
        <w:tc>
          <w:tcPr>
            <w:tcW w:w="1080" w:type="pct"/>
            <w:tcBorders>
              <w:left w:val="double" w:sz="4" w:space="0" w:color="auto"/>
              <w:bottom w:val="double" w:sz="4" w:space="0" w:color="auto"/>
              <w:right w:val="double" w:sz="4" w:space="0" w:color="auto"/>
            </w:tcBorders>
            <w:vAlign w:val="center"/>
          </w:tcPr>
          <w:p w14:paraId="006B7E38" w14:textId="11B0B4E4" w:rsidR="00BD7CE0" w:rsidRPr="00111DC0" w:rsidRDefault="00BD7CE0" w:rsidP="00A60E61">
            <w:pPr>
              <w:spacing w:before="0" w:after="0" w:line="259" w:lineRule="auto"/>
              <w:jc w:val="right"/>
              <w:rPr>
                <w:rFonts w:cs="Arial"/>
                <w:sz w:val="20"/>
                <w:szCs w:val="18"/>
              </w:rPr>
            </w:pPr>
            <w:r w:rsidRPr="00111DC0">
              <w:rPr>
                <w:rFonts w:cs="Arial"/>
                <w:sz w:val="20"/>
                <w:szCs w:val="18"/>
              </w:rPr>
              <w:t>2021</w:t>
            </w:r>
          </w:p>
        </w:tc>
        <w:tc>
          <w:tcPr>
            <w:tcW w:w="2294" w:type="pct"/>
            <w:tcBorders>
              <w:left w:val="double" w:sz="4" w:space="0" w:color="auto"/>
              <w:bottom w:val="double" w:sz="4" w:space="0" w:color="auto"/>
              <w:right w:val="double" w:sz="4" w:space="0" w:color="auto"/>
            </w:tcBorders>
            <w:vAlign w:val="center"/>
          </w:tcPr>
          <w:p w14:paraId="36D5E011" w14:textId="1CC3E4FF" w:rsidR="00BD7CE0" w:rsidRPr="00111DC0" w:rsidRDefault="00BD7CE0" w:rsidP="00A60E61">
            <w:pPr>
              <w:spacing w:before="0" w:after="0" w:line="259" w:lineRule="auto"/>
              <w:jc w:val="right"/>
              <w:rPr>
                <w:rFonts w:cs="Arial"/>
                <w:sz w:val="18"/>
                <w:szCs w:val="16"/>
              </w:rPr>
            </w:pPr>
            <w:r w:rsidRPr="00111DC0">
              <w:rPr>
                <w:rFonts w:cs="Arial"/>
                <w:sz w:val="18"/>
                <w:szCs w:val="16"/>
              </w:rPr>
              <w:t>PI/</w:t>
            </w:r>
            <w:r w:rsidR="004E729C" w:rsidRPr="00111DC0">
              <w:rPr>
                <w:rFonts w:cs="Arial"/>
                <w:sz w:val="18"/>
                <w:szCs w:val="16"/>
              </w:rPr>
              <w:t>H</w:t>
            </w:r>
            <w:r w:rsidR="00EC25A8">
              <w:rPr>
                <w:rFonts w:cs="Arial"/>
                <w:sz w:val="18"/>
                <w:szCs w:val="16"/>
              </w:rPr>
              <w:t>orizontal</w:t>
            </w:r>
            <w:r w:rsidR="004E729C" w:rsidRPr="00111DC0">
              <w:rPr>
                <w:rFonts w:cs="Arial"/>
                <w:sz w:val="18"/>
                <w:szCs w:val="16"/>
              </w:rPr>
              <w:t xml:space="preserve">. </w:t>
            </w:r>
            <w:r w:rsidR="00EC25A8" w:rsidRPr="00EC25A8">
              <w:rPr>
                <w:rFonts w:cs="Arial"/>
                <w:sz w:val="18"/>
                <w:szCs w:val="16"/>
              </w:rPr>
              <w:t>Secundaria</w:t>
            </w:r>
          </w:p>
        </w:tc>
        <w:tc>
          <w:tcPr>
            <w:tcW w:w="798" w:type="pct"/>
            <w:tcBorders>
              <w:left w:val="double" w:sz="4" w:space="0" w:color="auto"/>
              <w:bottom w:val="double" w:sz="4" w:space="0" w:color="auto"/>
            </w:tcBorders>
            <w:vAlign w:val="center"/>
          </w:tcPr>
          <w:p w14:paraId="4601CF15" w14:textId="3E2EBCC3" w:rsidR="00BD7CE0" w:rsidRPr="00111DC0" w:rsidRDefault="00731415" w:rsidP="00BD7CE0">
            <w:pPr>
              <w:spacing w:before="0" w:after="0" w:line="259" w:lineRule="auto"/>
              <w:jc w:val="center"/>
              <w:rPr>
                <w:rFonts w:cs="Arial"/>
                <w:sz w:val="20"/>
                <w:szCs w:val="18"/>
              </w:rPr>
            </w:pPr>
            <w:r w:rsidRPr="00111DC0">
              <w:rPr>
                <w:rFonts w:cs="Arial"/>
                <w:sz w:val="20"/>
                <w:szCs w:val="18"/>
              </w:rPr>
              <w:t>84</w:t>
            </w:r>
            <w:r w:rsidR="00BD7CE0" w:rsidRPr="00111DC0">
              <w:rPr>
                <w:rFonts w:cs="Arial"/>
                <w:sz w:val="20"/>
                <w:szCs w:val="18"/>
              </w:rPr>
              <w:t>%</w:t>
            </w:r>
          </w:p>
        </w:tc>
        <w:tc>
          <w:tcPr>
            <w:tcW w:w="828" w:type="pct"/>
            <w:tcBorders>
              <w:bottom w:val="double" w:sz="4" w:space="0" w:color="auto"/>
              <w:right w:val="double" w:sz="4" w:space="0" w:color="auto"/>
            </w:tcBorders>
            <w:vAlign w:val="center"/>
          </w:tcPr>
          <w:p w14:paraId="4E7234F1" w14:textId="0A990CC4" w:rsidR="00BD7CE0" w:rsidRPr="00111DC0" w:rsidRDefault="00731415" w:rsidP="00BD7CE0">
            <w:pPr>
              <w:spacing w:before="0" w:after="0" w:line="259" w:lineRule="auto"/>
              <w:jc w:val="center"/>
              <w:rPr>
                <w:rFonts w:cs="Arial"/>
                <w:sz w:val="20"/>
                <w:szCs w:val="18"/>
              </w:rPr>
            </w:pPr>
            <w:r w:rsidRPr="00111DC0">
              <w:rPr>
                <w:rFonts w:cs="Arial"/>
                <w:sz w:val="20"/>
                <w:szCs w:val="18"/>
              </w:rPr>
              <w:t>16</w:t>
            </w:r>
            <w:r w:rsidR="00BD7CE0" w:rsidRPr="00111DC0">
              <w:rPr>
                <w:rFonts w:cs="Arial"/>
                <w:sz w:val="20"/>
                <w:szCs w:val="18"/>
              </w:rPr>
              <w:t>%</w:t>
            </w:r>
          </w:p>
        </w:tc>
      </w:tr>
    </w:tbl>
    <w:p w14:paraId="60C00823" w14:textId="405544EB" w:rsidR="00AD4A55" w:rsidRPr="00111DC0" w:rsidRDefault="00AD4A55" w:rsidP="004B6A1B">
      <w:pPr>
        <w:pStyle w:val="Ttulo3"/>
        <w:rPr>
          <w:rFonts w:cs="Arial"/>
        </w:rPr>
      </w:pPr>
      <w:r w:rsidRPr="00111DC0">
        <w:rPr>
          <w:rFonts w:cs="Arial"/>
        </w:rPr>
        <w:t>Conclusiones</w:t>
      </w:r>
    </w:p>
    <w:p w14:paraId="59D0C60F" w14:textId="28784A60" w:rsidR="00AD4A55" w:rsidRPr="00111DC0" w:rsidRDefault="000E2605" w:rsidP="00DE69A1">
      <w:pPr>
        <w:pStyle w:val="Ttulo4"/>
        <w:rPr>
          <w:rFonts w:cs="Arial"/>
        </w:rPr>
      </w:pPr>
      <w:r w:rsidRPr="00111DC0">
        <w:rPr>
          <w:rFonts w:cs="Arial"/>
        </w:rPr>
        <w:t xml:space="preserve">Fortalezas </w:t>
      </w:r>
    </w:p>
    <w:p w14:paraId="29CA0AEF" w14:textId="706F584F" w:rsidR="00AD4A55" w:rsidRPr="00111DC0" w:rsidRDefault="00AD4A55" w:rsidP="00AD4A55">
      <w:pPr>
        <w:rPr>
          <w:rFonts w:cs="Arial"/>
        </w:rPr>
      </w:pPr>
      <w:r w:rsidRPr="00111DC0">
        <w:rPr>
          <w:rFonts w:cs="Arial"/>
          <w:noProof/>
          <w:sz w:val="20"/>
          <w:szCs w:val="18"/>
          <w:lang w:eastAsia="es-ES"/>
        </w:rPr>
        <w:drawing>
          <wp:inline distT="0" distB="0" distL="0" distR="0" wp14:anchorId="7C324C93" wp14:editId="30B0A2C8">
            <wp:extent cx="299923" cy="299923"/>
            <wp:effectExtent l="0" t="0" r="0" b="0"/>
            <wp:docPr id="141" name="Gráfico 141"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B12F31">
        <w:rPr>
          <w:rFonts w:cs="Arial"/>
          <w:b/>
          <w:bCs/>
        </w:rPr>
        <w:t>Recientemente se ha aprobado un nuevo modelo de carrera profesional</w:t>
      </w:r>
      <w:r w:rsidRPr="00111DC0">
        <w:rPr>
          <w:rFonts w:cs="Arial"/>
        </w:rPr>
        <w:t xml:space="preserve"> </w:t>
      </w:r>
      <w:r w:rsidR="0015635D" w:rsidRPr="00111DC0">
        <w:rPr>
          <w:rFonts w:cs="Arial"/>
        </w:rPr>
        <w:t xml:space="preserve">horizontal </w:t>
      </w:r>
      <w:r w:rsidRPr="00111DC0">
        <w:rPr>
          <w:rFonts w:cs="Arial"/>
        </w:rPr>
        <w:t>que</w:t>
      </w:r>
      <w:r w:rsidR="0015635D" w:rsidRPr="00111DC0">
        <w:rPr>
          <w:rFonts w:cs="Arial"/>
        </w:rPr>
        <w:t xml:space="preserve"> </w:t>
      </w:r>
      <w:r w:rsidRPr="00111DC0">
        <w:rPr>
          <w:rFonts w:cs="Arial"/>
        </w:rPr>
        <w:t>corrige preceptos anteriores en beneficio de una mayor garantía de igualdad de oportunidades.</w:t>
      </w:r>
    </w:p>
    <w:p w14:paraId="14DFDB02" w14:textId="77777777" w:rsidR="00AD4A55" w:rsidRPr="00111DC0" w:rsidRDefault="00AD4A55" w:rsidP="00AD4A55">
      <w:pPr>
        <w:rPr>
          <w:rFonts w:cs="Arial"/>
        </w:rPr>
      </w:pPr>
      <w:r w:rsidRPr="00111DC0">
        <w:rPr>
          <w:rFonts w:cs="Arial"/>
          <w:noProof/>
          <w:sz w:val="20"/>
          <w:szCs w:val="18"/>
          <w:lang w:eastAsia="es-ES"/>
        </w:rPr>
        <w:drawing>
          <wp:inline distT="0" distB="0" distL="0" distR="0" wp14:anchorId="6D858F89" wp14:editId="37E05A14">
            <wp:extent cx="299923" cy="299923"/>
            <wp:effectExtent l="0" t="0" r="0" b="0"/>
            <wp:docPr id="143" name="Gráfico 143"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B12F31">
        <w:rPr>
          <w:rFonts w:cs="Arial"/>
          <w:b/>
          <w:bCs/>
        </w:rPr>
        <w:t>Existe una coherencia total entre la distribución de mujeres y hombres en la promoción horizontal y su presencia</w:t>
      </w:r>
      <w:r w:rsidRPr="00111DC0">
        <w:rPr>
          <w:rFonts w:cs="Arial"/>
        </w:rPr>
        <w:t xml:space="preserve"> entre el Personal Docente (70% y 30% respectivamente). En los Servicios Generales también existe sintonía casi absoluta en los datos, con apenas 1 punto porcentual de variación en los últimos años. </w:t>
      </w:r>
    </w:p>
    <w:p w14:paraId="62C49006" w14:textId="77777777" w:rsidR="0093247B" w:rsidRPr="00111DC0" w:rsidRDefault="00AD4A55" w:rsidP="0093247B">
      <w:pPr>
        <w:jc w:val="left"/>
        <w:rPr>
          <w:rFonts w:cs="Arial"/>
        </w:rPr>
      </w:pPr>
      <w:r w:rsidRPr="00111DC0">
        <w:rPr>
          <w:rFonts w:cs="Arial"/>
          <w:noProof/>
          <w:sz w:val="20"/>
          <w:szCs w:val="18"/>
          <w:lang w:eastAsia="es-ES"/>
        </w:rPr>
        <w:drawing>
          <wp:inline distT="0" distB="0" distL="0" distR="0" wp14:anchorId="7BAF86DE" wp14:editId="17D5EA29">
            <wp:extent cx="299923" cy="299923"/>
            <wp:effectExtent l="0" t="0" r="0" b="0"/>
            <wp:docPr id="144" name="Gráfico 144"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0093247B" w:rsidRPr="00B12F31">
        <w:rPr>
          <w:rFonts w:cs="Arial"/>
          <w:b/>
          <w:bCs/>
        </w:rPr>
        <w:t>No se aprecian evidencias de discriminación hacia las mujeres en el Concurso de méritos,</w:t>
      </w:r>
      <w:r w:rsidR="0093247B" w:rsidRPr="00111DC0">
        <w:rPr>
          <w:rFonts w:cs="Arial"/>
        </w:rPr>
        <w:t xml:space="preserve"> ni si quiera motivada por factores como el de la antigüedad. </w:t>
      </w:r>
    </w:p>
    <w:p w14:paraId="036A3747" w14:textId="77777777" w:rsidR="0093247B" w:rsidRPr="00111DC0" w:rsidRDefault="00AD4A55" w:rsidP="0093247B">
      <w:pPr>
        <w:rPr>
          <w:rFonts w:cs="Arial"/>
        </w:rPr>
      </w:pPr>
      <w:r w:rsidRPr="00111DC0">
        <w:rPr>
          <w:rFonts w:cs="Arial"/>
          <w:noProof/>
          <w:sz w:val="20"/>
          <w:szCs w:val="18"/>
          <w:lang w:eastAsia="es-ES"/>
        </w:rPr>
        <w:drawing>
          <wp:inline distT="0" distB="0" distL="0" distR="0" wp14:anchorId="0C0546E6" wp14:editId="417D98E1">
            <wp:extent cx="299923" cy="299923"/>
            <wp:effectExtent l="0" t="0" r="0" b="0"/>
            <wp:docPr id="145" name="Gráfico 145"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0093247B" w:rsidRPr="00B12F31">
        <w:rPr>
          <w:rFonts w:cs="Arial"/>
          <w:b/>
          <w:bCs/>
        </w:rPr>
        <w:t>No se evidencia la influencia de sesgos de género perjudiciales hacia las mujeres en la adjudicación de puestos de libre designación,</w:t>
      </w:r>
      <w:r w:rsidR="0093247B" w:rsidRPr="00111DC0">
        <w:rPr>
          <w:rFonts w:cs="Arial"/>
        </w:rPr>
        <w:t xml:space="preserve"> habiendo sido mayoritario el nombramiento de mujeres a lo largo de todos los años del periodo, incluso muy por encima de los datos de referencia en las candidaturas, salvo en 2021. En los dos últimos años, los nombramientos han respondido al baremo de la representación equilibrada.</w:t>
      </w:r>
    </w:p>
    <w:p w14:paraId="31903D62" w14:textId="77777777" w:rsidR="0093247B" w:rsidRPr="00111DC0" w:rsidRDefault="00AD4A55" w:rsidP="0093247B">
      <w:pPr>
        <w:rPr>
          <w:rFonts w:cs="Arial"/>
        </w:rPr>
      </w:pPr>
      <w:r w:rsidRPr="00111DC0">
        <w:rPr>
          <w:rFonts w:cs="Arial"/>
          <w:noProof/>
          <w:sz w:val="20"/>
          <w:szCs w:val="18"/>
          <w:lang w:eastAsia="es-ES"/>
        </w:rPr>
        <w:drawing>
          <wp:inline distT="0" distB="0" distL="0" distR="0" wp14:anchorId="1A3F0301" wp14:editId="7E62F807">
            <wp:extent cx="299923" cy="299923"/>
            <wp:effectExtent l="0" t="0" r="0" b="0"/>
            <wp:docPr id="146" name="Gráfico 146"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0093247B" w:rsidRPr="00B12F31">
        <w:rPr>
          <w:rFonts w:cs="Arial"/>
          <w:b/>
          <w:bCs/>
        </w:rPr>
        <w:t>En Comisión de servicios, y ante méritos similares, se prioriza a quien alegue en su solicitud motivos de conciliación o especiales circunstancias personales,</w:t>
      </w:r>
      <w:r w:rsidR="0093247B" w:rsidRPr="00111DC0">
        <w:rPr>
          <w:rFonts w:cs="Arial"/>
        </w:rPr>
        <w:t xml:space="preserve"> lo que claramente supone un reconocimiento de las distintas responsabilidades de las empleadas y empleados y una protección ante determinadas circunstancias. </w:t>
      </w:r>
    </w:p>
    <w:p w14:paraId="12C3CC85" w14:textId="4C487A49" w:rsidR="00AD4A55" w:rsidRPr="00111DC0" w:rsidRDefault="00AD4A55" w:rsidP="00AD4A55">
      <w:pPr>
        <w:rPr>
          <w:rFonts w:cs="Arial"/>
        </w:rPr>
      </w:pPr>
      <w:r w:rsidRPr="00111DC0">
        <w:rPr>
          <w:rFonts w:cs="Arial"/>
          <w:noProof/>
          <w:sz w:val="20"/>
          <w:szCs w:val="18"/>
          <w:lang w:eastAsia="es-ES"/>
        </w:rPr>
        <w:drawing>
          <wp:inline distT="0" distB="0" distL="0" distR="0" wp14:anchorId="6760EE35" wp14:editId="0C9F5ADF">
            <wp:extent cx="299923" cy="299923"/>
            <wp:effectExtent l="0" t="0" r="0" b="0"/>
            <wp:docPr id="147" name="Gráfico 147"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0093247B" w:rsidRPr="00B12F31">
        <w:rPr>
          <w:rFonts w:cs="Arial"/>
          <w:b/>
          <w:bCs/>
        </w:rPr>
        <w:t>Las adjudicaciones de Concurso de traslados han recaído mayoritariamente en mujeres</w:t>
      </w:r>
      <w:r w:rsidR="0093247B" w:rsidRPr="00111DC0">
        <w:rPr>
          <w:rFonts w:cs="Arial"/>
        </w:rPr>
        <w:t xml:space="preserve"> en cada uno de los años del periodo</w:t>
      </w:r>
    </w:p>
    <w:p w14:paraId="2F3D29DC" w14:textId="0D8F1BA7" w:rsidR="00AD4A55" w:rsidRPr="00111DC0" w:rsidRDefault="00AD4A55">
      <w:pPr>
        <w:spacing w:before="0" w:after="160" w:line="259" w:lineRule="auto"/>
        <w:jc w:val="left"/>
        <w:rPr>
          <w:rFonts w:cs="Arial"/>
          <w:color w:val="78BE20"/>
          <w:szCs w:val="24"/>
        </w:rPr>
      </w:pPr>
    </w:p>
    <w:p w14:paraId="47723A56" w14:textId="2DD7E6F0" w:rsidR="00F053C8" w:rsidRDefault="00F053C8" w:rsidP="00DE69A1">
      <w:pPr>
        <w:pStyle w:val="Ttulo4"/>
        <w:rPr>
          <w:rFonts w:cs="Arial"/>
        </w:rPr>
      </w:pPr>
    </w:p>
    <w:p w14:paraId="3385C4B3" w14:textId="77777777" w:rsidR="00332DE1" w:rsidRDefault="00332DE1" w:rsidP="00DE69A1">
      <w:pPr>
        <w:pStyle w:val="Ttulo4"/>
        <w:rPr>
          <w:rFonts w:cs="Arial"/>
        </w:rPr>
      </w:pPr>
      <w:r>
        <w:rPr>
          <w:rFonts w:cs="Arial"/>
        </w:rPr>
        <w:br w:type="page"/>
      </w:r>
    </w:p>
    <w:p w14:paraId="52AA500E" w14:textId="26F581EA" w:rsidR="000E2605" w:rsidRPr="00111DC0" w:rsidRDefault="00AD4A55" w:rsidP="00DE69A1">
      <w:pPr>
        <w:pStyle w:val="Ttulo4"/>
        <w:rPr>
          <w:rFonts w:cs="Arial"/>
        </w:rPr>
      </w:pPr>
      <w:r w:rsidRPr="00111DC0">
        <w:rPr>
          <w:rFonts w:cs="Arial"/>
        </w:rPr>
        <w:t>Á</w:t>
      </w:r>
      <w:r w:rsidR="000E2605" w:rsidRPr="00111DC0">
        <w:rPr>
          <w:rFonts w:cs="Arial"/>
        </w:rPr>
        <w:t>reas de mejora</w:t>
      </w:r>
    </w:p>
    <w:p w14:paraId="56E353E5" w14:textId="38361992" w:rsidR="00AE532C" w:rsidRPr="00111DC0" w:rsidRDefault="00AD4A55" w:rsidP="00350BA5">
      <w:pPr>
        <w:spacing w:after="0"/>
        <w:rPr>
          <w:rFonts w:cs="Arial"/>
        </w:rPr>
      </w:pPr>
      <w:r w:rsidRPr="00111DC0">
        <w:rPr>
          <w:rFonts w:cs="Arial"/>
          <w:noProof/>
          <w:sz w:val="20"/>
          <w:szCs w:val="18"/>
          <w:lang w:eastAsia="es-ES"/>
        </w:rPr>
        <w:drawing>
          <wp:inline distT="0" distB="0" distL="0" distR="0" wp14:anchorId="16E44D0D" wp14:editId="4F6CB97F">
            <wp:extent cx="277978" cy="277978"/>
            <wp:effectExtent l="0" t="0" r="0" b="0"/>
            <wp:docPr id="142" name="Gráfico 142"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0093247B" w:rsidRPr="00111DC0">
        <w:rPr>
          <w:rFonts w:cs="Arial"/>
        </w:rPr>
        <w:t xml:space="preserve"> </w:t>
      </w:r>
      <w:r w:rsidRPr="00111DC0">
        <w:rPr>
          <w:rFonts w:cs="Arial"/>
        </w:rPr>
        <w:t xml:space="preserve">1 </w:t>
      </w:r>
      <w:r w:rsidRPr="00B12F31">
        <w:rPr>
          <w:rFonts w:cs="Arial"/>
          <w:b/>
          <w:bCs/>
        </w:rPr>
        <w:t>- Solo el 51% de las empleadas considera que existe igualdad</w:t>
      </w:r>
      <w:r w:rsidRPr="00111DC0">
        <w:rPr>
          <w:rFonts w:cs="Arial"/>
        </w:rPr>
        <w:t xml:space="preserve"> de oportunidades entre mujeres y hombres en la promoción interna, y más del doble de empleadas (34%) que de empleados (15%) opina que no existe igualdad en este ámbito.</w:t>
      </w:r>
    </w:p>
    <w:p w14:paraId="69AE44B4" w14:textId="15D0CB45" w:rsidR="00AD4A55" w:rsidRPr="00111DC0" w:rsidRDefault="00AD4A55" w:rsidP="00350BA5">
      <w:pPr>
        <w:spacing w:after="0"/>
        <w:rPr>
          <w:rFonts w:cs="Arial"/>
        </w:rPr>
      </w:pPr>
      <w:r w:rsidRPr="00111DC0">
        <w:rPr>
          <w:rFonts w:cs="Arial"/>
          <w:noProof/>
          <w:sz w:val="20"/>
          <w:szCs w:val="18"/>
          <w:lang w:eastAsia="es-ES"/>
        </w:rPr>
        <w:drawing>
          <wp:inline distT="0" distB="0" distL="0" distR="0" wp14:anchorId="39F4B834" wp14:editId="7C4B730F">
            <wp:extent cx="277978" cy="277978"/>
            <wp:effectExtent l="0" t="0" r="0" b="0"/>
            <wp:docPr id="148" name="Gráfico 148"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2 </w:t>
      </w:r>
      <w:r w:rsidR="009569DB" w:rsidRPr="00B12F31">
        <w:rPr>
          <w:rFonts w:cs="Arial"/>
          <w:b/>
          <w:bCs/>
        </w:rPr>
        <w:t>– Para el pleno cumplimiento del artículo 53 de la ley orgánica de igualdad es preciso i</w:t>
      </w:r>
      <w:r w:rsidRPr="00B12F31">
        <w:rPr>
          <w:rFonts w:cs="Arial"/>
          <w:b/>
          <w:bCs/>
        </w:rPr>
        <w:t>ncluir la cláusula sobre composición equilibrada</w:t>
      </w:r>
      <w:r w:rsidRPr="00111DC0">
        <w:rPr>
          <w:rFonts w:cs="Arial"/>
        </w:rPr>
        <w:t xml:space="preserve"> de mujeres y hombres en las Comisiones de Valoración de los concursos de méritos.</w:t>
      </w:r>
    </w:p>
    <w:p w14:paraId="00BD4B0A" w14:textId="29ED1113" w:rsidR="00AD4A55" w:rsidRPr="00111DC0" w:rsidRDefault="00AD4A55" w:rsidP="009569DB">
      <w:pPr>
        <w:spacing w:after="0"/>
        <w:rPr>
          <w:rFonts w:cs="Arial"/>
        </w:rPr>
      </w:pPr>
      <w:r w:rsidRPr="00111DC0">
        <w:rPr>
          <w:rFonts w:cs="Arial"/>
          <w:noProof/>
          <w:sz w:val="20"/>
          <w:szCs w:val="18"/>
          <w:lang w:eastAsia="es-ES"/>
        </w:rPr>
        <w:drawing>
          <wp:inline distT="0" distB="0" distL="0" distR="0" wp14:anchorId="5BA3DD8F" wp14:editId="3877A77E">
            <wp:extent cx="277978" cy="277978"/>
            <wp:effectExtent l="0" t="0" r="0" b="0"/>
            <wp:docPr id="149" name="Gráfico 149"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3 </w:t>
      </w:r>
      <w:r w:rsidRPr="00B12F31">
        <w:rPr>
          <w:rFonts w:cs="Arial"/>
          <w:b/>
          <w:bCs/>
        </w:rPr>
        <w:t>- La participación de mujeres y hombres en las convocatorias de promoción</w:t>
      </w:r>
      <w:r w:rsidRPr="00111DC0">
        <w:rPr>
          <w:rFonts w:cs="Arial"/>
        </w:rPr>
        <w:t xml:space="preserve"> interna vertical y horizontal</w:t>
      </w:r>
      <w:r w:rsidR="009569DB" w:rsidRPr="00111DC0">
        <w:rPr>
          <w:rFonts w:cs="Arial"/>
        </w:rPr>
        <w:t xml:space="preserve"> de los Servicios Generales (56%)</w:t>
      </w:r>
      <w:r w:rsidRPr="00111DC0">
        <w:rPr>
          <w:rFonts w:cs="Arial"/>
        </w:rPr>
        <w:t xml:space="preserve"> </w:t>
      </w:r>
      <w:r w:rsidR="009569DB" w:rsidRPr="00111DC0">
        <w:rPr>
          <w:rFonts w:cs="Arial"/>
        </w:rPr>
        <w:t xml:space="preserve">disminuye en 10 puntos porcentuales </w:t>
      </w:r>
      <w:r w:rsidRPr="00111DC0">
        <w:rPr>
          <w:rFonts w:cs="Arial"/>
        </w:rPr>
        <w:t>respecto a su presencia global en la plantilla (66%)</w:t>
      </w:r>
      <w:r w:rsidR="009569DB" w:rsidRPr="00111DC0">
        <w:rPr>
          <w:rFonts w:cs="Arial"/>
        </w:rPr>
        <w:t xml:space="preserve">. </w:t>
      </w:r>
    </w:p>
    <w:p w14:paraId="2B514083" w14:textId="2F50F8FC" w:rsidR="00AD4A55" w:rsidRPr="00111DC0" w:rsidRDefault="00AD4A55" w:rsidP="00350BA5">
      <w:pPr>
        <w:spacing w:after="0"/>
        <w:rPr>
          <w:rFonts w:cs="Arial"/>
        </w:rPr>
      </w:pPr>
      <w:r w:rsidRPr="00111DC0">
        <w:rPr>
          <w:rFonts w:cs="Arial"/>
          <w:noProof/>
          <w:sz w:val="20"/>
          <w:szCs w:val="18"/>
          <w:lang w:eastAsia="es-ES"/>
        </w:rPr>
        <w:drawing>
          <wp:inline distT="0" distB="0" distL="0" distR="0" wp14:anchorId="07E6735F" wp14:editId="2EE4A8C1">
            <wp:extent cx="277978" cy="277978"/>
            <wp:effectExtent l="0" t="0" r="0" b="0"/>
            <wp:docPr id="150" name="Gráfico 150"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4 </w:t>
      </w:r>
      <w:r w:rsidRPr="00B12F31">
        <w:rPr>
          <w:rFonts w:cs="Arial"/>
          <w:b/>
          <w:bCs/>
        </w:rPr>
        <w:t xml:space="preserve">- Se aprecian pautas de segregación por </w:t>
      </w:r>
      <w:r w:rsidR="004F5A71" w:rsidRPr="00B12F31">
        <w:rPr>
          <w:rFonts w:cs="Arial"/>
          <w:b/>
          <w:bCs/>
        </w:rPr>
        <w:t>sexo</w:t>
      </w:r>
      <w:r w:rsidRPr="00B12F31">
        <w:rPr>
          <w:rFonts w:cs="Arial"/>
          <w:b/>
          <w:bCs/>
        </w:rPr>
        <w:t xml:space="preserve"> en la participación a las convocatorias de promoción</w:t>
      </w:r>
      <w:r w:rsidRPr="00111DC0">
        <w:rPr>
          <w:rFonts w:cs="Arial"/>
        </w:rPr>
        <w:t xml:space="preserve"> interna vertical y horizontal, como reflejo de factores sociales sobre los que </w:t>
      </w:r>
      <w:r w:rsidR="009569DB" w:rsidRPr="00111DC0">
        <w:rPr>
          <w:rFonts w:cs="Arial"/>
        </w:rPr>
        <w:t>la Administración General deberá</w:t>
      </w:r>
      <w:r w:rsidRPr="00111DC0">
        <w:rPr>
          <w:rFonts w:cs="Arial"/>
        </w:rPr>
        <w:t xml:space="preserve"> incidir para avanzar hacia un modelo más equitativo.</w:t>
      </w:r>
    </w:p>
    <w:p w14:paraId="133F2EB5" w14:textId="77777777" w:rsidR="00AD4A55" w:rsidRPr="00111DC0" w:rsidRDefault="00AD4A55" w:rsidP="00350BA5">
      <w:pPr>
        <w:spacing w:after="0"/>
        <w:rPr>
          <w:rFonts w:cs="Arial"/>
        </w:rPr>
      </w:pPr>
    </w:p>
    <w:p w14:paraId="572966BA" w14:textId="69A402A7" w:rsidR="003E554A" w:rsidRPr="00111DC0" w:rsidRDefault="003E554A" w:rsidP="00350BA5">
      <w:pPr>
        <w:spacing w:after="0" w:line="259" w:lineRule="auto"/>
        <w:jc w:val="left"/>
        <w:rPr>
          <w:rFonts w:eastAsiaTheme="majorEastAsia" w:cs="Arial"/>
          <w:b/>
          <w:bCs/>
          <w:iCs/>
          <w:snapToGrid w:val="0"/>
          <w:color w:val="78BE20"/>
          <w:sz w:val="30"/>
          <w:szCs w:val="28"/>
        </w:rPr>
      </w:pPr>
    </w:p>
    <w:p w14:paraId="5406A286" w14:textId="77777777" w:rsidR="00CE170D" w:rsidRPr="00111DC0" w:rsidRDefault="00CE170D" w:rsidP="00350BA5">
      <w:pPr>
        <w:spacing w:after="0" w:line="259" w:lineRule="auto"/>
        <w:jc w:val="left"/>
        <w:rPr>
          <w:rFonts w:eastAsiaTheme="majorEastAsia" w:cs="Arial"/>
          <w:b/>
          <w:bCs/>
          <w:iCs/>
          <w:snapToGrid w:val="0"/>
          <w:color w:val="78BE20"/>
          <w:sz w:val="30"/>
          <w:szCs w:val="28"/>
        </w:rPr>
      </w:pPr>
    </w:p>
    <w:p w14:paraId="3F0C6781" w14:textId="77777777" w:rsidR="00866C40" w:rsidRPr="00111DC0" w:rsidRDefault="00866C40">
      <w:pPr>
        <w:spacing w:before="0" w:after="160" w:line="259" w:lineRule="auto"/>
        <w:jc w:val="left"/>
        <w:rPr>
          <w:rFonts w:eastAsiaTheme="majorEastAsia" w:cs="Arial"/>
          <w:iCs/>
          <w:snapToGrid w:val="0"/>
          <w:color w:val="78BE20"/>
          <w:sz w:val="30"/>
          <w:szCs w:val="28"/>
        </w:rPr>
      </w:pPr>
      <w:r w:rsidRPr="00111DC0">
        <w:rPr>
          <w:rFonts w:cs="Arial"/>
        </w:rPr>
        <w:br w:type="page"/>
      </w:r>
    </w:p>
    <w:p w14:paraId="7CE14F4E" w14:textId="39938D9D" w:rsidR="00603C12" w:rsidRPr="00111DC0" w:rsidRDefault="000E2605" w:rsidP="00024B4E">
      <w:pPr>
        <w:pStyle w:val="Ttulo2"/>
      </w:pPr>
      <w:bookmarkStart w:id="20" w:name="_Toc122080794"/>
      <w:r w:rsidRPr="00111DC0">
        <w:t>Retribuciones</w:t>
      </w:r>
      <w:bookmarkEnd w:id="20"/>
    </w:p>
    <w:p w14:paraId="7F227DD2" w14:textId="2A31316D" w:rsidR="004A02A2" w:rsidRPr="0068588D" w:rsidRDefault="004160D1" w:rsidP="0068588D">
      <w:pPr>
        <w:spacing w:after="0"/>
        <w:rPr>
          <w:rFonts w:cs="Arial"/>
        </w:rPr>
      </w:pPr>
      <w:r w:rsidRPr="00B47CA8">
        <w:rPr>
          <w:rFonts w:cs="Arial"/>
          <w:b/>
          <w:bCs/>
        </w:rPr>
        <w:t>Atendiendo a las opiniones de la plantilla</w:t>
      </w:r>
      <w:r w:rsidR="00BA5186" w:rsidRPr="00B47CA8">
        <w:rPr>
          <w:rFonts w:cs="Arial"/>
          <w:b/>
          <w:bCs/>
        </w:rPr>
        <w:t xml:space="preserve">, </w:t>
      </w:r>
      <w:r w:rsidR="00CE22B5" w:rsidRPr="00B47CA8">
        <w:rPr>
          <w:rFonts w:cs="Arial"/>
          <w:b/>
          <w:bCs/>
        </w:rPr>
        <w:t xml:space="preserve">la mayoría considera que </w:t>
      </w:r>
      <w:r w:rsidR="00BA5186" w:rsidRPr="00B47CA8">
        <w:rPr>
          <w:rFonts w:cs="Arial"/>
          <w:b/>
          <w:bCs/>
        </w:rPr>
        <w:t xml:space="preserve">en la Administración General de La Rioja </w:t>
      </w:r>
      <w:r w:rsidR="00CE22B5" w:rsidRPr="00B47CA8">
        <w:rPr>
          <w:rFonts w:cs="Arial"/>
          <w:b/>
          <w:bCs/>
        </w:rPr>
        <w:t xml:space="preserve">sí </w:t>
      </w:r>
      <w:r w:rsidR="00BA5186" w:rsidRPr="00B47CA8">
        <w:rPr>
          <w:rFonts w:cs="Arial"/>
          <w:b/>
          <w:bCs/>
        </w:rPr>
        <w:t xml:space="preserve">se </w:t>
      </w:r>
      <w:r w:rsidR="00CE22B5" w:rsidRPr="00B47CA8">
        <w:rPr>
          <w:rFonts w:cs="Arial"/>
          <w:b/>
          <w:bCs/>
        </w:rPr>
        <w:t>garantiza la igualdad retributiva</w:t>
      </w:r>
      <w:r w:rsidR="00B47CA8">
        <w:rPr>
          <w:rFonts w:cs="Arial"/>
          <w:b/>
          <w:bCs/>
        </w:rPr>
        <w:t>:</w:t>
      </w:r>
      <w:r w:rsidR="00321048" w:rsidRPr="0068588D">
        <w:rPr>
          <w:rFonts w:cs="Arial"/>
        </w:rPr>
        <w:t xml:space="preserve"> </w:t>
      </w:r>
    </w:p>
    <w:p w14:paraId="21B01076" w14:textId="6A56C3CF" w:rsidR="003E554A" w:rsidRPr="00111DC0" w:rsidRDefault="003E554A" w:rsidP="00350BA5">
      <w:pPr>
        <w:spacing w:after="0"/>
        <w:rPr>
          <w:rFonts w:cs="Arial"/>
        </w:rPr>
      </w:pPr>
      <w:r w:rsidRPr="00111DC0">
        <w:rPr>
          <w:rFonts w:cs="Arial"/>
          <w:noProof/>
          <w:color w:val="EA0000"/>
          <w:sz w:val="24"/>
          <w:szCs w:val="24"/>
          <w:lang w:eastAsia="es-ES"/>
        </w:rPr>
        <w:drawing>
          <wp:inline distT="0" distB="0" distL="0" distR="0" wp14:anchorId="1DA2DF07" wp14:editId="78AEF46C">
            <wp:extent cx="5353050" cy="2647950"/>
            <wp:effectExtent l="0" t="0" r="0" b="0"/>
            <wp:docPr id="45" name="Gráfico 45"/>
            <wp:cNvGraphicFramePr/>
            <a:graphic xmlns:a="http://schemas.openxmlformats.org/drawingml/2006/main">
              <a:graphicData uri="http://schemas.openxmlformats.org/drawingml/2006/chart">
                <c:chart xmlns:c="http://schemas.openxmlformats.org/drawingml/2006/chart" r:id="rId59"/>
              </a:graphicData>
            </a:graphic>
          </wp:inline>
        </w:drawing>
      </w:r>
    </w:p>
    <w:p w14:paraId="41F3DDAD" w14:textId="62DC7772" w:rsidR="00090D3D" w:rsidRPr="00111DC0" w:rsidRDefault="00090D3D" w:rsidP="00350BA5">
      <w:pPr>
        <w:spacing w:after="0"/>
        <w:rPr>
          <w:rFonts w:cs="Arial"/>
        </w:rPr>
      </w:pPr>
    </w:p>
    <w:p w14:paraId="526A41E1" w14:textId="7F4C9CF2" w:rsidR="00B63620" w:rsidRPr="00111DC0" w:rsidRDefault="00603C12" w:rsidP="004B6A1B">
      <w:pPr>
        <w:pStyle w:val="Ttulo3"/>
        <w:rPr>
          <w:rFonts w:cs="Arial"/>
        </w:rPr>
      </w:pPr>
      <w:r w:rsidRPr="00111DC0">
        <w:rPr>
          <w:rFonts w:cs="Arial"/>
        </w:rPr>
        <w:t>Retribuciones</w:t>
      </w:r>
      <w:r w:rsidR="000E2605" w:rsidRPr="00111DC0">
        <w:rPr>
          <w:rFonts w:cs="Arial"/>
        </w:rPr>
        <w:t xml:space="preserve"> </w:t>
      </w:r>
      <w:r w:rsidR="00B63620" w:rsidRPr="00111DC0">
        <w:rPr>
          <w:rFonts w:cs="Arial"/>
        </w:rPr>
        <w:t>reales</w:t>
      </w:r>
    </w:p>
    <w:p w14:paraId="3F83D66E" w14:textId="4136213B" w:rsidR="00A9745F" w:rsidRDefault="00A9745F" w:rsidP="00A9745F">
      <w:pPr>
        <w:rPr>
          <w:rFonts w:cs="Arial"/>
        </w:rPr>
      </w:pPr>
      <w:r w:rsidRPr="00111DC0">
        <w:rPr>
          <w:rFonts w:cs="Arial"/>
        </w:rPr>
        <w:t>En las páginas siguientes se analiza</w:t>
      </w:r>
      <w:r w:rsidR="0068588D">
        <w:rPr>
          <w:rFonts w:cs="Arial"/>
        </w:rPr>
        <w:t xml:space="preserve"> </w:t>
      </w:r>
      <w:r w:rsidRPr="00111DC0">
        <w:rPr>
          <w:rFonts w:cs="Arial"/>
        </w:rPr>
        <w:t>la información retributiva exportada directamente de la nómina con criterio devengo y en fecha de corte de datos de mayo de 2021, incluyendo los diferentes componentes retributivos.</w:t>
      </w:r>
    </w:p>
    <w:p w14:paraId="54A5A9C7" w14:textId="77777777" w:rsidR="008755D8" w:rsidRPr="00111DC0" w:rsidRDefault="008755D8" w:rsidP="00A9745F">
      <w:pPr>
        <w:rPr>
          <w:rFonts w:cs="Arial"/>
        </w:rPr>
      </w:pPr>
    </w:p>
    <w:p w14:paraId="43255A68" w14:textId="2A74A74C" w:rsidR="00AA7CD7" w:rsidRPr="00111DC0" w:rsidRDefault="00AA7CD7" w:rsidP="00DE69A1">
      <w:pPr>
        <w:pStyle w:val="Ttulo4"/>
        <w:rPr>
          <w:rFonts w:cs="Arial"/>
        </w:rPr>
      </w:pPr>
      <w:r w:rsidRPr="00111DC0">
        <w:rPr>
          <w:rFonts w:cs="Arial"/>
        </w:rPr>
        <w:t>Servicios Generales</w:t>
      </w:r>
    </w:p>
    <w:p w14:paraId="6275775A" w14:textId="36FC3150" w:rsidR="00D3029A" w:rsidRDefault="00A771CD" w:rsidP="0068588D">
      <w:pPr>
        <w:rPr>
          <w:rFonts w:cs="Arial"/>
          <w:b/>
          <w:bCs/>
        </w:rPr>
      </w:pPr>
      <w:r w:rsidRPr="00111DC0">
        <w:rPr>
          <w:rFonts w:cs="Arial"/>
          <w:b/>
          <w:bCs/>
        </w:rPr>
        <w:t>Entre el personal funcionario</w:t>
      </w:r>
      <w:r w:rsidR="00075D60" w:rsidRPr="00111DC0">
        <w:rPr>
          <w:rFonts w:cs="Arial"/>
          <w:b/>
          <w:bCs/>
        </w:rPr>
        <w:t xml:space="preserve"> la brecha salarial de género de</w:t>
      </w:r>
      <w:r w:rsidR="008E70C5" w:rsidRPr="00111DC0">
        <w:rPr>
          <w:rFonts w:cs="Arial"/>
          <w:b/>
          <w:bCs/>
        </w:rPr>
        <w:t>l total de</w:t>
      </w:r>
      <w:r w:rsidR="00075D60" w:rsidRPr="00111DC0">
        <w:rPr>
          <w:rFonts w:cs="Arial"/>
          <w:b/>
          <w:bCs/>
        </w:rPr>
        <w:t xml:space="preserve"> la </w:t>
      </w:r>
      <w:r w:rsidR="008E70C5" w:rsidRPr="00111DC0">
        <w:rPr>
          <w:rFonts w:cs="Arial"/>
          <w:b/>
          <w:bCs/>
        </w:rPr>
        <w:t>retribución</w:t>
      </w:r>
      <w:r w:rsidR="00075D60" w:rsidRPr="00111DC0">
        <w:rPr>
          <w:rFonts w:cs="Arial"/>
          <w:b/>
          <w:bCs/>
        </w:rPr>
        <w:t xml:space="preserve"> </w:t>
      </w:r>
      <w:r w:rsidR="008E70C5" w:rsidRPr="00111DC0">
        <w:rPr>
          <w:rFonts w:cs="Arial"/>
          <w:b/>
          <w:bCs/>
        </w:rPr>
        <w:t>real</w:t>
      </w:r>
      <w:r w:rsidR="00075D60" w:rsidRPr="00111DC0">
        <w:rPr>
          <w:rFonts w:cs="Arial"/>
          <w:b/>
          <w:bCs/>
        </w:rPr>
        <w:t xml:space="preserve"> promediada es del </w:t>
      </w:r>
      <w:r w:rsidR="008E70C5" w:rsidRPr="00111DC0">
        <w:rPr>
          <w:rFonts w:cs="Arial"/>
          <w:b/>
          <w:bCs/>
        </w:rPr>
        <w:t>14</w:t>
      </w:r>
      <w:r w:rsidR="00075D60" w:rsidRPr="00111DC0">
        <w:rPr>
          <w:rFonts w:cs="Arial"/>
          <w:b/>
          <w:bCs/>
        </w:rPr>
        <w:t>%</w:t>
      </w:r>
      <w:r w:rsidR="0068588D">
        <w:rPr>
          <w:rFonts w:cs="Arial"/>
          <w:b/>
          <w:bCs/>
        </w:rPr>
        <w:t xml:space="preserve">, variando </w:t>
      </w:r>
      <w:r w:rsidR="00096A5B" w:rsidRPr="00111DC0">
        <w:rPr>
          <w:rFonts w:cs="Arial"/>
          <w:b/>
          <w:bCs/>
        </w:rPr>
        <w:t xml:space="preserve">sensiblemente </w:t>
      </w:r>
      <w:r w:rsidR="00D3029A" w:rsidRPr="00111DC0">
        <w:rPr>
          <w:rFonts w:cs="Arial"/>
          <w:b/>
          <w:bCs/>
        </w:rPr>
        <w:t xml:space="preserve">en </w:t>
      </w:r>
      <w:r w:rsidR="00AE3152" w:rsidRPr="00111DC0">
        <w:rPr>
          <w:rFonts w:cs="Arial"/>
          <w:b/>
          <w:bCs/>
        </w:rPr>
        <w:t>función</w:t>
      </w:r>
      <w:r w:rsidR="00D3029A" w:rsidRPr="00111DC0">
        <w:rPr>
          <w:rFonts w:cs="Arial"/>
          <w:b/>
          <w:bCs/>
        </w:rPr>
        <w:t xml:space="preserve"> del </w:t>
      </w:r>
      <w:r w:rsidR="00DE69A1" w:rsidRPr="00111DC0">
        <w:rPr>
          <w:rFonts w:cs="Arial"/>
          <w:b/>
          <w:bCs/>
        </w:rPr>
        <w:t>G</w:t>
      </w:r>
      <w:r w:rsidR="00AE3152" w:rsidRPr="00111DC0">
        <w:rPr>
          <w:rFonts w:cs="Arial"/>
          <w:b/>
          <w:bCs/>
        </w:rPr>
        <w:t>rupo</w:t>
      </w:r>
      <w:r w:rsidR="00D3029A" w:rsidRPr="00111DC0">
        <w:rPr>
          <w:rFonts w:cs="Arial"/>
          <w:b/>
          <w:bCs/>
        </w:rPr>
        <w:t xml:space="preserve"> profesional</w:t>
      </w:r>
      <w:r w:rsidR="0068588D">
        <w:rPr>
          <w:rFonts w:cs="Arial"/>
          <w:b/>
          <w:bCs/>
        </w:rPr>
        <w:t>:</w:t>
      </w:r>
    </w:p>
    <w:tbl>
      <w:tblPr>
        <w:tblStyle w:val="Tablaconcuadrcula"/>
        <w:tblW w:w="4938" w:type="pct"/>
        <w:tblInd w:w="108" w:type="dxa"/>
        <w:tblLook w:val="04A0" w:firstRow="1" w:lastRow="0" w:firstColumn="1" w:lastColumn="0" w:noHBand="0" w:noVBand="1"/>
      </w:tblPr>
      <w:tblGrid>
        <w:gridCol w:w="2048"/>
        <w:gridCol w:w="2181"/>
        <w:gridCol w:w="2232"/>
        <w:gridCol w:w="2151"/>
      </w:tblGrid>
      <w:tr w:rsidR="009F3DBD" w:rsidRPr="00111DC0" w14:paraId="13C0B4CD" w14:textId="77777777" w:rsidTr="00B47CA8">
        <w:trPr>
          <w:trHeight w:val="396"/>
        </w:trPr>
        <w:tc>
          <w:tcPr>
            <w:tcW w:w="5000" w:type="pct"/>
            <w:gridSpan w:val="4"/>
            <w:tcBorders>
              <w:top w:val="double" w:sz="4" w:space="0" w:color="auto"/>
              <w:left w:val="double" w:sz="4" w:space="0" w:color="auto"/>
              <w:right w:val="double" w:sz="4" w:space="0" w:color="auto"/>
            </w:tcBorders>
            <w:shd w:val="clear" w:color="auto" w:fill="78BE20"/>
            <w:vAlign w:val="center"/>
          </w:tcPr>
          <w:p w14:paraId="0BE9647D" w14:textId="6AE3D382" w:rsidR="009F3DBD" w:rsidRPr="00111DC0" w:rsidRDefault="00983982" w:rsidP="000F4CC1">
            <w:pPr>
              <w:widowControl w:val="0"/>
              <w:spacing w:before="0" w:after="0" w:line="240" w:lineRule="auto"/>
              <w:jc w:val="left"/>
              <w:rPr>
                <w:rFonts w:eastAsiaTheme="majorEastAsia" w:cs="Arial"/>
                <w:b/>
                <w:bCs/>
                <w:snapToGrid w:val="0"/>
                <w:color w:val="78BE20"/>
                <w:szCs w:val="26"/>
              </w:rPr>
            </w:pPr>
            <w:r>
              <w:rPr>
                <w:rFonts w:cs="Arial"/>
                <w:b/>
                <w:bCs/>
              </w:rPr>
              <w:br w:type="page"/>
            </w:r>
            <w:r w:rsidR="009F3DBD" w:rsidRPr="00111DC0">
              <w:rPr>
                <w:rFonts w:cs="Arial"/>
                <w:b/>
                <w:bCs/>
                <w:color w:val="FFFFFF" w:themeColor="background1"/>
                <w:szCs w:val="20"/>
              </w:rPr>
              <w:t xml:space="preserve">Tabla </w:t>
            </w:r>
            <w:r w:rsidR="00A20210">
              <w:rPr>
                <w:rFonts w:cs="Arial"/>
                <w:b/>
                <w:bCs/>
                <w:color w:val="FFFFFF" w:themeColor="background1"/>
                <w:szCs w:val="20"/>
              </w:rPr>
              <w:t>10</w:t>
            </w:r>
            <w:r w:rsidR="009F3DBD" w:rsidRPr="00111DC0">
              <w:rPr>
                <w:rFonts w:cs="Arial"/>
                <w:b/>
                <w:bCs/>
                <w:color w:val="FFFFFF" w:themeColor="background1"/>
                <w:szCs w:val="20"/>
              </w:rPr>
              <w:t>. Promedio y brecha de género en las retribuciones reales del personal funcionario</w:t>
            </w:r>
          </w:p>
        </w:tc>
      </w:tr>
      <w:tr w:rsidR="009F3DBD" w:rsidRPr="00111DC0" w14:paraId="06DE95A8" w14:textId="77777777" w:rsidTr="00B47CA8">
        <w:trPr>
          <w:trHeight w:val="278"/>
        </w:trPr>
        <w:tc>
          <w:tcPr>
            <w:tcW w:w="1189" w:type="pct"/>
            <w:vMerge w:val="restart"/>
            <w:tcBorders>
              <w:top w:val="double" w:sz="4" w:space="0" w:color="auto"/>
              <w:left w:val="double" w:sz="4" w:space="0" w:color="auto"/>
              <w:right w:val="double" w:sz="4" w:space="0" w:color="auto"/>
            </w:tcBorders>
            <w:vAlign w:val="center"/>
          </w:tcPr>
          <w:p w14:paraId="62E4E873" w14:textId="77777777" w:rsidR="009F3DBD" w:rsidRPr="00111DC0" w:rsidRDefault="009F3DBD" w:rsidP="00EF2ED1">
            <w:pPr>
              <w:spacing w:before="0" w:after="0" w:line="259" w:lineRule="auto"/>
              <w:jc w:val="right"/>
              <w:rPr>
                <w:rFonts w:eastAsiaTheme="majorEastAsia" w:cs="Arial"/>
                <w:b/>
                <w:bCs/>
                <w:snapToGrid w:val="0"/>
                <w:color w:val="78BE20"/>
                <w:szCs w:val="26"/>
              </w:rPr>
            </w:pPr>
            <w:r w:rsidRPr="00111DC0">
              <w:rPr>
                <w:rFonts w:eastAsiaTheme="majorEastAsia" w:cs="Arial"/>
                <w:b/>
                <w:bCs/>
                <w:snapToGrid w:val="0"/>
                <w:color w:val="78BE20"/>
                <w:szCs w:val="26"/>
              </w:rPr>
              <w:t>GRUPO</w:t>
            </w:r>
          </w:p>
        </w:tc>
        <w:tc>
          <w:tcPr>
            <w:tcW w:w="2562" w:type="pct"/>
            <w:gridSpan w:val="2"/>
            <w:tcBorders>
              <w:top w:val="double" w:sz="4" w:space="0" w:color="auto"/>
              <w:left w:val="double" w:sz="4" w:space="0" w:color="auto"/>
              <w:bottom w:val="single" w:sz="4" w:space="0" w:color="auto"/>
              <w:right w:val="double" w:sz="4" w:space="0" w:color="auto"/>
            </w:tcBorders>
            <w:vAlign w:val="center"/>
          </w:tcPr>
          <w:p w14:paraId="02B664AA" w14:textId="77777777" w:rsidR="009F3DBD" w:rsidRPr="00111DC0" w:rsidRDefault="009F3DBD" w:rsidP="000F4CC1">
            <w:pPr>
              <w:widowControl w:val="0"/>
              <w:spacing w:before="0" w:after="0" w:line="240"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PROMEDIO</w:t>
            </w:r>
          </w:p>
        </w:tc>
        <w:tc>
          <w:tcPr>
            <w:tcW w:w="1249" w:type="pct"/>
            <w:vMerge w:val="restart"/>
            <w:tcBorders>
              <w:top w:val="double" w:sz="4" w:space="0" w:color="000000"/>
              <w:left w:val="double" w:sz="4" w:space="0" w:color="auto"/>
              <w:right w:val="double" w:sz="4" w:space="0" w:color="auto"/>
            </w:tcBorders>
            <w:vAlign w:val="center"/>
          </w:tcPr>
          <w:p w14:paraId="2A407BEA" w14:textId="77777777" w:rsidR="009F3DBD" w:rsidRPr="00111DC0" w:rsidRDefault="009F3DBD" w:rsidP="000F4CC1">
            <w:pPr>
              <w:widowControl w:val="0"/>
              <w:spacing w:before="0" w:after="0" w:line="240"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BRECHA SALARIAL</w:t>
            </w:r>
          </w:p>
        </w:tc>
      </w:tr>
      <w:tr w:rsidR="009F3DBD" w:rsidRPr="00111DC0" w14:paraId="7970424A" w14:textId="77777777" w:rsidTr="00C64B27">
        <w:tc>
          <w:tcPr>
            <w:tcW w:w="1189" w:type="pct"/>
            <w:vMerge/>
            <w:tcBorders>
              <w:left w:val="double" w:sz="4" w:space="0" w:color="auto"/>
              <w:bottom w:val="double" w:sz="4" w:space="0" w:color="auto"/>
              <w:right w:val="double" w:sz="4" w:space="0" w:color="auto"/>
            </w:tcBorders>
            <w:vAlign w:val="center"/>
          </w:tcPr>
          <w:p w14:paraId="242009C0" w14:textId="77777777" w:rsidR="009F3DBD" w:rsidRPr="00111DC0" w:rsidRDefault="009F3DBD" w:rsidP="00EF2ED1">
            <w:pPr>
              <w:spacing w:before="0" w:after="0" w:line="259" w:lineRule="auto"/>
              <w:jc w:val="right"/>
              <w:rPr>
                <w:rFonts w:eastAsiaTheme="majorEastAsia" w:cs="Arial"/>
                <w:b/>
                <w:bCs/>
                <w:snapToGrid w:val="0"/>
                <w:color w:val="78BE20"/>
                <w:szCs w:val="26"/>
              </w:rPr>
            </w:pPr>
          </w:p>
        </w:tc>
        <w:tc>
          <w:tcPr>
            <w:tcW w:w="1266" w:type="pct"/>
            <w:tcBorders>
              <w:top w:val="single" w:sz="4" w:space="0" w:color="auto"/>
              <w:left w:val="double" w:sz="4" w:space="0" w:color="auto"/>
              <w:bottom w:val="double" w:sz="4" w:space="0" w:color="auto"/>
            </w:tcBorders>
            <w:vAlign w:val="center"/>
          </w:tcPr>
          <w:p w14:paraId="7C22DBAB" w14:textId="77777777" w:rsidR="009F3DBD" w:rsidRPr="00111DC0" w:rsidRDefault="009F3DBD" w:rsidP="000F4CC1">
            <w:pPr>
              <w:spacing w:before="0" w:after="0" w:line="259" w:lineRule="auto"/>
              <w:jc w:val="center"/>
              <w:rPr>
                <w:rFonts w:eastAsiaTheme="majorEastAsia" w:cs="Arial"/>
                <w:b/>
                <w:bCs/>
                <w:snapToGrid w:val="0"/>
                <w:color w:val="78BE20"/>
                <w:szCs w:val="26"/>
              </w:rPr>
            </w:pPr>
            <w:r w:rsidRPr="00111DC0">
              <w:rPr>
                <w:rFonts w:cs="Arial"/>
                <w:b/>
                <w:bCs/>
                <w:sz w:val="20"/>
                <w:szCs w:val="18"/>
              </w:rPr>
              <w:t>MUJERES</w:t>
            </w:r>
          </w:p>
        </w:tc>
        <w:tc>
          <w:tcPr>
            <w:tcW w:w="1296" w:type="pct"/>
            <w:tcBorders>
              <w:top w:val="single" w:sz="4" w:space="0" w:color="auto"/>
              <w:bottom w:val="double" w:sz="4" w:space="0" w:color="auto"/>
              <w:right w:val="double" w:sz="4" w:space="0" w:color="auto"/>
            </w:tcBorders>
            <w:vAlign w:val="center"/>
          </w:tcPr>
          <w:p w14:paraId="605235EA" w14:textId="77777777" w:rsidR="009F3DBD" w:rsidRPr="00111DC0" w:rsidRDefault="009F3DBD" w:rsidP="000F4CC1">
            <w:pPr>
              <w:spacing w:before="0" w:after="0" w:line="259" w:lineRule="auto"/>
              <w:jc w:val="center"/>
              <w:rPr>
                <w:rFonts w:cs="Arial"/>
                <w:sz w:val="20"/>
                <w:szCs w:val="18"/>
              </w:rPr>
            </w:pPr>
            <w:r w:rsidRPr="00111DC0">
              <w:rPr>
                <w:rFonts w:cs="Arial"/>
                <w:b/>
                <w:bCs/>
                <w:sz w:val="20"/>
                <w:szCs w:val="18"/>
              </w:rPr>
              <w:t>HOMBRES</w:t>
            </w:r>
          </w:p>
        </w:tc>
        <w:tc>
          <w:tcPr>
            <w:tcW w:w="1249" w:type="pct"/>
            <w:vMerge/>
            <w:tcBorders>
              <w:left w:val="double" w:sz="4" w:space="0" w:color="auto"/>
              <w:bottom w:val="double" w:sz="4" w:space="0" w:color="auto"/>
              <w:right w:val="double" w:sz="4" w:space="0" w:color="auto"/>
            </w:tcBorders>
            <w:vAlign w:val="center"/>
          </w:tcPr>
          <w:p w14:paraId="4CEB4985" w14:textId="77777777" w:rsidR="009F3DBD" w:rsidRPr="00111DC0" w:rsidRDefault="009F3DBD" w:rsidP="000F4CC1">
            <w:pPr>
              <w:spacing w:before="0" w:after="0" w:line="259" w:lineRule="auto"/>
              <w:jc w:val="center"/>
              <w:rPr>
                <w:rFonts w:cs="Arial"/>
                <w:sz w:val="20"/>
                <w:szCs w:val="18"/>
              </w:rPr>
            </w:pPr>
          </w:p>
        </w:tc>
      </w:tr>
      <w:tr w:rsidR="009F3DBD" w:rsidRPr="00111DC0" w14:paraId="5D8D2DCE" w14:textId="77777777" w:rsidTr="00D40E0F">
        <w:tc>
          <w:tcPr>
            <w:tcW w:w="1189" w:type="pct"/>
            <w:tcBorders>
              <w:top w:val="double" w:sz="4" w:space="0" w:color="auto"/>
              <w:left w:val="double" w:sz="4" w:space="0" w:color="auto"/>
              <w:bottom w:val="single" w:sz="4" w:space="0" w:color="000000"/>
              <w:right w:val="double" w:sz="4" w:space="0" w:color="auto"/>
            </w:tcBorders>
            <w:vAlign w:val="center"/>
          </w:tcPr>
          <w:p w14:paraId="62ABFBF4" w14:textId="77777777" w:rsidR="009F3DBD" w:rsidRPr="00EF2ED1" w:rsidRDefault="009F3DBD" w:rsidP="00EF2ED1">
            <w:pPr>
              <w:spacing w:before="0" w:after="0" w:line="259" w:lineRule="auto"/>
              <w:jc w:val="right"/>
              <w:rPr>
                <w:rFonts w:cs="Arial"/>
                <w:sz w:val="20"/>
                <w:szCs w:val="18"/>
              </w:rPr>
            </w:pPr>
            <w:r w:rsidRPr="00EF2ED1">
              <w:rPr>
                <w:rFonts w:cs="Arial"/>
                <w:sz w:val="20"/>
                <w:szCs w:val="18"/>
              </w:rPr>
              <w:t>A1</w:t>
            </w:r>
          </w:p>
        </w:tc>
        <w:tc>
          <w:tcPr>
            <w:tcW w:w="1266" w:type="pct"/>
            <w:tcBorders>
              <w:top w:val="double" w:sz="4" w:space="0" w:color="auto"/>
              <w:left w:val="double" w:sz="4" w:space="0" w:color="auto"/>
            </w:tcBorders>
            <w:vAlign w:val="center"/>
          </w:tcPr>
          <w:p w14:paraId="7AEDAF35"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3.358,22</w:t>
            </w:r>
          </w:p>
        </w:tc>
        <w:tc>
          <w:tcPr>
            <w:tcW w:w="1296" w:type="pct"/>
            <w:tcBorders>
              <w:top w:val="double" w:sz="4" w:space="0" w:color="auto"/>
              <w:right w:val="double" w:sz="4" w:space="0" w:color="auto"/>
            </w:tcBorders>
            <w:shd w:val="clear" w:color="auto" w:fill="auto"/>
            <w:vAlign w:val="center"/>
          </w:tcPr>
          <w:p w14:paraId="0B676FDB"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3.580,22</w:t>
            </w:r>
          </w:p>
        </w:tc>
        <w:tc>
          <w:tcPr>
            <w:tcW w:w="1249" w:type="pct"/>
            <w:tcBorders>
              <w:top w:val="double" w:sz="4" w:space="0" w:color="auto"/>
              <w:left w:val="double" w:sz="4" w:space="0" w:color="auto"/>
              <w:right w:val="double" w:sz="4" w:space="0" w:color="auto"/>
            </w:tcBorders>
            <w:vAlign w:val="center"/>
          </w:tcPr>
          <w:p w14:paraId="1A3AD1BE"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6%</w:t>
            </w:r>
          </w:p>
        </w:tc>
      </w:tr>
      <w:tr w:rsidR="009F3DBD" w:rsidRPr="00111DC0" w14:paraId="10F76427" w14:textId="77777777" w:rsidTr="00A60E61">
        <w:tc>
          <w:tcPr>
            <w:tcW w:w="1189" w:type="pct"/>
            <w:tcBorders>
              <w:top w:val="single" w:sz="4" w:space="0" w:color="000000"/>
              <w:left w:val="double" w:sz="4" w:space="0" w:color="auto"/>
              <w:bottom w:val="single" w:sz="4" w:space="0" w:color="000000"/>
              <w:right w:val="double" w:sz="4" w:space="0" w:color="auto"/>
            </w:tcBorders>
            <w:vAlign w:val="center"/>
          </w:tcPr>
          <w:p w14:paraId="0C231221" w14:textId="77777777" w:rsidR="009F3DBD" w:rsidRPr="00EF2ED1" w:rsidRDefault="009F3DBD" w:rsidP="00EF2ED1">
            <w:pPr>
              <w:spacing w:before="0" w:after="0" w:line="259" w:lineRule="auto"/>
              <w:jc w:val="right"/>
              <w:rPr>
                <w:rFonts w:cs="Arial"/>
                <w:sz w:val="20"/>
                <w:szCs w:val="18"/>
              </w:rPr>
            </w:pPr>
            <w:r w:rsidRPr="00EF2ED1">
              <w:rPr>
                <w:rFonts w:cs="Arial"/>
                <w:sz w:val="20"/>
                <w:szCs w:val="18"/>
              </w:rPr>
              <w:t>A2</w:t>
            </w:r>
          </w:p>
        </w:tc>
        <w:tc>
          <w:tcPr>
            <w:tcW w:w="1266" w:type="pct"/>
            <w:tcBorders>
              <w:left w:val="double" w:sz="4" w:space="0" w:color="auto"/>
              <w:bottom w:val="single" w:sz="4" w:space="0" w:color="000000"/>
            </w:tcBorders>
            <w:vAlign w:val="center"/>
          </w:tcPr>
          <w:p w14:paraId="387B2ABF"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2.511,97</w:t>
            </w:r>
          </w:p>
        </w:tc>
        <w:tc>
          <w:tcPr>
            <w:tcW w:w="1296" w:type="pct"/>
            <w:tcBorders>
              <w:right w:val="double" w:sz="4" w:space="0" w:color="auto"/>
            </w:tcBorders>
            <w:shd w:val="clear" w:color="auto" w:fill="auto"/>
            <w:vAlign w:val="center"/>
          </w:tcPr>
          <w:p w14:paraId="6823A20C"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2.708,39</w:t>
            </w:r>
          </w:p>
        </w:tc>
        <w:tc>
          <w:tcPr>
            <w:tcW w:w="1249" w:type="pct"/>
            <w:tcBorders>
              <w:left w:val="double" w:sz="4" w:space="0" w:color="auto"/>
              <w:right w:val="double" w:sz="4" w:space="0" w:color="auto"/>
            </w:tcBorders>
            <w:vAlign w:val="center"/>
          </w:tcPr>
          <w:p w14:paraId="3A0C9D32"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7%</w:t>
            </w:r>
          </w:p>
        </w:tc>
      </w:tr>
      <w:tr w:rsidR="009F3DBD" w:rsidRPr="00111DC0" w14:paraId="3C58E30B" w14:textId="77777777" w:rsidTr="00A60E61">
        <w:tc>
          <w:tcPr>
            <w:tcW w:w="1189" w:type="pct"/>
            <w:tcBorders>
              <w:top w:val="single" w:sz="4" w:space="0" w:color="000000"/>
              <w:left w:val="double" w:sz="4" w:space="0" w:color="auto"/>
              <w:bottom w:val="single" w:sz="4" w:space="0" w:color="000000"/>
              <w:right w:val="double" w:sz="4" w:space="0" w:color="auto"/>
            </w:tcBorders>
            <w:vAlign w:val="center"/>
          </w:tcPr>
          <w:p w14:paraId="7DC9EF9A" w14:textId="77777777" w:rsidR="009F3DBD" w:rsidRPr="00EF2ED1" w:rsidRDefault="009F3DBD" w:rsidP="00EF2ED1">
            <w:pPr>
              <w:spacing w:before="0" w:after="0" w:line="259" w:lineRule="auto"/>
              <w:jc w:val="right"/>
              <w:rPr>
                <w:rFonts w:cs="Arial"/>
                <w:sz w:val="20"/>
                <w:szCs w:val="18"/>
              </w:rPr>
            </w:pPr>
            <w:r w:rsidRPr="00EF2ED1">
              <w:rPr>
                <w:rFonts w:cs="Arial"/>
                <w:sz w:val="20"/>
                <w:szCs w:val="18"/>
              </w:rPr>
              <w:t>C1</w:t>
            </w:r>
          </w:p>
        </w:tc>
        <w:tc>
          <w:tcPr>
            <w:tcW w:w="1266" w:type="pct"/>
            <w:tcBorders>
              <w:top w:val="single" w:sz="4" w:space="0" w:color="000000"/>
              <w:left w:val="double" w:sz="4" w:space="0" w:color="auto"/>
            </w:tcBorders>
            <w:vAlign w:val="center"/>
          </w:tcPr>
          <w:p w14:paraId="46F9D311"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1.758,14</w:t>
            </w:r>
          </w:p>
        </w:tc>
        <w:tc>
          <w:tcPr>
            <w:tcW w:w="1296" w:type="pct"/>
            <w:tcBorders>
              <w:right w:val="double" w:sz="4" w:space="0" w:color="auto"/>
            </w:tcBorders>
            <w:shd w:val="clear" w:color="auto" w:fill="auto"/>
            <w:vAlign w:val="center"/>
          </w:tcPr>
          <w:p w14:paraId="79231135"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1.965,52</w:t>
            </w:r>
          </w:p>
        </w:tc>
        <w:tc>
          <w:tcPr>
            <w:tcW w:w="1249" w:type="pct"/>
            <w:tcBorders>
              <w:left w:val="double" w:sz="4" w:space="0" w:color="auto"/>
              <w:right w:val="double" w:sz="4" w:space="0" w:color="auto"/>
            </w:tcBorders>
            <w:vAlign w:val="center"/>
          </w:tcPr>
          <w:p w14:paraId="51581CE2"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11%</w:t>
            </w:r>
          </w:p>
        </w:tc>
      </w:tr>
      <w:tr w:rsidR="009F3DBD" w:rsidRPr="00111DC0" w14:paraId="3D0ED451" w14:textId="77777777" w:rsidTr="00A60E61">
        <w:tc>
          <w:tcPr>
            <w:tcW w:w="1189" w:type="pct"/>
            <w:tcBorders>
              <w:top w:val="single" w:sz="4" w:space="0" w:color="000000"/>
              <w:left w:val="double" w:sz="4" w:space="0" w:color="auto"/>
              <w:bottom w:val="single" w:sz="4" w:space="0" w:color="000000"/>
              <w:right w:val="double" w:sz="4" w:space="0" w:color="auto"/>
            </w:tcBorders>
            <w:vAlign w:val="center"/>
          </w:tcPr>
          <w:p w14:paraId="390AE7C6" w14:textId="77777777" w:rsidR="009F3DBD" w:rsidRPr="00EF2ED1" w:rsidRDefault="009F3DBD" w:rsidP="00EF2ED1">
            <w:pPr>
              <w:spacing w:before="0" w:after="0" w:line="259" w:lineRule="auto"/>
              <w:jc w:val="right"/>
              <w:rPr>
                <w:rFonts w:cs="Arial"/>
                <w:sz w:val="20"/>
                <w:szCs w:val="18"/>
              </w:rPr>
            </w:pPr>
            <w:r w:rsidRPr="00EF2ED1">
              <w:rPr>
                <w:rFonts w:cs="Arial"/>
                <w:sz w:val="20"/>
                <w:szCs w:val="18"/>
              </w:rPr>
              <w:t>C2</w:t>
            </w:r>
          </w:p>
        </w:tc>
        <w:tc>
          <w:tcPr>
            <w:tcW w:w="1266" w:type="pct"/>
            <w:tcBorders>
              <w:left w:val="double" w:sz="4" w:space="0" w:color="auto"/>
            </w:tcBorders>
            <w:vAlign w:val="center"/>
          </w:tcPr>
          <w:p w14:paraId="726A7B68"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1.583,32</w:t>
            </w:r>
          </w:p>
        </w:tc>
        <w:tc>
          <w:tcPr>
            <w:tcW w:w="1296" w:type="pct"/>
            <w:tcBorders>
              <w:right w:val="double" w:sz="4" w:space="0" w:color="auto"/>
            </w:tcBorders>
            <w:shd w:val="clear" w:color="auto" w:fill="auto"/>
            <w:vAlign w:val="center"/>
          </w:tcPr>
          <w:p w14:paraId="7A0D34DF"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1.601,25</w:t>
            </w:r>
          </w:p>
        </w:tc>
        <w:tc>
          <w:tcPr>
            <w:tcW w:w="1249" w:type="pct"/>
            <w:tcBorders>
              <w:left w:val="double" w:sz="4" w:space="0" w:color="auto"/>
              <w:right w:val="double" w:sz="4" w:space="0" w:color="auto"/>
            </w:tcBorders>
            <w:vAlign w:val="center"/>
          </w:tcPr>
          <w:p w14:paraId="67B24506"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1%</w:t>
            </w:r>
          </w:p>
        </w:tc>
      </w:tr>
      <w:tr w:rsidR="009F3DBD" w:rsidRPr="00111DC0" w14:paraId="7BD30C67" w14:textId="77777777" w:rsidTr="00A60E61">
        <w:tc>
          <w:tcPr>
            <w:tcW w:w="1189" w:type="pct"/>
            <w:tcBorders>
              <w:top w:val="single" w:sz="4" w:space="0" w:color="000000"/>
              <w:left w:val="double" w:sz="4" w:space="0" w:color="auto"/>
              <w:bottom w:val="single" w:sz="4" w:space="0" w:color="000000"/>
              <w:right w:val="double" w:sz="4" w:space="0" w:color="auto"/>
            </w:tcBorders>
            <w:vAlign w:val="center"/>
          </w:tcPr>
          <w:p w14:paraId="7CF3F8CB" w14:textId="77777777" w:rsidR="009F3DBD" w:rsidRPr="00EF2ED1" w:rsidRDefault="009F3DBD" w:rsidP="00EF2ED1">
            <w:pPr>
              <w:spacing w:before="0" w:after="0" w:line="259" w:lineRule="auto"/>
              <w:jc w:val="right"/>
              <w:rPr>
                <w:rFonts w:cs="Arial"/>
                <w:sz w:val="20"/>
                <w:szCs w:val="18"/>
              </w:rPr>
            </w:pPr>
            <w:r w:rsidRPr="00EF2ED1">
              <w:rPr>
                <w:rFonts w:cs="Arial"/>
                <w:sz w:val="20"/>
                <w:szCs w:val="18"/>
              </w:rPr>
              <w:t>E</w:t>
            </w:r>
          </w:p>
        </w:tc>
        <w:tc>
          <w:tcPr>
            <w:tcW w:w="1266" w:type="pct"/>
            <w:tcBorders>
              <w:left w:val="double" w:sz="4" w:space="0" w:color="auto"/>
            </w:tcBorders>
            <w:vAlign w:val="center"/>
          </w:tcPr>
          <w:p w14:paraId="369C8DFD"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1.397,91</w:t>
            </w:r>
          </w:p>
        </w:tc>
        <w:tc>
          <w:tcPr>
            <w:tcW w:w="1296" w:type="pct"/>
            <w:tcBorders>
              <w:right w:val="double" w:sz="4" w:space="0" w:color="auto"/>
            </w:tcBorders>
            <w:shd w:val="clear" w:color="auto" w:fill="auto"/>
            <w:vAlign w:val="center"/>
          </w:tcPr>
          <w:p w14:paraId="2F0001B2"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1.478,51</w:t>
            </w:r>
          </w:p>
        </w:tc>
        <w:tc>
          <w:tcPr>
            <w:tcW w:w="1249" w:type="pct"/>
            <w:tcBorders>
              <w:left w:val="double" w:sz="4" w:space="0" w:color="auto"/>
              <w:right w:val="double" w:sz="4" w:space="0" w:color="auto"/>
            </w:tcBorders>
            <w:vAlign w:val="center"/>
          </w:tcPr>
          <w:p w14:paraId="2E4DDAE3"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5%</w:t>
            </w:r>
          </w:p>
        </w:tc>
      </w:tr>
      <w:tr w:rsidR="009F3DBD" w:rsidRPr="00111DC0" w14:paraId="34925E7D" w14:textId="77777777" w:rsidTr="00A60E61">
        <w:tc>
          <w:tcPr>
            <w:tcW w:w="1189" w:type="pct"/>
            <w:tcBorders>
              <w:top w:val="single" w:sz="4" w:space="0" w:color="000000"/>
              <w:left w:val="double" w:sz="4" w:space="0" w:color="auto"/>
              <w:right w:val="double" w:sz="4" w:space="0" w:color="auto"/>
            </w:tcBorders>
            <w:vAlign w:val="center"/>
          </w:tcPr>
          <w:p w14:paraId="6A8FD8BB" w14:textId="77777777" w:rsidR="009F3DBD" w:rsidRPr="00EF2ED1" w:rsidRDefault="009F3DBD" w:rsidP="00EF2ED1">
            <w:pPr>
              <w:spacing w:before="0" w:after="0" w:line="259" w:lineRule="auto"/>
              <w:jc w:val="right"/>
              <w:rPr>
                <w:rFonts w:cs="Arial"/>
                <w:sz w:val="20"/>
                <w:szCs w:val="18"/>
              </w:rPr>
            </w:pPr>
            <w:r w:rsidRPr="00EF2ED1">
              <w:rPr>
                <w:rFonts w:cs="Arial"/>
                <w:sz w:val="20"/>
                <w:szCs w:val="18"/>
              </w:rPr>
              <w:t>Altos cargos</w:t>
            </w:r>
          </w:p>
        </w:tc>
        <w:tc>
          <w:tcPr>
            <w:tcW w:w="1266" w:type="pct"/>
            <w:tcBorders>
              <w:left w:val="double" w:sz="4" w:space="0" w:color="auto"/>
            </w:tcBorders>
            <w:vAlign w:val="center"/>
          </w:tcPr>
          <w:p w14:paraId="2B7A6DF4"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5.022,01</w:t>
            </w:r>
          </w:p>
        </w:tc>
        <w:tc>
          <w:tcPr>
            <w:tcW w:w="1296" w:type="pct"/>
            <w:tcBorders>
              <w:right w:val="double" w:sz="4" w:space="0" w:color="auto"/>
            </w:tcBorders>
            <w:shd w:val="clear" w:color="auto" w:fill="auto"/>
            <w:vAlign w:val="center"/>
          </w:tcPr>
          <w:p w14:paraId="12D8F253"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5.003,77</w:t>
            </w:r>
          </w:p>
        </w:tc>
        <w:tc>
          <w:tcPr>
            <w:tcW w:w="1249" w:type="pct"/>
            <w:tcBorders>
              <w:left w:val="double" w:sz="4" w:space="0" w:color="auto"/>
              <w:right w:val="double" w:sz="4" w:space="0" w:color="auto"/>
            </w:tcBorders>
            <w:vAlign w:val="center"/>
          </w:tcPr>
          <w:p w14:paraId="27D514F9"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0%</w:t>
            </w:r>
          </w:p>
        </w:tc>
      </w:tr>
      <w:tr w:rsidR="009F3DBD" w:rsidRPr="00111DC0" w14:paraId="05D78FE4" w14:textId="77777777" w:rsidTr="00A60E61">
        <w:tc>
          <w:tcPr>
            <w:tcW w:w="1189" w:type="pct"/>
            <w:tcBorders>
              <w:left w:val="double" w:sz="4" w:space="0" w:color="auto"/>
              <w:bottom w:val="single" w:sz="4" w:space="0" w:color="000000"/>
              <w:right w:val="double" w:sz="4" w:space="0" w:color="auto"/>
            </w:tcBorders>
            <w:vAlign w:val="center"/>
          </w:tcPr>
          <w:p w14:paraId="6E3FA691" w14:textId="77777777" w:rsidR="009F3DBD" w:rsidRPr="00EF2ED1" w:rsidRDefault="009F3DBD" w:rsidP="00EF2ED1">
            <w:pPr>
              <w:spacing w:before="0" w:after="0" w:line="259" w:lineRule="auto"/>
              <w:jc w:val="right"/>
              <w:rPr>
                <w:rFonts w:cs="Arial"/>
                <w:sz w:val="20"/>
                <w:szCs w:val="18"/>
              </w:rPr>
            </w:pPr>
            <w:r w:rsidRPr="00EF2ED1">
              <w:rPr>
                <w:rFonts w:cs="Arial"/>
                <w:sz w:val="20"/>
                <w:szCs w:val="18"/>
              </w:rPr>
              <w:t>P. Eventual</w:t>
            </w:r>
          </w:p>
        </w:tc>
        <w:tc>
          <w:tcPr>
            <w:tcW w:w="1266" w:type="pct"/>
            <w:tcBorders>
              <w:left w:val="double" w:sz="4" w:space="0" w:color="auto"/>
            </w:tcBorders>
            <w:vAlign w:val="center"/>
          </w:tcPr>
          <w:p w14:paraId="1AE5FB9E"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2.397,49</w:t>
            </w:r>
          </w:p>
        </w:tc>
        <w:tc>
          <w:tcPr>
            <w:tcW w:w="1296" w:type="pct"/>
            <w:tcBorders>
              <w:right w:val="double" w:sz="4" w:space="0" w:color="auto"/>
            </w:tcBorders>
            <w:shd w:val="clear" w:color="auto" w:fill="auto"/>
            <w:vAlign w:val="center"/>
          </w:tcPr>
          <w:p w14:paraId="03F2A874"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2.769,53</w:t>
            </w:r>
          </w:p>
        </w:tc>
        <w:tc>
          <w:tcPr>
            <w:tcW w:w="1249" w:type="pct"/>
            <w:tcBorders>
              <w:left w:val="double" w:sz="4" w:space="0" w:color="auto"/>
              <w:right w:val="double" w:sz="4" w:space="0" w:color="auto"/>
            </w:tcBorders>
            <w:vAlign w:val="center"/>
          </w:tcPr>
          <w:p w14:paraId="0F352BA2" w14:textId="77777777" w:rsidR="009F3DBD" w:rsidRPr="00111DC0" w:rsidRDefault="009F3DBD" w:rsidP="000F4CC1">
            <w:pPr>
              <w:spacing w:before="0" w:after="0" w:line="259" w:lineRule="auto"/>
              <w:jc w:val="center"/>
              <w:rPr>
                <w:rFonts w:cs="Arial"/>
                <w:sz w:val="20"/>
                <w:szCs w:val="18"/>
              </w:rPr>
            </w:pPr>
            <w:r w:rsidRPr="00111DC0">
              <w:rPr>
                <w:rFonts w:cs="Arial"/>
                <w:sz w:val="20"/>
                <w:szCs w:val="18"/>
              </w:rPr>
              <w:t>13%</w:t>
            </w:r>
          </w:p>
        </w:tc>
      </w:tr>
      <w:tr w:rsidR="009F3DBD" w:rsidRPr="00111DC0" w14:paraId="0351A990" w14:textId="77777777" w:rsidTr="00D40E0F">
        <w:tc>
          <w:tcPr>
            <w:tcW w:w="1189" w:type="pct"/>
            <w:tcBorders>
              <w:top w:val="single" w:sz="4" w:space="0" w:color="000000"/>
              <w:left w:val="double" w:sz="4" w:space="0" w:color="auto"/>
              <w:bottom w:val="double" w:sz="4" w:space="0" w:color="auto"/>
              <w:right w:val="double" w:sz="4" w:space="0" w:color="auto"/>
            </w:tcBorders>
            <w:vAlign w:val="center"/>
          </w:tcPr>
          <w:p w14:paraId="39B7CD7C" w14:textId="77777777" w:rsidR="009F3DBD" w:rsidRPr="00111DC0" w:rsidRDefault="009F3DBD" w:rsidP="00EF2ED1">
            <w:pPr>
              <w:spacing w:before="0" w:after="0" w:line="259" w:lineRule="auto"/>
              <w:jc w:val="right"/>
              <w:rPr>
                <w:rFonts w:cs="Arial"/>
                <w:b/>
                <w:bCs/>
                <w:sz w:val="20"/>
                <w:szCs w:val="18"/>
              </w:rPr>
            </w:pPr>
            <w:r w:rsidRPr="00111DC0">
              <w:rPr>
                <w:rFonts w:cs="Arial"/>
                <w:b/>
                <w:bCs/>
                <w:sz w:val="20"/>
                <w:szCs w:val="18"/>
              </w:rPr>
              <w:t>TOTAL</w:t>
            </w:r>
          </w:p>
        </w:tc>
        <w:tc>
          <w:tcPr>
            <w:tcW w:w="1266" w:type="pct"/>
            <w:tcBorders>
              <w:left w:val="double" w:sz="4" w:space="0" w:color="auto"/>
              <w:bottom w:val="double" w:sz="4" w:space="0" w:color="auto"/>
            </w:tcBorders>
            <w:vAlign w:val="center"/>
          </w:tcPr>
          <w:p w14:paraId="5B52D59A" w14:textId="77777777" w:rsidR="009F3DBD" w:rsidRPr="00111DC0" w:rsidRDefault="009F3DBD" w:rsidP="000F4CC1">
            <w:pPr>
              <w:spacing w:before="0" w:after="0" w:line="259" w:lineRule="auto"/>
              <w:jc w:val="center"/>
              <w:rPr>
                <w:rFonts w:eastAsiaTheme="majorEastAsia" w:cs="Arial"/>
                <w:b/>
                <w:bCs/>
                <w:snapToGrid w:val="0"/>
                <w:color w:val="78BE20"/>
                <w:szCs w:val="26"/>
              </w:rPr>
            </w:pPr>
            <w:r w:rsidRPr="00111DC0">
              <w:rPr>
                <w:rFonts w:cs="Arial"/>
                <w:b/>
                <w:bCs/>
                <w:sz w:val="20"/>
                <w:szCs w:val="18"/>
              </w:rPr>
              <w:t>2.124,25</w:t>
            </w:r>
          </w:p>
        </w:tc>
        <w:tc>
          <w:tcPr>
            <w:tcW w:w="1296" w:type="pct"/>
            <w:tcBorders>
              <w:bottom w:val="double" w:sz="4" w:space="0" w:color="auto"/>
              <w:right w:val="double" w:sz="4" w:space="0" w:color="auto"/>
            </w:tcBorders>
            <w:shd w:val="clear" w:color="auto" w:fill="auto"/>
            <w:vAlign w:val="center"/>
          </w:tcPr>
          <w:p w14:paraId="13D960B2" w14:textId="77777777" w:rsidR="009F3DBD" w:rsidRPr="00111DC0" w:rsidRDefault="009F3DBD" w:rsidP="000F4CC1">
            <w:pPr>
              <w:spacing w:before="0" w:after="0" w:line="259" w:lineRule="auto"/>
              <w:jc w:val="center"/>
              <w:rPr>
                <w:rFonts w:cs="Arial"/>
                <w:b/>
                <w:bCs/>
                <w:sz w:val="20"/>
                <w:szCs w:val="18"/>
              </w:rPr>
            </w:pPr>
            <w:r w:rsidRPr="00111DC0">
              <w:rPr>
                <w:rFonts w:cs="Arial"/>
                <w:b/>
                <w:bCs/>
                <w:sz w:val="20"/>
                <w:szCs w:val="18"/>
              </w:rPr>
              <w:t>2.475,78</w:t>
            </w:r>
          </w:p>
        </w:tc>
        <w:tc>
          <w:tcPr>
            <w:tcW w:w="1249" w:type="pct"/>
            <w:tcBorders>
              <w:left w:val="double" w:sz="4" w:space="0" w:color="auto"/>
              <w:bottom w:val="double" w:sz="4" w:space="0" w:color="auto"/>
              <w:right w:val="double" w:sz="4" w:space="0" w:color="auto"/>
            </w:tcBorders>
            <w:vAlign w:val="center"/>
          </w:tcPr>
          <w:p w14:paraId="155F47C9" w14:textId="77777777" w:rsidR="009F3DBD" w:rsidRPr="00111DC0" w:rsidRDefault="009F3DBD" w:rsidP="000F4CC1">
            <w:pPr>
              <w:spacing w:before="0" w:after="0" w:line="259" w:lineRule="auto"/>
              <w:jc w:val="center"/>
              <w:rPr>
                <w:rFonts w:cs="Arial"/>
                <w:b/>
                <w:bCs/>
                <w:sz w:val="20"/>
                <w:szCs w:val="18"/>
              </w:rPr>
            </w:pPr>
            <w:r w:rsidRPr="00111DC0">
              <w:rPr>
                <w:rFonts w:cs="Arial"/>
                <w:b/>
                <w:bCs/>
                <w:sz w:val="20"/>
                <w:szCs w:val="18"/>
              </w:rPr>
              <w:t>14%</w:t>
            </w:r>
          </w:p>
        </w:tc>
      </w:tr>
    </w:tbl>
    <w:p w14:paraId="6EE2ADFC" w14:textId="77777777" w:rsidR="009F3DBD" w:rsidRPr="00111DC0" w:rsidRDefault="009F3DBD" w:rsidP="009F3DBD">
      <w:pPr>
        <w:rPr>
          <w:rFonts w:cs="Arial"/>
        </w:rPr>
      </w:pPr>
      <w:r w:rsidRPr="00111DC0">
        <w:rPr>
          <w:rFonts w:cs="Arial"/>
        </w:rPr>
        <w:t xml:space="preserve"> </w:t>
      </w:r>
    </w:p>
    <w:p w14:paraId="24B4E506" w14:textId="61983032" w:rsidR="00F10F61" w:rsidRPr="00111DC0" w:rsidRDefault="00C167C1" w:rsidP="00D86851">
      <w:pPr>
        <w:rPr>
          <w:rFonts w:cs="Arial"/>
        </w:rPr>
      </w:pPr>
      <w:r w:rsidRPr="00C167C1">
        <w:rPr>
          <w:rFonts w:cs="Arial"/>
        </w:rPr>
        <w:t xml:space="preserve">En un sistema social marcado por la segregación entre los géneros, que impacta tanto en el tipo de puestos que se desempeñan, en el valor económico que se les atribuye, los roles que ejercen mujeres y hombres, así como en las expectativas que depositan mujeres y hombres sobre sí mismas y que determinan sus decisiones profesionales, se implantan las condiciones para la desigualdad salarial hacia las mujeres. </w:t>
      </w:r>
      <w:r w:rsidR="003C62E5" w:rsidRPr="00C167C1">
        <w:rPr>
          <w:rFonts w:cs="Arial"/>
        </w:rPr>
        <w:t>A</w:t>
      </w:r>
      <w:r w:rsidR="003C62E5" w:rsidRPr="00111DC0">
        <w:rPr>
          <w:rFonts w:cs="Arial"/>
        </w:rPr>
        <w:t xml:space="preserve">tajar las diferencias salariales, por tanto, </w:t>
      </w:r>
      <w:r w:rsidR="00843970" w:rsidRPr="00111DC0">
        <w:rPr>
          <w:rFonts w:cs="Arial"/>
        </w:rPr>
        <w:t>es una tarea que implica un trabajo profundo y lento de transformación social</w:t>
      </w:r>
      <w:r w:rsidR="00DC7B79" w:rsidRPr="00111DC0">
        <w:rPr>
          <w:rFonts w:cs="Arial"/>
        </w:rPr>
        <w:t xml:space="preserve"> feminista</w:t>
      </w:r>
      <w:r w:rsidR="00F10F61" w:rsidRPr="00111DC0">
        <w:rPr>
          <w:rFonts w:cs="Arial"/>
        </w:rPr>
        <w:t xml:space="preserve">. </w:t>
      </w:r>
    </w:p>
    <w:p w14:paraId="7E2E1A65" w14:textId="183ED57D" w:rsidR="00B63620" w:rsidRPr="00111DC0" w:rsidRDefault="00A771CD" w:rsidP="00D86851">
      <w:pPr>
        <w:rPr>
          <w:rFonts w:cs="Arial"/>
        </w:rPr>
      </w:pPr>
      <w:r w:rsidRPr="00111DC0">
        <w:rPr>
          <w:rFonts w:cs="Arial"/>
          <w:b/>
          <w:bCs/>
        </w:rPr>
        <w:t>Entre</w:t>
      </w:r>
      <w:r w:rsidRPr="00111DC0">
        <w:rPr>
          <w:rFonts w:cs="Arial"/>
        </w:rPr>
        <w:t xml:space="preserve"> </w:t>
      </w:r>
      <w:r w:rsidRPr="00111DC0">
        <w:rPr>
          <w:rFonts w:cs="Arial"/>
          <w:b/>
          <w:bCs/>
        </w:rPr>
        <w:t>el personal laboral, l</w:t>
      </w:r>
      <w:r w:rsidR="00A940E3" w:rsidRPr="00111DC0">
        <w:rPr>
          <w:rFonts w:cs="Arial"/>
          <w:b/>
          <w:bCs/>
        </w:rPr>
        <w:t xml:space="preserve">a brecha salarial de género </w:t>
      </w:r>
      <w:r w:rsidRPr="00111DC0">
        <w:rPr>
          <w:rFonts w:cs="Arial"/>
          <w:b/>
          <w:bCs/>
        </w:rPr>
        <w:t xml:space="preserve">de las retribuciones reales totales promediadas </w:t>
      </w:r>
      <w:r w:rsidR="00A940E3" w:rsidRPr="00111DC0">
        <w:rPr>
          <w:rFonts w:cs="Arial"/>
          <w:b/>
          <w:bCs/>
        </w:rPr>
        <w:t xml:space="preserve">es </w:t>
      </w:r>
      <w:r w:rsidR="009F3DBD" w:rsidRPr="00111DC0">
        <w:rPr>
          <w:rFonts w:cs="Arial"/>
          <w:b/>
          <w:bCs/>
        </w:rPr>
        <w:t>del 6%, 8</w:t>
      </w:r>
      <w:r w:rsidRPr="00111DC0">
        <w:rPr>
          <w:rFonts w:cs="Arial"/>
          <w:b/>
          <w:bCs/>
        </w:rPr>
        <w:t xml:space="preserve"> puntos </w:t>
      </w:r>
      <w:proofErr w:type="gramStart"/>
      <w:r w:rsidR="009F3DBD" w:rsidRPr="00111DC0">
        <w:rPr>
          <w:rFonts w:cs="Arial"/>
          <w:b/>
          <w:bCs/>
        </w:rPr>
        <w:t>menor</w:t>
      </w:r>
      <w:proofErr w:type="gramEnd"/>
      <w:r w:rsidR="009F3DBD" w:rsidRPr="00111DC0">
        <w:rPr>
          <w:rFonts w:cs="Arial"/>
          <w:b/>
          <w:bCs/>
        </w:rPr>
        <w:t xml:space="preserve"> que</w:t>
      </w:r>
      <w:r w:rsidRPr="00111DC0">
        <w:rPr>
          <w:rFonts w:cs="Arial"/>
          <w:b/>
          <w:bCs/>
        </w:rPr>
        <w:t xml:space="preserve"> la del personal funcionario</w:t>
      </w:r>
      <w:r w:rsidR="009C0A67">
        <w:rPr>
          <w:rFonts w:cs="Arial"/>
          <w:b/>
          <w:bCs/>
        </w:rPr>
        <w:t>:</w:t>
      </w:r>
    </w:p>
    <w:tbl>
      <w:tblPr>
        <w:tblStyle w:val="Tablaconcuadrcula"/>
        <w:tblW w:w="4938" w:type="pct"/>
        <w:tblInd w:w="108" w:type="dxa"/>
        <w:tblLook w:val="04A0" w:firstRow="1" w:lastRow="0" w:firstColumn="1" w:lastColumn="0" w:noHBand="0" w:noVBand="1"/>
      </w:tblPr>
      <w:tblGrid>
        <w:gridCol w:w="2048"/>
        <w:gridCol w:w="2181"/>
        <w:gridCol w:w="2232"/>
        <w:gridCol w:w="2151"/>
      </w:tblGrid>
      <w:tr w:rsidR="00216EB6" w:rsidRPr="00111DC0" w14:paraId="7073C64E" w14:textId="77777777" w:rsidTr="009C0A67">
        <w:trPr>
          <w:trHeight w:val="483"/>
        </w:trPr>
        <w:tc>
          <w:tcPr>
            <w:tcW w:w="5000" w:type="pct"/>
            <w:gridSpan w:val="4"/>
            <w:tcBorders>
              <w:top w:val="double" w:sz="4" w:space="0" w:color="auto"/>
              <w:left w:val="double" w:sz="4" w:space="0" w:color="auto"/>
              <w:right w:val="double" w:sz="4" w:space="0" w:color="auto"/>
            </w:tcBorders>
            <w:shd w:val="clear" w:color="auto" w:fill="78BE20"/>
            <w:vAlign w:val="center"/>
          </w:tcPr>
          <w:p w14:paraId="20657CDC" w14:textId="38759451" w:rsidR="00216EB6" w:rsidRPr="00111DC0" w:rsidRDefault="00216EB6" w:rsidP="00D86851">
            <w:pPr>
              <w:widowControl w:val="0"/>
              <w:spacing w:before="0" w:after="0" w:line="240" w:lineRule="auto"/>
              <w:jc w:val="left"/>
              <w:rPr>
                <w:rFonts w:eastAsiaTheme="majorEastAsia" w:cs="Arial"/>
                <w:b/>
                <w:bCs/>
                <w:snapToGrid w:val="0"/>
                <w:color w:val="78BE20"/>
                <w:szCs w:val="26"/>
              </w:rPr>
            </w:pPr>
            <w:r w:rsidRPr="00111DC0">
              <w:rPr>
                <w:rFonts w:cs="Arial"/>
                <w:b/>
                <w:bCs/>
                <w:color w:val="FFFFFF" w:themeColor="background1"/>
                <w:szCs w:val="20"/>
              </w:rPr>
              <w:t xml:space="preserve">Tabla </w:t>
            </w:r>
            <w:r w:rsidR="00450DF4" w:rsidRPr="00111DC0">
              <w:rPr>
                <w:rFonts w:cs="Arial"/>
                <w:b/>
                <w:bCs/>
                <w:color w:val="FFFFFF" w:themeColor="background1"/>
                <w:szCs w:val="20"/>
              </w:rPr>
              <w:t>1</w:t>
            </w:r>
            <w:r w:rsidR="00A20210">
              <w:rPr>
                <w:rFonts w:cs="Arial"/>
                <w:b/>
                <w:bCs/>
                <w:color w:val="FFFFFF" w:themeColor="background1"/>
                <w:szCs w:val="20"/>
              </w:rPr>
              <w:t>1</w:t>
            </w:r>
            <w:r w:rsidRPr="00111DC0">
              <w:rPr>
                <w:rFonts w:cs="Arial"/>
                <w:b/>
                <w:bCs/>
                <w:color w:val="FFFFFF" w:themeColor="background1"/>
                <w:szCs w:val="20"/>
              </w:rPr>
              <w:t>. Promedio y brecha de género en las retribuciones reales del personal laboral</w:t>
            </w:r>
          </w:p>
        </w:tc>
      </w:tr>
      <w:tr w:rsidR="00216EB6" w:rsidRPr="00111DC0" w14:paraId="42A4E74B" w14:textId="77777777" w:rsidTr="009C0A67">
        <w:trPr>
          <w:trHeight w:val="363"/>
        </w:trPr>
        <w:tc>
          <w:tcPr>
            <w:tcW w:w="1189" w:type="pct"/>
            <w:vMerge w:val="restart"/>
            <w:tcBorders>
              <w:top w:val="double" w:sz="4" w:space="0" w:color="auto"/>
              <w:left w:val="double" w:sz="4" w:space="0" w:color="auto"/>
              <w:right w:val="double" w:sz="4" w:space="0" w:color="auto"/>
            </w:tcBorders>
            <w:vAlign w:val="center"/>
          </w:tcPr>
          <w:p w14:paraId="248B9BFE" w14:textId="77777777" w:rsidR="00216EB6" w:rsidRPr="00111DC0" w:rsidRDefault="00216EB6" w:rsidP="00EF2ED1">
            <w:pPr>
              <w:spacing w:before="0" w:after="0" w:line="259" w:lineRule="auto"/>
              <w:jc w:val="right"/>
              <w:rPr>
                <w:rFonts w:eastAsiaTheme="majorEastAsia" w:cs="Arial"/>
                <w:b/>
                <w:bCs/>
                <w:snapToGrid w:val="0"/>
                <w:color w:val="78BE20"/>
                <w:szCs w:val="26"/>
              </w:rPr>
            </w:pPr>
            <w:r w:rsidRPr="00111DC0">
              <w:rPr>
                <w:rFonts w:eastAsiaTheme="majorEastAsia" w:cs="Arial"/>
                <w:b/>
                <w:bCs/>
                <w:snapToGrid w:val="0"/>
                <w:color w:val="78BE20"/>
                <w:szCs w:val="26"/>
              </w:rPr>
              <w:t>GRUPO</w:t>
            </w:r>
          </w:p>
        </w:tc>
        <w:tc>
          <w:tcPr>
            <w:tcW w:w="2562" w:type="pct"/>
            <w:gridSpan w:val="2"/>
            <w:tcBorders>
              <w:top w:val="double" w:sz="4" w:space="0" w:color="auto"/>
              <w:left w:val="double" w:sz="4" w:space="0" w:color="auto"/>
              <w:bottom w:val="single" w:sz="4" w:space="0" w:color="auto"/>
              <w:right w:val="double" w:sz="4" w:space="0" w:color="auto"/>
            </w:tcBorders>
            <w:vAlign w:val="center"/>
          </w:tcPr>
          <w:p w14:paraId="1AEC2A47" w14:textId="77777777" w:rsidR="00216EB6" w:rsidRPr="00111DC0" w:rsidRDefault="00216EB6" w:rsidP="00D86851">
            <w:pPr>
              <w:widowControl w:val="0"/>
              <w:spacing w:before="0" w:after="0" w:line="240"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PROMEDIO</w:t>
            </w:r>
          </w:p>
        </w:tc>
        <w:tc>
          <w:tcPr>
            <w:tcW w:w="1249" w:type="pct"/>
            <w:vMerge w:val="restart"/>
            <w:tcBorders>
              <w:left w:val="double" w:sz="4" w:space="0" w:color="auto"/>
              <w:right w:val="double" w:sz="4" w:space="0" w:color="auto"/>
            </w:tcBorders>
            <w:vAlign w:val="center"/>
          </w:tcPr>
          <w:p w14:paraId="711EB8D0" w14:textId="77777777" w:rsidR="00216EB6" w:rsidRPr="00111DC0" w:rsidRDefault="00216EB6" w:rsidP="00D86851">
            <w:pPr>
              <w:widowControl w:val="0"/>
              <w:spacing w:before="0" w:after="0" w:line="240"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BRECHA SALARIAL</w:t>
            </w:r>
          </w:p>
        </w:tc>
      </w:tr>
      <w:tr w:rsidR="00216EB6" w:rsidRPr="00111DC0" w14:paraId="20F4C841" w14:textId="77777777" w:rsidTr="00EC25A8">
        <w:tc>
          <w:tcPr>
            <w:tcW w:w="1189" w:type="pct"/>
            <w:vMerge/>
            <w:tcBorders>
              <w:left w:val="double" w:sz="4" w:space="0" w:color="auto"/>
              <w:bottom w:val="double" w:sz="4" w:space="0" w:color="auto"/>
              <w:right w:val="double" w:sz="4" w:space="0" w:color="auto"/>
            </w:tcBorders>
            <w:vAlign w:val="center"/>
          </w:tcPr>
          <w:p w14:paraId="4B49F918" w14:textId="77777777" w:rsidR="00216EB6" w:rsidRPr="00111DC0" w:rsidRDefault="00216EB6" w:rsidP="00EF2ED1">
            <w:pPr>
              <w:spacing w:before="0" w:after="0" w:line="259" w:lineRule="auto"/>
              <w:jc w:val="right"/>
              <w:rPr>
                <w:rFonts w:eastAsiaTheme="majorEastAsia" w:cs="Arial"/>
                <w:b/>
                <w:bCs/>
                <w:snapToGrid w:val="0"/>
                <w:color w:val="78BE20"/>
                <w:szCs w:val="26"/>
              </w:rPr>
            </w:pPr>
          </w:p>
        </w:tc>
        <w:tc>
          <w:tcPr>
            <w:tcW w:w="1266" w:type="pct"/>
            <w:tcBorders>
              <w:top w:val="single" w:sz="4" w:space="0" w:color="auto"/>
              <w:left w:val="double" w:sz="4" w:space="0" w:color="auto"/>
              <w:bottom w:val="double" w:sz="4" w:space="0" w:color="auto"/>
            </w:tcBorders>
            <w:vAlign w:val="center"/>
          </w:tcPr>
          <w:p w14:paraId="6FE5E72E" w14:textId="77777777" w:rsidR="00216EB6" w:rsidRPr="00111DC0" w:rsidRDefault="00216EB6" w:rsidP="00D86851">
            <w:pPr>
              <w:spacing w:before="0" w:after="0" w:line="259" w:lineRule="auto"/>
              <w:jc w:val="center"/>
              <w:rPr>
                <w:rFonts w:eastAsiaTheme="majorEastAsia" w:cs="Arial"/>
                <w:b/>
                <w:bCs/>
                <w:snapToGrid w:val="0"/>
                <w:color w:val="78BE20"/>
                <w:szCs w:val="26"/>
              </w:rPr>
            </w:pPr>
            <w:r w:rsidRPr="00111DC0">
              <w:rPr>
                <w:rFonts w:cs="Arial"/>
                <w:b/>
                <w:bCs/>
                <w:sz w:val="20"/>
                <w:szCs w:val="18"/>
              </w:rPr>
              <w:t>MUJERES</w:t>
            </w:r>
          </w:p>
        </w:tc>
        <w:tc>
          <w:tcPr>
            <w:tcW w:w="1296" w:type="pct"/>
            <w:tcBorders>
              <w:top w:val="single" w:sz="4" w:space="0" w:color="auto"/>
              <w:bottom w:val="double" w:sz="4" w:space="0" w:color="auto"/>
              <w:right w:val="double" w:sz="4" w:space="0" w:color="auto"/>
            </w:tcBorders>
            <w:vAlign w:val="center"/>
          </w:tcPr>
          <w:p w14:paraId="61E2CB44" w14:textId="77777777" w:rsidR="00216EB6" w:rsidRPr="00111DC0" w:rsidRDefault="00216EB6" w:rsidP="00D86851">
            <w:pPr>
              <w:spacing w:before="0" w:after="0" w:line="259" w:lineRule="auto"/>
              <w:jc w:val="center"/>
              <w:rPr>
                <w:rFonts w:cs="Arial"/>
                <w:sz w:val="20"/>
                <w:szCs w:val="18"/>
              </w:rPr>
            </w:pPr>
            <w:r w:rsidRPr="00111DC0">
              <w:rPr>
                <w:rFonts w:cs="Arial"/>
                <w:b/>
                <w:bCs/>
                <w:sz w:val="20"/>
                <w:szCs w:val="18"/>
              </w:rPr>
              <w:t>HOMBRES</w:t>
            </w:r>
          </w:p>
        </w:tc>
        <w:tc>
          <w:tcPr>
            <w:tcW w:w="1249" w:type="pct"/>
            <w:vMerge/>
            <w:tcBorders>
              <w:left w:val="double" w:sz="4" w:space="0" w:color="auto"/>
              <w:bottom w:val="double" w:sz="4" w:space="0" w:color="auto"/>
              <w:right w:val="double" w:sz="4" w:space="0" w:color="auto"/>
            </w:tcBorders>
            <w:vAlign w:val="center"/>
          </w:tcPr>
          <w:p w14:paraId="549CDDC6" w14:textId="77777777" w:rsidR="00216EB6" w:rsidRPr="00111DC0" w:rsidRDefault="00216EB6" w:rsidP="00D86851">
            <w:pPr>
              <w:spacing w:before="0" w:after="0" w:line="259" w:lineRule="auto"/>
              <w:jc w:val="center"/>
              <w:rPr>
                <w:rFonts w:cs="Arial"/>
                <w:sz w:val="20"/>
                <w:szCs w:val="18"/>
              </w:rPr>
            </w:pPr>
          </w:p>
        </w:tc>
      </w:tr>
      <w:tr w:rsidR="00216EB6" w:rsidRPr="00111DC0" w14:paraId="1BFD5087" w14:textId="77777777" w:rsidTr="0038508D">
        <w:tc>
          <w:tcPr>
            <w:tcW w:w="1189" w:type="pct"/>
            <w:tcBorders>
              <w:top w:val="double" w:sz="4" w:space="0" w:color="auto"/>
              <w:left w:val="double" w:sz="4" w:space="0" w:color="auto"/>
              <w:bottom w:val="single" w:sz="4" w:space="0" w:color="000000"/>
              <w:right w:val="double" w:sz="4" w:space="0" w:color="auto"/>
            </w:tcBorders>
            <w:vAlign w:val="center"/>
          </w:tcPr>
          <w:p w14:paraId="69B3187D" w14:textId="77777777" w:rsidR="00216EB6" w:rsidRPr="00EF2ED1" w:rsidRDefault="00216EB6" w:rsidP="00EF2ED1">
            <w:pPr>
              <w:spacing w:before="0" w:after="0" w:line="259" w:lineRule="auto"/>
              <w:jc w:val="right"/>
              <w:rPr>
                <w:rFonts w:cs="Arial"/>
                <w:sz w:val="20"/>
                <w:szCs w:val="18"/>
              </w:rPr>
            </w:pPr>
            <w:r w:rsidRPr="00EF2ED1">
              <w:rPr>
                <w:rFonts w:cs="Arial"/>
                <w:sz w:val="20"/>
                <w:szCs w:val="18"/>
              </w:rPr>
              <w:t>A1</w:t>
            </w:r>
          </w:p>
        </w:tc>
        <w:tc>
          <w:tcPr>
            <w:tcW w:w="1266" w:type="pct"/>
            <w:tcBorders>
              <w:top w:val="double" w:sz="4" w:space="0" w:color="auto"/>
              <w:left w:val="double" w:sz="4" w:space="0" w:color="auto"/>
            </w:tcBorders>
            <w:vAlign w:val="center"/>
          </w:tcPr>
          <w:p w14:paraId="16BF5A11" w14:textId="486A4D75" w:rsidR="00216EB6" w:rsidRPr="00111DC0" w:rsidRDefault="008C3994" w:rsidP="00D86851">
            <w:pPr>
              <w:spacing w:before="0" w:after="0" w:line="259" w:lineRule="auto"/>
              <w:jc w:val="center"/>
              <w:rPr>
                <w:rFonts w:cs="Arial"/>
                <w:sz w:val="20"/>
                <w:szCs w:val="18"/>
              </w:rPr>
            </w:pPr>
            <w:r w:rsidRPr="00111DC0">
              <w:rPr>
                <w:rFonts w:cs="Arial"/>
                <w:sz w:val="20"/>
                <w:szCs w:val="18"/>
              </w:rPr>
              <w:t>2.933,91</w:t>
            </w:r>
          </w:p>
        </w:tc>
        <w:tc>
          <w:tcPr>
            <w:tcW w:w="1296" w:type="pct"/>
            <w:tcBorders>
              <w:top w:val="double" w:sz="4" w:space="0" w:color="auto"/>
              <w:right w:val="double" w:sz="4" w:space="0" w:color="auto"/>
            </w:tcBorders>
            <w:shd w:val="clear" w:color="auto" w:fill="auto"/>
            <w:vAlign w:val="center"/>
          </w:tcPr>
          <w:p w14:paraId="45EEEBCF" w14:textId="4314011E" w:rsidR="00216EB6" w:rsidRPr="00111DC0" w:rsidRDefault="007017BF" w:rsidP="00D86851">
            <w:pPr>
              <w:spacing w:before="0" w:after="0" w:line="259" w:lineRule="auto"/>
              <w:jc w:val="center"/>
              <w:rPr>
                <w:rFonts w:cs="Arial"/>
                <w:sz w:val="20"/>
                <w:szCs w:val="18"/>
              </w:rPr>
            </w:pPr>
            <w:r w:rsidRPr="00111DC0">
              <w:rPr>
                <w:rFonts w:cs="Arial"/>
                <w:sz w:val="20"/>
                <w:szCs w:val="18"/>
              </w:rPr>
              <w:t>2.784,78</w:t>
            </w:r>
          </w:p>
        </w:tc>
        <w:tc>
          <w:tcPr>
            <w:tcW w:w="1249" w:type="pct"/>
            <w:tcBorders>
              <w:top w:val="double" w:sz="4" w:space="0" w:color="auto"/>
              <w:left w:val="double" w:sz="4" w:space="0" w:color="auto"/>
              <w:right w:val="double" w:sz="4" w:space="0" w:color="auto"/>
            </w:tcBorders>
            <w:vAlign w:val="center"/>
          </w:tcPr>
          <w:p w14:paraId="79D92F6D" w14:textId="5DE453CF" w:rsidR="00216EB6" w:rsidRPr="00111DC0" w:rsidRDefault="00A940E3" w:rsidP="00D86851">
            <w:pPr>
              <w:spacing w:before="0" w:after="0" w:line="259" w:lineRule="auto"/>
              <w:jc w:val="center"/>
              <w:rPr>
                <w:rFonts w:cs="Arial"/>
                <w:sz w:val="20"/>
                <w:szCs w:val="18"/>
              </w:rPr>
            </w:pPr>
            <w:r w:rsidRPr="00111DC0">
              <w:rPr>
                <w:rFonts w:cs="Arial"/>
                <w:sz w:val="20"/>
                <w:szCs w:val="18"/>
              </w:rPr>
              <w:t>-5%</w:t>
            </w:r>
          </w:p>
        </w:tc>
      </w:tr>
      <w:tr w:rsidR="00216EB6" w:rsidRPr="00111DC0" w14:paraId="0D76B07A" w14:textId="77777777" w:rsidTr="0038508D">
        <w:tc>
          <w:tcPr>
            <w:tcW w:w="1189" w:type="pct"/>
            <w:tcBorders>
              <w:top w:val="single" w:sz="4" w:space="0" w:color="000000"/>
              <w:left w:val="double" w:sz="4" w:space="0" w:color="auto"/>
              <w:bottom w:val="single" w:sz="4" w:space="0" w:color="000000"/>
              <w:right w:val="double" w:sz="4" w:space="0" w:color="auto"/>
            </w:tcBorders>
            <w:vAlign w:val="center"/>
          </w:tcPr>
          <w:p w14:paraId="6006FC1F" w14:textId="77777777" w:rsidR="00216EB6" w:rsidRPr="00EF2ED1" w:rsidRDefault="00216EB6" w:rsidP="00EF2ED1">
            <w:pPr>
              <w:spacing w:before="0" w:after="0" w:line="259" w:lineRule="auto"/>
              <w:jc w:val="right"/>
              <w:rPr>
                <w:rFonts w:cs="Arial"/>
                <w:sz w:val="20"/>
                <w:szCs w:val="18"/>
              </w:rPr>
            </w:pPr>
            <w:r w:rsidRPr="00EF2ED1">
              <w:rPr>
                <w:rFonts w:cs="Arial"/>
                <w:sz w:val="20"/>
                <w:szCs w:val="18"/>
              </w:rPr>
              <w:t>A2</w:t>
            </w:r>
          </w:p>
        </w:tc>
        <w:tc>
          <w:tcPr>
            <w:tcW w:w="1266" w:type="pct"/>
            <w:tcBorders>
              <w:left w:val="double" w:sz="4" w:space="0" w:color="auto"/>
              <w:bottom w:val="single" w:sz="4" w:space="0" w:color="000000"/>
            </w:tcBorders>
            <w:vAlign w:val="center"/>
          </w:tcPr>
          <w:p w14:paraId="07030A21" w14:textId="260932AD" w:rsidR="00216EB6" w:rsidRPr="00111DC0" w:rsidRDefault="00E413EA" w:rsidP="00D86851">
            <w:pPr>
              <w:spacing w:before="0" w:after="0" w:line="259" w:lineRule="auto"/>
              <w:jc w:val="center"/>
              <w:rPr>
                <w:rFonts w:cs="Arial"/>
                <w:sz w:val="20"/>
                <w:szCs w:val="18"/>
              </w:rPr>
            </w:pPr>
            <w:r w:rsidRPr="00111DC0">
              <w:rPr>
                <w:rFonts w:cs="Arial"/>
                <w:sz w:val="20"/>
                <w:szCs w:val="18"/>
              </w:rPr>
              <w:t>2.147,89</w:t>
            </w:r>
          </w:p>
        </w:tc>
        <w:tc>
          <w:tcPr>
            <w:tcW w:w="1296" w:type="pct"/>
            <w:tcBorders>
              <w:right w:val="double" w:sz="4" w:space="0" w:color="auto"/>
            </w:tcBorders>
            <w:shd w:val="clear" w:color="auto" w:fill="auto"/>
            <w:vAlign w:val="center"/>
          </w:tcPr>
          <w:p w14:paraId="1AA857CD" w14:textId="141BF40A" w:rsidR="00216EB6" w:rsidRPr="00111DC0" w:rsidRDefault="007017BF" w:rsidP="00D86851">
            <w:pPr>
              <w:spacing w:before="0" w:after="0" w:line="259" w:lineRule="auto"/>
              <w:jc w:val="center"/>
              <w:rPr>
                <w:rFonts w:cs="Arial"/>
                <w:sz w:val="20"/>
                <w:szCs w:val="18"/>
              </w:rPr>
            </w:pPr>
            <w:r w:rsidRPr="00111DC0">
              <w:rPr>
                <w:rFonts w:cs="Arial"/>
                <w:sz w:val="20"/>
                <w:szCs w:val="18"/>
              </w:rPr>
              <w:t>2.563,77</w:t>
            </w:r>
          </w:p>
        </w:tc>
        <w:tc>
          <w:tcPr>
            <w:tcW w:w="1249" w:type="pct"/>
            <w:tcBorders>
              <w:left w:val="double" w:sz="4" w:space="0" w:color="auto"/>
              <w:right w:val="double" w:sz="4" w:space="0" w:color="auto"/>
            </w:tcBorders>
            <w:vAlign w:val="center"/>
          </w:tcPr>
          <w:p w14:paraId="473D15B6" w14:textId="51F8E6D5" w:rsidR="00216EB6" w:rsidRPr="00111DC0" w:rsidRDefault="00A940E3" w:rsidP="00D86851">
            <w:pPr>
              <w:spacing w:before="0" w:after="0" w:line="259" w:lineRule="auto"/>
              <w:jc w:val="center"/>
              <w:rPr>
                <w:rFonts w:cs="Arial"/>
                <w:sz w:val="20"/>
                <w:szCs w:val="18"/>
              </w:rPr>
            </w:pPr>
            <w:r w:rsidRPr="00111DC0">
              <w:rPr>
                <w:rFonts w:cs="Arial"/>
                <w:sz w:val="20"/>
                <w:szCs w:val="18"/>
              </w:rPr>
              <w:t>16%</w:t>
            </w:r>
          </w:p>
        </w:tc>
      </w:tr>
      <w:tr w:rsidR="00216EB6" w:rsidRPr="00111DC0" w14:paraId="2DA50468" w14:textId="77777777" w:rsidTr="0038508D">
        <w:tc>
          <w:tcPr>
            <w:tcW w:w="1189" w:type="pct"/>
            <w:tcBorders>
              <w:top w:val="single" w:sz="4" w:space="0" w:color="000000"/>
              <w:left w:val="double" w:sz="4" w:space="0" w:color="auto"/>
              <w:bottom w:val="single" w:sz="4" w:space="0" w:color="000000"/>
              <w:right w:val="double" w:sz="4" w:space="0" w:color="auto"/>
            </w:tcBorders>
            <w:vAlign w:val="center"/>
          </w:tcPr>
          <w:p w14:paraId="1D5CE521" w14:textId="77777777" w:rsidR="00216EB6" w:rsidRPr="00EF2ED1" w:rsidRDefault="00216EB6" w:rsidP="00EF2ED1">
            <w:pPr>
              <w:spacing w:before="0" w:after="0" w:line="259" w:lineRule="auto"/>
              <w:jc w:val="right"/>
              <w:rPr>
                <w:rFonts w:cs="Arial"/>
                <w:sz w:val="20"/>
                <w:szCs w:val="18"/>
              </w:rPr>
            </w:pPr>
            <w:r w:rsidRPr="00EF2ED1">
              <w:rPr>
                <w:rFonts w:cs="Arial"/>
                <w:sz w:val="20"/>
                <w:szCs w:val="18"/>
              </w:rPr>
              <w:t>C1</w:t>
            </w:r>
          </w:p>
        </w:tc>
        <w:tc>
          <w:tcPr>
            <w:tcW w:w="1266" w:type="pct"/>
            <w:tcBorders>
              <w:top w:val="single" w:sz="4" w:space="0" w:color="000000"/>
              <w:left w:val="double" w:sz="4" w:space="0" w:color="auto"/>
            </w:tcBorders>
            <w:vAlign w:val="center"/>
          </w:tcPr>
          <w:p w14:paraId="0FCEEE4B" w14:textId="59474A9B" w:rsidR="00216EB6" w:rsidRPr="00111DC0" w:rsidRDefault="00E413EA" w:rsidP="00D86851">
            <w:pPr>
              <w:spacing w:before="0" w:after="0" w:line="259" w:lineRule="auto"/>
              <w:jc w:val="center"/>
              <w:rPr>
                <w:rFonts w:cs="Arial"/>
                <w:sz w:val="20"/>
                <w:szCs w:val="18"/>
              </w:rPr>
            </w:pPr>
            <w:r w:rsidRPr="00111DC0">
              <w:rPr>
                <w:rFonts w:cs="Arial"/>
                <w:sz w:val="20"/>
                <w:szCs w:val="18"/>
              </w:rPr>
              <w:t>1.958,24</w:t>
            </w:r>
          </w:p>
        </w:tc>
        <w:tc>
          <w:tcPr>
            <w:tcW w:w="1296" w:type="pct"/>
            <w:tcBorders>
              <w:right w:val="double" w:sz="4" w:space="0" w:color="auto"/>
            </w:tcBorders>
            <w:shd w:val="clear" w:color="auto" w:fill="auto"/>
            <w:vAlign w:val="center"/>
          </w:tcPr>
          <w:p w14:paraId="10987BC8" w14:textId="1200AB40" w:rsidR="00216EB6" w:rsidRPr="00111DC0" w:rsidRDefault="008C3994" w:rsidP="00D86851">
            <w:pPr>
              <w:spacing w:before="0" w:after="0" w:line="259" w:lineRule="auto"/>
              <w:jc w:val="center"/>
              <w:rPr>
                <w:rFonts w:cs="Arial"/>
                <w:sz w:val="20"/>
                <w:szCs w:val="18"/>
              </w:rPr>
            </w:pPr>
            <w:r w:rsidRPr="00111DC0">
              <w:rPr>
                <w:rFonts w:cs="Arial"/>
                <w:sz w:val="20"/>
                <w:szCs w:val="18"/>
              </w:rPr>
              <w:t>2.003,11</w:t>
            </w:r>
          </w:p>
        </w:tc>
        <w:tc>
          <w:tcPr>
            <w:tcW w:w="1249" w:type="pct"/>
            <w:tcBorders>
              <w:left w:val="double" w:sz="4" w:space="0" w:color="auto"/>
              <w:right w:val="double" w:sz="4" w:space="0" w:color="auto"/>
            </w:tcBorders>
            <w:vAlign w:val="center"/>
          </w:tcPr>
          <w:p w14:paraId="44D1548A" w14:textId="563C0F40" w:rsidR="00216EB6" w:rsidRPr="00111DC0" w:rsidRDefault="00A940E3" w:rsidP="00D86851">
            <w:pPr>
              <w:spacing w:before="0" w:after="0" w:line="259" w:lineRule="auto"/>
              <w:jc w:val="center"/>
              <w:rPr>
                <w:rFonts w:cs="Arial"/>
                <w:sz w:val="20"/>
                <w:szCs w:val="18"/>
              </w:rPr>
            </w:pPr>
            <w:r w:rsidRPr="00111DC0">
              <w:rPr>
                <w:rFonts w:cs="Arial"/>
                <w:sz w:val="20"/>
                <w:szCs w:val="18"/>
              </w:rPr>
              <w:t>2%</w:t>
            </w:r>
          </w:p>
        </w:tc>
      </w:tr>
      <w:tr w:rsidR="00216EB6" w:rsidRPr="00111DC0" w14:paraId="1FD880FA" w14:textId="77777777" w:rsidTr="0038508D">
        <w:tc>
          <w:tcPr>
            <w:tcW w:w="1189" w:type="pct"/>
            <w:tcBorders>
              <w:top w:val="single" w:sz="4" w:space="0" w:color="000000"/>
              <w:left w:val="double" w:sz="4" w:space="0" w:color="auto"/>
              <w:bottom w:val="single" w:sz="4" w:space="0" w:color="000000"/>
              <w:right w:val="double" w:sz="4" w:space="0" w:color="auto"/>
            </w:tcBorders>
            <w:vAlign w:val="center"/>
          </w:tcPr>
          <w:p w14:paraId="2EA6CE31" w14:textId="77777777" w:rsidR="00216EB6" w:rsidRPr="00EF2ED1" w:rsidRDefault="00216EB6" w:rsidP="00EF2ED1">
            <w:pPr>
              <w:spacing w:before="0" w:after="0" w:line="259" w:lineRule="auto"/>
              <w:jc w:val="right"/>
              <w:rPr>
                <w:rFonts w:cs="Arial"/>
                <w:sz w:val="20"/>
                <w:szCs w:val="18"/>
              </w:rPr>
            </w:pPr>
            <w:r w:rsidRPr="00EF2ED1">
              <w:rPr>
                <w:rFonts w:cs="Arial"/>
                <w:sz w:val="20"/>
                <w:szCs w:val="18"/>
              </w:rPr>
              <w:t>C2</w:t>
            </w:r>
          </w:p>
        </w:tc>
        <w:tc>
          <w:tcPr>
            <w:tcW w:w="1266" w:type="pct"/>
            <w:tcBorders>
              <w:left w:val="double" w:sz="4" w:space="0" w:color="auto"/>
            </w:tcBorders>
            <w:vAlign w:val="center"/>
          </w:tcPr>
          <w:p w14:paraId="5041016C" w14:textId="3F823FE8" w:rsidR="00216EB6" w:rsidRPr="00111DC0" w:rsidRDefault="00E413EA" w:rsidP="00D86851">
            <w:pPr>
              <w:spacing w:before="0" w:after="0" w:line="259" w:lineRule="auto"/>
              <w:jc w:val="center"/>
              <w:rPr>
                <w:rFonts w:cs="Arial"/>
                <w:sz w:val="20"/>
                <w:szCs w:val="18"/>
              </w:rPr>
            </w:pPr>
            <w:r w:rsidRPr="00111DC0">
              <w:rPr>
                <w:rFonts w:cs="Arial"/>
                <w:sz w:val="20"/>
                <w:szCs w:val="18"/>
              </w:rPr>
              <w:t>1.598,27</w:t>
            </w:r>
          </w:p>
        </w:tc>
        <w:tc>
          <w:tcPr>
            <w:tcW w:w="1296" w:type="pct"/>
            <w:tcBorders>
              <w:right w:val="double" w:sz="4" w:space="0" w:color="auto"/>
            </w:tcBorders>
            <w:shd w:val="clear" w:color="auto" w:fill="auto"/>
            <w:vAlign w:val="center"/>
          </w:tcPr>
          <w:p w14:paraId="68E05AFB" w14:textId="7242D70A" w:rsidR="00216EB6" w:rsidRPr="00111DC0" w:rsidRDefault="008C3994" w:rsidP="00D86851">
            <w:pPr>
              <w:spacing w:before="0" w:after="0" w:line="259" w:lineRule="auto"/>
              <w:jc w:val="center"/>
              <w:rPr>
                <w:rFonts w:cs="Arial"/>
                <w:sz w:val="20"/>
                <w:szCs w:val="18"/>
              </w:rPr>
            </w:pPr>
            <w:r w:rsidRPr="00111DC0">
              <w:rPr>
                <w:rFonts w:cs="Arial"/>
                <w:sz w:val="20"/>
                <w:szCs w:val="18"/>
              </w:rPr>
              <w:t>1.608,40</w:t>
            </w:r>
          </w:p>
        </w:tc>
        <w:tc>
          <w:tcPr>
            <w:tcW w:w="1249" w:type="pct"/>
            <w:tcBorders>
              <w:left w:val="double" w:sz="4" w:space="0" w:color="auto"/>
              <w:right w:val="double" w:sz="4" w:space="0" w:color="auto"/>
            </w:tcBorders>
            <w:vAlign w:val="center"/>
          </w:tcPr>
          <w:p w14:paraId="020F4BB8" w14:textId="04FE6F1C" w:rsidR="00216EB6" w:rsidRPr="00111DC0" w:rsidRDefault="00A940E3" w:rsidP="00D86851">
            <w:pPr>
              <w:spacing w:before="0" w:after="0" w:line="259" w:lineRule="auto"/>
              <w:jc w:val="center"/>
              <w:rPr>
                <w:rFonts w:cs="Arial"/>
                <w:sz w:val="20"/>
                <w:szCs w:val="18"/>
              </w:rPr>
            </w:pPr>
            <w:r w:rsidRPr="00111DC0">
              <w:rPr>
                <w:rFonts w:cs="Arial"/>
                <w:sz w:val="20"/>
                <w:szCs w:val="18"/>
              </w:rPr>
              <w:t>1%</w:t>
            </w:r>
          </w:p>
        </w:tc>
      </w:tr>
      <w:tr w:rsidR="00216EB6" w:rsidRPr="00111DC0" w14:paraId="57CC9F98" w14:textId="77777777" w:rsidTr="0038508D">
        <w:tc>
          <w:tcPr>
            <w:tcW w:w="1189" w:type="pct"/>
            <w:tcBorders>
              <w:top w:val="single" w:sz="4" w:space="0" w:color="000000"/>
              <w:left w:val="double" w:sz="4" w:space="0" w:color="auto"/>
              <w:bottom w:val="single" w:sz="4" w:space="0" w:color="000000"/>
              <w:right w:val="double" w:sz="4" w:space="0" w:color="auto"/>
            </w:tcBorders>
            <w:vAlign w:val="center"/>
          </w:tcPr>
          <w:p w14:paraId="4FD8B3F7" w14:textId="77777777" w:rsidR="00216EB6" w:rsidRPr="00EF2ED1" w:rsidRDefault="00216EB6" w:rsidP="00EF2ED1">
            <w:pPr>
              <w:spacing w:before="0" w:after="0" w:line="259" w:lineRule="auto"/>
              <w:jc w:val="right"/>
              <w:rPr>
                <w:rFonts w:cs="Arial"/>
                <w:sz w:val="20"/>
                <w:szCs w:val="18"/>
              </w:rPr>
            </w:pPr>
            <w:r w:rsidRPr="00EF2ED1">
              <w:rPr>
                <w:rFonts w:cs="Arial"/>
                <w:sz w:val="20"/>
                <w:szCs w:val="18"/>
              </w:rPr>
              <w:t>E</w:t>
            </w:r>
          </w:p>
        </w:tc>
        <w:tc>
          <w:tcPr>
            <w:tcW w:w="1266" w:type="pct"/>
            <w:tcBorders>
              <w:left w:val="double" w:sz="4" w:space="0" w:color="auto"/>
            </w:tcBorders>
            <w:vAlign w:val="center"/>
          </w:tcPr>
          <w:p w14:paraId="477CDD9A" w14:textId="40F6AAA6" w:rsidR="00216EB6" w:rsidRPr="00111DC0" w:rsidRDefault="00A940E3" w:rsidP="00D86851">
            <w:pPr>
              <w:spacing w:before="0" w:after="0" w:line="259" w:lineRule="auto"/>
              <w:jc w:val="center"/>
              <w:rPr>
                <w:rFonts w:cs="Arial"/>
                <w:sz w:val="20"/>
                <w:szCs w:val="18"/>
              </w:rPr>
            </w:pPr>
            <w:r w:rsidRPr="00111DC0">
              <w:rPr>
                <w:rFonts w:cs="Arial"/>
                <w:sz w:val="20"/>
                <w:szCs w:val="18"/>
              </w:rPr>
              <w:t>1.281,84</w:t>
            </w:r>
          </w:p>
        </w:tc>
        <w:tc>
          <w:tcPr>
            <w:tcW w:w="1296" w:type="pct"/>
            <w:tcBorders>
              <w:right w:val="double" w:sz="4" w:space="0" w:color="auto"/>
            </w:tcBorders>
            <w:shd w:val="clear" w:color="auto" w:fill="auto"/>
            <w:vAlign w:val="center"/>
          </w:tcPr>
          <w:p w14:paraId="1C4E32BE" w14:textId="1B2E291C" w:rsidR="00216EB6" w:rsidRPr="00111DC0" w:rsidRDefault="008C3994" w:rsidP="00D86851">
            <w:pPr>
              <w:spacing w:before="0" w:after="0" w:line="259" w:lineRule="auto"/>
              <w:jc w:val="center"/>
              <w:rPr>
                <w:rFonts w:cs="Arial"/>
                <w:sz w:val="20"/>
                <w:szCs w:val="18"/>
              </w:rPr>
            </w:pPr>
            <w:r w:rsidRPr="00111DC0">
              <w:rPr>
                <w:rFonts w:cs="Arial"/>
                <w:sz w:val="20"/>
                <w:szCs w:val="18"/>
              </w:rPr>
              <w:t>1.453,03</w:t>
            </w:r>
          </w:p>
        </w:tc>
        <w:tc>
          <w:tcPr>
            <w:tcW w:w="1249" w:type="pct"/>
            <w:tcBorders>
              <w:left w:val="double" w:sz="4" w:space="0" w:color="auto"/>
              <w:right w:val="double" w:sz="4" w:space="0" w:color="auto"/>
            </w:tcBorders>
            <w:vAlign w:val="center"/>
          </w:tcPr>
          <w:p w14:paraId="7EFD55AC" w14:textId="077ED2F1" w:rsidR="00216EB6" w:rsidRPr="00111DC0" w:rsidRDefault="00A940E3" w:rsidP="00D86851">
            <w:pPr>
              <w:spacing w:before="0" w:after="0" w:line="259" w:lineRule="auto"/>
              <w:jc w:val="center"/>
              <w:rPr>
                <w:rFonts w:cs="Arial"/>
                <w:sz w:val="20"/>
                <w:szCs w:val="18"/>
              </w:rPr>
            </w:pPr>
            <w:r w:rsidRPr="00111DC0">
              <w:rPr>
                <w:rFonts w:cs="Arial"/>
                <w:sz w:val="20"/>
                <w:szCs w:val="18"/>
              </w:rPr>
              <w:t>12%</w:t>
            </w:r>
          </w:p>
        </w:tc>
      </w:tr>
      <w:tr w:rsidR="00216EB6" w:rsidRPr="00111DC0" w14:paraId="3CC59CD9" w14:textId="77777777" w:rsidTr="00EC25A8">
        <w:tc>
          <w:tcPr>
            <w:tcW w:w="1189" w:type="pct"/>
            <w:tcBorders>
              <w:top w:val="single" w:sz="4" w:space="0" w:color="000000"/>
              <w:left w:val="double" w:sz="4" w:space="0" w:color="auto"/>
              <w:bottom w:val="double" w:sz="4" w:space="0" w:color="auto"/>
              <w:right w:val="double" w:sz="4" w:space="0" w:color="auto"/>
            </w:tcBorders>
            <w:vAlign w:val="center"/>
          </w:tcPr>
          <w:p w14:paraId="48230A66" w14:textId="77777777" w:rsidR="00216EB6" w:rsidRPr="00111DC0" w:rsidRDefault="00216EB6" w:rsidP="00EF2ED1">
            <w:pPr>
              <w:spacing w:before="0" w:after="0" w:line="259" w:lineRule="auto"/>
              <w:jc w:val="right"/>
              <w:rPr>
                <w:rFonts w:cs="Arial"/>
                <w:b/>
                <w:bCs/>
                <w:sz w:val="20"/>
                <w:szCs w:val="18"/>
              </w:rPr>
            </w:pPr>
            <w:r w:rsidRPr="00111DC0">
              <w:rPr>
                <w:rFonts w:cs="Arial"/>
                <w:b/>
                <w:bCs/>
                <w:sz w:val="20"/>
                <w:szCs w:val="18"/>
              </w:rPr>
              <w:t>TOTAL</w:t>
            </w:r>
          </w:p>
        </w:tc>
        <w:tc>
          <w:tcPr>
            <w:tcW w:w="1266" w:type="pct"/>
            <w:tcBorders>
              <w:left w:val="double" w:sz="4" w:space="0" w:color="auto"/>
              <w:bottom w:val="single" w:sz="4" w:space="0" w:color="auto"/>
            </w:tcBorders>
            <w:vAlign w:val="center"/>
          </w:tcPr>
          <w:p w14:paraId="0352D455" w14:textId="77777777" w:rsidR="00216EB6" w:rsidRPr="00111DC0" w:rsidRDefault="00216EB6" w:rsidP="00D86851">
            <w:pPr>
              <w:spacing w:before="0" w:after="0" w:line="259" w:lineRule="auto"/>
              <w:jc w:val="center"/>
              <w:rPr>
                <w:rFonts w:eastAsiaTheme="majorEastAsia" w:cs="Arial"/>
                <w:b/>
                <w:bCs/>
                <w:snapToGrid w:val="0"/>
                <w:color w:val="78BE20"/>
                <w:szCs w:val="26"/>
              </w:rPr>
            </w:pPr>
            <w:r w:rsidRPr="00111DC0">
              <w:rPr>
                <w:rFonts w:cs="Arial"/>
                <w:b/>
                <w:bCs/>
                <w:sz w:val="20"/>
                <w:szCs w:val="18"/>
              </w:rPr>
              <w:t>2.124,25</w:t>
            </w:r>
          </w:p>
        </w:tc>
        <w:tc>
          <w:tcPr>
            <w:tcW w:w="1296" w:type="pct"/>
            <w:tcBorders>
              <w:bottom w:val="single" w:sz="4" w:space="0" w:color="auto"/>
              <w:right w:val="double" w:sz="4" w:space="0" w:color="auto"/>
            </w:tcBorders>
            <w:shd w:val="clear" w:color="auto" w:fill="auto"/>
            <w:vAlign w:val="center"/>
          </w:tcPr>
          <w:p w14:paraId="1BA87C3A" w14:textId="2D1EFF93" w:rsidR="00216EB6" w:rsidRPr="00111DC0" w:rsidRDefault="008C3994" w:rsidP="00D86851">
            <w:pPr>
              <w:spacing w:before="0" w:after="0" w:line="259" w:lineRule="auto"/>
              <w:jc w:val="center"/>
              <w:rPr>
                <w:rFonts w:cs="Arial"/>
                <w:b/>
                <w:bCs/>
                <w:sz w:val="20"/>
                <w:szCs w:val="18"/>
              </w:rPr>
            </w:pPr>
            <w:r w:rsidRPr="00111DC0">
              <w:rPr>
                <w:rFonts w:cs="Arial"/>
                <w:b/>
                <w:bCs/>
                <w:sz w:val="20"/>
                <w:szCs w:val="18"/>
              </w:rPr>
              <w:t>1.638,34</w:t>
            </w:r>
          </w:p>
        </w:tc>
        <w:tc>
          <w:tcPr>
            <w:tcW w:w="1249" w:type="pct"/>
            <w:tcBorders>
              <w:left w:val="double" w:sz="4" w:space="0" w:color="auto"/>
              <w:bottom w:val="single" w:sz="4" w:space="0" w:color="auto"/>
              <w:right w:val="double" w:sz="4" w:space="0" w:color="auto"/>
            </w:tcBorders>
            <w:vAlign w:val="center"/>
          </w:tcPr>
          <w:p w14:paraId="29B26B28" w14:textId="06D7EEDD" w:rsidR="00216EB6" w:rsidRPr="00111DC0" w:rsidRDefault="00A940E3" w:rsidP="00D86851">
            <w:pPr>
              <w:spacing w:before="0" w:after="0" w:line="259" w:lineRule="auto"/>
              <w:jc w:val="center"/>
              <w:rPr>
                <w:rFonts w:cs="Arial"/>
                <w:b/>
                <w:bCs/>
                <w:sz w:val="20"/>
                <w:szCs w:val="18"/>
              </w:rPr>
            </w:pPr>
            <w:r w:rsidRPr="00111DC0">
              <w:rPr>
                <w:rFonts w:cs="Arial"/>
                <w:b/>
                <w:bCs/>
                <w:sz w:val="20"/>
                <w:szCs w:val="18"/>
              </w:rPr>
              <w:t>6</w:t>
            </w:r>
            <w:r w:rsidR="00216EB6" w:rsidRPr="00111DC0">
              <w:rPr>
                <w:rFonts w:cs="Arial"/>
                <w:b/>
                <w:bCs/>
                <w:sz w:val="20"/>
                <w:szCs w:val="18"/>
              </w:rPr>
              <w:t>%</w:t>
            </w:r>
          </w:p>
        </w:tc>
      </w:tr>
    </w:tbl>
    <w:p w14:paraId="041EF6F8" w14:textId="07B99070" w:rsidR="00216EB6" w:rsidRDefault="00216EB6" w:rsidP="0020763D"/>
    <w:p w14:paraId="44855CB3" w14:textId="0996D6AE" w:rsidR="00AA7CD7" w:rsidRPr="00111DC0" w:rsidRDefault="00832653" w:rsidP="00DE69A1">
      <w:pPr>
        <w:pStyle w:val="Ttulo4"/>
        <w:rPr>
          <w:rFonts w:cs="Arial"/>
        </w:rPr>
      </w:pPr>
      <w:r w:rsidRPr="00111DC0">
        <w:rPr>
          <w:rFonts w:cs="Arial"/>
        </w:rPr>
        <w:t>Personal Docente</w:t>
      </w:r>
    </w:p>
    <w:p w14:paraId="2F1B2A97" w14:textId="2DE1FF2E" w:rsidR="005C6235" w:rsidRPr="00111DC0" w:rsidRDefault="003D24AA" w:rsidP="006778EF">
      <w:pPr>
        <w:rPr>
          <w:rFonts w:cs="Arial"/>
        </w:rPr>
      </w:pPr>
      <w:r w:rsidRPr="00111DC0">
        <w:rPr>
          <w:rFonts w:cs="Arial"/>
          <w:b/>
          <w:bCs/>
        </w:rPr>
        <w:t xml:space="preserve">La </w:t>
      </w:r>
      <w:r w:rsidR="00E80DD9" w:rsidRPr="00111DC0">
        <w:rPr>
          <w:rFonts w:cs="Arial"/>
          <w:b/>
          <w:bCs/>
        </w:rPr>
        <w:t xml:space="preserve">diferencia </w:t>
      </w:r>
      <w:r w:rsidRPr="00111DC0">
        <w:rPr>
          <w:rFonts w:cs="Arial"/>
          <w:b/>
          <w:bCs/>
        </w:rPr>
        <w:t xml:space="preserve">salarial </w:t>
      </w:r>
      <w:r w:rsidR="006778EF" w:rsidRPr="00111DC0">
        <w:rPr>
          <w:rFonts w:cs="Arial"/>
          <w:b/>
          <w:bCs/>
        </w:rPr>
        <w:t xml:space="preserve">de género del total de la retribución real promediada </w:t>
      </w:r>
      <w:r w:rsidRPr="00111DC0">
        <w:rPr>
          <w:rFonts w:cs="Arial"/>
          <w:b/>
          <w:bCs/>
        </w:rPr>
        <w:t xml:space="preserve">en el </w:t>
      </w:r>
      <w:r w:rsidR="00832653" w:rsidRPr="00111DC0">
        <w:rPr>
          <w:rFonts w:cs="Arial"/>
          <w:b/>
          <w:bCs/>
        </w:rPr>
        <w:t>Personal Docente</w:t>
      </w:r>
      <w:r w:rsidRPr="00111DC0">
        <w:rPr>
          <w:rFonts w:cs="Arial"/>
          <w:b/>
          <w:bCs/>
        </w:rPr>
        <w:t xml:space="preserve"> </w:t>
      </w:r>
      <w:r w:rsidR="006778EF" w:rsidRPr="00111DC0">
        <w:rPr>
          <w:rFonts w:cs="Arial"/>
          <w:b/>
          <w:bCs/>
        </w:rPr>
        <w:t>es del</w:t>
      </w:r>
      <w:r w:rsidR="00E231DC" w:rsidRPr="00111DC0">
        <w:rPr>
          <w:rFonts w:cs="Arial"/>
          <w:b/>
          <w:bCs/>
        </w:rPr>
        <w:t xml:space="preserve"> 6% </w:t>
      </w:r>
      <w:r w:rsidR="006778EF" w:rsidRPr="00111DC0">
        <w:rPr>
          <w:rFonts w:cs="Arial"/>
          <w:b/>
          <w:bCs/>
        </w:rPr>
        <w:t>en</w:t>
      </w:r>
      <w:r w:rsidR="00E231DC" w:rsidRPr="00111DC0">
        <w:rPr>
          <w:rFonts w:cs="Arial"/>
          <w:b/>
          <w:bCs/>
        </w:rPr>
        <w:t xml:space="preserve"> el total y del 5% en los </w:t>
      </w:r>
      <w:r w:rsidR="006778EF" w:rsidRPr="00111DC0">
        <w:rPr>
          <w:rFonts w:cs="Arial"/>
          <w:b/>
          <w:bCs/>
        </w:rPr>
        <w:t>G</w:t>
      </w:r>
      <w:r w:rsidR="00E231DC" w:rsidRPr="00111DC0">
        <w:rPr>
          <w:rFonts w:cs="Arial"/>
          <w:b/>
          <w:bCs/>
        </w:rPr>
        <w:t>rupos</w:t>
      </w:r>
      <w:r w:rsidR="006778EF" w:rsidRPr="00111DC0">
        <w:rPr>
          <w:rFonts w:cs="Arial"/>
          <w:b/>
          <w:bCs/>
        </w:rPr>
        <w:t xml:space="preserve"> A1 y A2</w:t>
      </w:r>
      <w:r w:rsidR="00E231DC" w:rsidRPr="00111DC0">
        <w:rPr>
          <w:rFonts w:cs="Arial"/>
          <w:b/>
          <w:bCs/>
        </w:rPr>
        <w:t>.</w:t>
      </w:r>
      <w:r w:rsidR="00E231DC" w:rsidRPr="00111DC0">
        <w:rPr>
          <w:rFonts w:cs="Arial"/>
        </w:rPr>
        <w:t xml:space="preserve"> </w:t>
      </w:r>
      <w:r w:rsidR="00C34346" w:rsidRPr="00111DC0">
        <w:rPr>
          <w:rFonts w:cs="Arial"/>
        </w:rPr>
        <w:t>Nuevamente,</w:t>
      </w:r>
      <w:r w:rsidR="00C167C1">
        <w:rPr>
          <w:rFonts w:cs="Arial"/>
        </w:rPr>
        <w:t xml:space="preserve"> </w:t>
      </w:r>
      <w:r w:rsidR="006778EF" w:rsidRPr="00111DC0">
        <w:rPr>
          <w:rFonts w:cs="Arial"/>
        </w:rPr>
        <w:t>las cuestiones</w:t>
      </w:r>
      <w:r w:rsidR="00B31EDB" w:rsidRPr="00111DC0">
        <w:rPr>
          <w:rFonts w:cs="Arial"/>
        </w:rPr>
        <w:t xml:space="preserve"> relativas a las circunstancias profesionales de las personas trabajadoras, </w:t>
      </w:r>
      <w:r w:rsidR="00937D4D" w:rsidRPr="00111DC0">
        <w:rPr>
          <w:rFonts w:cs="Arial"/>
        </w:rPr>
        <w:t xml:space="preserve">como </w:t>
      </w:r>
      <w:r w:rsidR="00B31EDB" w:rsidRPr="00111DC0">
        <w:rPr>
          <w:rFonts w:cs="Arial"/>
        </w:rPr>
        <w:t xml:space="preserve">el número de </w:t>
      </w:r>
      <w:r w:rsidR="00937D4D" w:rsidRPr="00111DC0">
        <w:rPr>
          <w:rFonts w:cs="Arial"/>
        </w:rPr>
        <w:t xml:space="preserve">horas </w:t>
      </w:r>
      <w:r w:rsidR="00B31EDB" w:rsidRPr="00111DC0">
        <w:rPr>
          <w:rFonts w:cs="Arial"/>
        </w:rPr>
        <w:t>trabajad</w:t>
      </w:r>
      <w:r w:rsidR="00937D4D" w:rsidRPr="00111DC0">
        <w:rPr>
          <w:rFonts w:cs="Arial"/>
        </w:rPr>
        <w:t>a</w:t>
      </w:r>
      <w:r w:rsidR="00B31EDB" w:rsidRPr="00111DC0">
        <w:rPr>
          <w:rFonts w:cs="Arial"/>
        </w:rPr>
        <w:t>s al año</w:t>
      </w:r>
      <w:r w:rsidR="000330B2" w:rsidRPr="00111DC0">
        <w:rPr>
          <w:rFonts w:cs="Arial"/>
        </w:rPr>
        <w:t xml:space="preserve"> o</w:t>
      </w:r>
      <w:r w:rsidR="00B31EDB" w:rsidRPr="00111DC0">
        <w:rPr>
          <w:rFonts w:cs="Arial"/>
        </w:rPr>
        <w:t xml:space="preserve"> el tipo de puesto que se ocupa</w:t>
      </w:r>
      <w:r w:rsidR="00937D4D" w:rsidRPr="00111DC0">
        <w:rPr>
          <w:rFonts w:cs="Arial"/>
        </w:rPr>
        <w:t xml:space="preserve">, así como condiciones personales, como las necesidades derivadas de la conciliación entre diferentes responsabilidades, </w:t>
      </w:r>
      <w:r w:rsidR="006778EF" w:rsidRPr="00111DC0">
        <w:rPr>
          <w:rFonts w:cs="Arial"/>
        </w:rPr>
        <w:t xml:space="preserve">las que </w:t>
      </w:r>
      <w:r w:rsidR="00B31EDB" w:rsidRPr="00111DC0">
        <w:rPr>
          <w:rFonts w:cs="Arial"/>
        </w:rPr>
        <w:t>condicionan las diferencias salariales</w:t>
      </w:r>
      <w:r w:rsidR="000330B2" w:rsidRPr="00111DC0">
        <w:rPr>
          <w:rFonts w:cs="Arial"/>
        </w:rPr>
        <w:t xml:space="preserve"> entre </w:t>
      </w:r>
      <w:r w:rsidR="006778EF" w:rsidRPr="00111DC0">
        <w:rPr>
          <w:rFonts w:cs="Arial"/>
        </w:rPr>
        <w:t>mujeres y hombres</w:t>
      </w:r>
      <w:r w:rsidR="00B31EDB" w:rsidRPr="00111DC0">
        <w:rPr>
          <w:rFonts w:cs="Arial"/>
        </w:rPr>
        <w:t>.</w:t>
      </w:r>
      <w:r w:rsidR="00CE06DF" w:rsidRPr="00111DC0">
        <w:rPr>
          <w:rFonts w:cs="Arial"/>
        </w:rPr>
        <w:t xml:space="preserve"> </w:t>
      </w:r>
    </w:p>
    <w:tbl>
      <w:tblPr>
        <w:tblStyle w:val="Tablaconcuadrcula"/>
        <w:tblW w:w="4938" w:type="pct"/>
        <w:tblInd w:w="108" w:type="dxa"/>
        <w:tblLook w:val="04A0" w:firstRow="1" w:lastRow="0" w:firstColumn="1" w:lastColumn="0" w:noHBand="0" w:noVBand="1"/>
      </w:tblPr>
      <w:tblGrid>
        <w:gridCol w:w="2048"/>
        <w:gridCol w:w="2181"/>
        <w:gridCol w:w="2232"/>
        <w:gridCol w:w="2151"/>
      </w:tblGrid>
      <w:tr w:rsidR="00D31F0D" w:rsidRPr="00111DC0" w14:paraId="0302B44B" w14:textId="77777777" w:rsidTr="009C0A67">
        <w:trPr>
          <w:trHeight w:val="573"/>
        </w:trPr>
        <w:tc>
          <w:tcPr>
            <w:tcW w:w="5000" w:type="pct"/>
            <w:gridSpan w:val="4"/>
            <w:tcBorders>
              <w:top w:val="double" w:sz="4" w:space="0" w:color="auto"/>
              <w:left w:val="double" w:sz="4" w:space="0" w:color="auto"/>
              <w:bottom w:val="double" w:sz="4" w:space="0" w:color="auto"/>
              <w:right w:val="double" w:sz="4" w:space="0" w:color="auto"/>
            </w:tcBorders>
            <w:shd w:val="clear" w:color="auto" w:fill="78BE20"/>
            <w:vAlign w:val="center"/>
          </w:tcPr>
          <w:p w14:paraId="213B824E" w14:textId="382B756B" w:rsidR="00D31F0D" w:rsidRPr="00111DC0" w:rsidRDefault="00D31F0D" w:rsidP="00D86851">
            <w:pPr>
              <w:widowControl w:val="0"/>
              <w:spacing w:before="0" w:after="0" w:line="240" w:lineRule="auto"/>
              <w:jc w:val="left"/>
              <w:rPr>
                <w:rFonts w:eastAsiaTheme="majorEastAsia" w:cs="Arial"/>
                <w:b/>
                <w:bCs/>
                <w:snapToGrid w:val="0"/>
                <w:color w:val="78BE20"/>
                <w:szCs w:val="26"/>
              </w:rPr>
            </w:pPr>
            <w:r w:rsidRPr="00111DC0">
              <w:rPr>
                <w:rFonts w:cs="Arial"/>
                <w:b/>
                <w:bCs/>
                <w:color w:val="FFFFFF" w:themeColor="background1"/>
                <w:szCs w:val="20"/>
              </w:rPr>
              <w:t xml:space="preserve">Tabla </w:t>
            </w:r>
            <w:r w:rsidR="00450DF4" w:rsidRPr="00111DC0">
              <w:rPr>
                <w:rFonts w:cs="Arial"/>
                <w:b/>
                <w:bCs/>
                <w:color w:val="FFFFFF" w:themeColor="background1"/>
                <w:szCs w:val="20"/>
              </w:rPr>
              <w:t>1</w:t>
            </w:r>
            <w:r w:rsidR="00A20210">
              <w:rPr>
                <w:rFonts w:cs="Arial"/>
                <w:b/>
                <w:bCs/>
                <w:color w:val="FFFFFF" w:themeColor="background1"/>
                <w:szCs w:val="20"/>
              </w:rPr>
              <w:t>2</w:t>
            </w:r>
            <w:r w:rsidRPr="00111DC0">
              <w:rPr>
                <w:rFonts w:cs="Arial"/>
                <w:b/>
                <w:bCs/>
                <w:color w:val="FFFFFF" w:themeColor="background1"/>
                <w:szCs w:val="20"/>
              </w:rPr>
              <w:t xml:space="preserve">. Promedio y brecha de género en las retribuciones reales del </w:t>
            </w:r>
            <w:r w:rsidR="00832653" w:rsidRPr="00111DC0">
              <w:rPr>
                <w:rFonts w:cs="Arial"/>
                <w:b/>
                <w:bCs/>
                <w:color w:val="FFFFFF" w:themeColor="background1"/>
                <w:szCs w:val="20"/>
              </w:rPr>
              <w:t>Personal Docente</w:t>
            </w:r>
          </w:p>
        </w:tc>
      </w:tr>
      <w:tr w:rsidR="00D31F0D" w:rsidRPr="00111DC0" w14:paraId="0CE4B082" w14:textId="77777777" w:rsidTr="009C0A67">
        <w:trPr>
          <w:trHeight w:val="397"/>
        </w:trPr>
        <w:tc>
          <w:tcPr>
            <w:tcW w:w="1189" w:type="pct"/>
            <w:vMerge w:val="restart"/>
            <w:tcBorders>
              <w:top w:val="double" w:sz="4" w:space="0" w:color="auto"/>
              <w:left w:val="double" w:sz="4" w:space="0" w:color="auto"/>
              <w:right w:val="double" w:sz="4" w:space="0" w:color="auto"/>
            </w:tcBorders>
            <w:vAlign w:val="center"/>
          </w:tcPr>
          <w:p w14:paraId="19CB5F70" w14:textId="77777777" w:rsidR="00D31F0D" w:rsidRPr="00111DC0" w:rsidRDefault="00D31F0D" w:rsidP="00EF2ED1">
            <w:pPr>
              <w:spacing w:before="0" w:after="0" w:line="259" w:lineRule="auto"/>
              <w:jc w:val="right"/>
              <w:rPr>
                <w:rFonts w:eastAsiaTheme="majorEastAsia" w:cs="Arial"/>
                <w:b/>
                <w:bCs/>
                <w:snapToGrid w:val="0"/>
                <w:color w:val="78BE20"/>
                <w:szCs w:val="26"/>
              </w:rPr>
            </w:pPr>
            <w:r w:rsidRPr="00111DC0">
              <w:rPr>
                <w:rFonts w:eastAsiaTheme="majorEastAsia" w:cs="Arial"/>
                <w:b/>
                <w:bCs/>
                <w:snapToGrid w:val="0"/>
                <w:color w:val="78BE20"/>
                <w:szCs w:val="26"/>
              </w:rPr>
              <w:t>GRUPO</w:t>
            </w:r>
          </w:p>
        </w:tc>
        <w:tc>
          <w:tcPr>
            <w:tcW w:w="2562" w:type="pct"/>
            <w:gridSpan w:val="2"/>
            <w:tcBorders>
              <w:top w:val="double" w:sz="4" w:space="0" w:color="auto"/>
              <w:left w:val="double" w:sz="4" w:space="0" w:color="auto"/>
              <w:bottom w:val="single" w:sz="4" w:space="0" w:color="auto"/>
              <w:right w:val="double" w:sz="4" w:space="0" w:color="auto"/>
            </w:tcBorders>
            <w:vAlign w:val="center"/>
          </w:tcPr>
          <w:p w14:paraId="2A191C64" w14:textId="77777777" w:rsidR="00D31F0D" w:rsidRPr="00111DC0" w:rsidRDefault="00D31F0D" w:rsidP="00D86851">
            <w:pPr>
              <w:widowControl w:val="0"/>
              <w:spacing w:before="0" w:after="0" w:line="240"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PROMEDIO</w:t>
            </w:r>
          </w:p>
        </w:tc>
        <w:tc>
          <w:tcPr>
            <w:tcW w:w="1249" w:type="pct"/>
            <w:vMerge w:val="restart"/>
            <w:tcBorders>
              <w:top w:val="double" w:sz="4" w:space="0" w:color="auto"/>
              <w:left w:val="double" w:sz="4" w:space="0" w:color="auto"/>
              <w:right w:val="double" w:sz="4" w:space="0" w:color="auto"/>
            </w:tcBorders>
            <w:vAlign w:val="center"/>
          </w:tcPr>
          <w:p w14:paraId="2062E47F" w14:textId="77777777" w:rsidR="00D31F0D" w:rsidRPr="00111DC0" w:rsidRDefault="00D31F0D" w:rsidP="00D86851">
            <w:pPr>
              <w:widowControl w:val="0"/>
              <w:spacing w:before="0" w:after="0" w:line="240" w:lineRule="auto"/>
              <w:jc w:val="center"/>
              <w:rPr>
                <w:rFonts w:eastAsiaTheme="majorEastAsia" w:cs="Arial"/>
                <w:b/>
                <w:bCs/>
                <w:snapToGrid w:val="0"/>
                <w:color w:val="78BE20"/>
                <w:szCs w:val="26"/>
              </w:rPr>
            </w:pPr>
            <w:r w:rsidRPr="00111DC0">
              <w:rPr>
                <w:rFonts w:eastAsiaTheme="majorEastAsia" w:cs="Arial"/>
                <w:b/>
                <w:bCs/>
                <w:snapToGrid w:val="0"/>
                <w:color w:val="78BE20"/>
                <w:szCs w:val="26"/>
              </w:rPr>
              <w:t>BRECHA SALARIAL</w:t>
            </w:r>
          </w:p>
        </w:tc>
      </w:tr>
      <w:tr w:rsidR="00D31F0D" w:rsidRPr="00111DC0" w14:paraId="477EF148" w14:textId="77777777" w:rsidTr="00C64B27">
        <w:tc>
          <w:tcPr>
            <w:tcW w:w="1189" w:type="pct"/>
            <w:vMerge/>
            <w:tcBorders>
              <w:left w:val="double" w:sz="4" w:space="0" w:color="auto"/>
              <w:bottom w:val="double" w:sz="4" w:space="0" w:color="auto"/>
              <w:right w:val="double" w:sz="4" w:space="0" w:color="auto"/>
            </w:tcBorders>
            <w:vAlign w:val="center"/>
          </w:tcPr>
          <w:p w14:paraId="3C5432EF" w14:textId="77777777" w:rsidR="00D31F0D" w:rsidRPr="00111DC0" w:rsidRDefault="00D31F0D" w:rsidP="00EF2ED1">
            <w:pPr>
              <w:spacing w:before="0" w:after="0" w:line="259" w:lineRule="auto"/>
              <w:jc w:val="right"/>
              <w:rPr>
                <w:rFonts w:eastAsiaTheme="majorEastAsia" w:cs="Arial"/>
                <w:b/>
                <w:bCs/>
                <w:snapToGrid w:val="0"/>
                <w:color w:val="78BE20"/>
                <w:szCs w:val="26"/>
              </w:rPr>
            </w:pPr>
          </w:p>
        </w:tc>
        <w:tc>
          <w:tcPr>
            <w:tcW w:w="1266" w:type="pct"/>
            <w:tcBorders>
              <w:top w:val="single" w:sz="4" w:space="0" w:color="auto"/>
              <w:left w:val="double" w:sz="4" w:space="0" w:color="auto"/>
              <w:bottom w:val="double" w:sz="4" w:space="0" w:color="auto"/>
            </w:tcBorders>
            <w:vAlign w:val="center"/>
          </w:tcPr>
          <w:p w14:paraId="0532CE26" w14:textId="77777777" w:rsidR="00D31F0D" w:rsidRPr="00111DC0" w:rsidRDefault="00D31F0D" w:rsidP="00D86851">
            <w:pPr>
              <w:spacing w:before="0" w:after="0" w:line="259" w:lineRule="auto"/>
              <w:jc w:val="center"/>
              <w:rPr>
                <w:rFonts w:eastAsiaTheme="majorEastAsia" w:cs="Arial"/>
                <w:b/>
                <w:bCs/>
                <w:snapToGrid w:val="0"/>
                <w:color w:val="78BE20"/>
                <w:szCs w:val="26"/>
              </w:rPr>
            </w:pPr>
            <w:r w:rsidRPr="00111DC0">
              <w:rPr>
                <w:rFonts w:cs="Arial"/>
                <w:b/>
                <w:bCs/>
                <w:sz w:val="20"/>
                <w:szCs w:val="18"/>
              </w:rPr>
              <w:t>MUJERES</w:t>
            </w:r>
          </w:p>
        </w:tc>
        <w:tc>
          <w:tcPr>
            <w:tcW w:w="1296" w:type="pct"/>
            <w:tcBorders>
              <w:top w:val="single" w:sz="4" w:space="0" w:color="auto"/>
              <w:bottom w:val="double" w:sz="4" w:space="0" w:color="auto"/>
              <w:right w:val="double" w:sz="4" w:space="0" w:color="auto"/>
            </w:tcBorders>
            <w:vAlign w:val="center"/>
          </w:tcPr>
          <w:p w14:paraId="091B3AAF" w14:textId="77777777" w:rsidR="00D31F0D" w:rsidRPr="00111DC0" w:rsidRDefault="00D31F0D" w:rsidP="00D86851">
            <w:pPr>
              <w:spacing w:before="0" w:after="0" w:line="259" w:lineRule="auto"/>
              <w:jc w:val="center"/>
              <w:rPr>
                <w:rFonts w:cs="Arial"/>
                <w:sz w:val="20"/>
                <w:szCs w:val="18"/>
              </w:rPr>
            </w:pPr>
            <w:r w:rsidRPr="00111DC0">
              <w:rPr>
                <w:rFonts w:cs="Arial"/>
                <w:b/>
                <w:bCs/>
                <w:sz w:val="20"/>
                <w:szCs w:val="18"/>
              </w:rPr>
              <w:t>HOMBRES</w:t>
            </w:r>
          </w:p>
        </w:tc>
        <w:tc>
          <w:tcPr>
            <w:tcW w:w="1249" w:type="pct"/>
            <w:vMerge/>
            <w:tcBorders>
              <w:left w:val="double" w:sz="4" w:space="0" w:color="auto"/>
              <w:bottom w:val="double" w:sz="4" w:space="0" w:color="auto"/>
              <w:right w:val="double" w:sz="4" w:space="0" w:color="auto"/>
            </w:tcBorders>
            <w:vAlign w:val="center"/>
          </w:tcPr>
          <w:p w14:paraId="74A70BDC" w14:textId="77777777" w:rsidR="00D31F0D" w:rsidRPr="00111DC0" w:rsidRDefault="00D31F0D" w:rsidP="00D86851">
            <w:pPr>
              <w:spacing w:before="0" w:after="0" w:line="259" w:lineRule="auto"/>
              <w:jc w:val="center"/>
              <w:rPr>
                <w:rFonts w:cs="Arial"/>
                <w:sz w:val="20"/>
                <w:szCs w:val="18"/>
              </w:rPr>
            </w:pPr>
          </w:p>
        </w:tc>
      </w:tr>
      <w:tr w:rsidR="00D31F0D" w:rsidRPr="00111DC0" w14:paraId="5A9AB24C" w14:textId="77777777" w:rsidTr="0038508D">
        <w:tc>
          <w:tcPr>
            <w:tcW w:w="1189" w:type="pct"/>
            <w:tcBorders>
              <w:top w:val="double" w:sz="4" w:space="0" w:color="auto"/>
              <w:left w:val="double" w:sz="4" w:space="0" w:color="auto"/>
              <w:bottom w:val="single" w:sz="4" w:space="0" w:color="000000"/>
              <w:right w:val="double" w:sz="4" w:space="0" w:color="auto"/>
            </w:tcBorders>
            <w:vAlign w:val="center"/>
          </w:tcPr>
          <w:p w14:paraId="6BFB2275" w14:textId="77777777" w:rsidR="00D31F0D" w:rsidRPr="00EF2ED1" w:rsidRDefault="00D31F0D" w:rsidP="00EF2ED1">
            <w:pPr>
              <w:spacing w:before="0" w:after="0" w:line="259" w:lineRule="auto"/>
              <w:jc w:val="right"/>
              <w:rPr>
                <w:rFonts w:cs="Arial"/>
                <w:sz w:val="20"/>
                <w:szCs w:val="18"/>
              </w:rPr>
            </w:pPr>
            <w:r w:rsidRPr="00EF2ED1">
              <w:rPr>
                <w:rFonts w:cs="Arial"/>
                <w:sz w:val="20"/>
                <w:szCs w:val="18"/>
              </w:rPr>
              <w:t>A1</w:t>
            </w:r>
          </w:p>
        </w:tc>
        <w:tc>
          <w:tcPr>
            <w:tcW w:w="1266" w:type="pct"/>
            <w:tcBorders>
              <w:top w:val="double" w:sz="4" w:space="0" w:color="auto"/>
              <w:left w:val="double" w:sz="4" w:space="0" w:color="auto"/>
            </w:tcBorders>
            <w:vAlign w:val="center"/>
          </w:tcPr>
          <w:p w14:paraId="1C65D166" w14:textId="2BBAC167" w:rsidR="00D31F0D" w:rsidRPr="00111DC0" w:rsidRDefault="00D31F0D" w:rsidP="00D86851">
            <w:pPr>
              <w:spacing w:before="0" w:after="0" w:line="259" w:lineRule="auto"/>
              <w:jc w:val="center"/>
              <w:rPr>
                <w:rFonts w:cs="Arial"/>
                <w:sz w:val="20"/>
                <w:szCs w:val="18"/>
              </w:rPr>
            </w:pPr>
            <w:r w:rsidRPr="00111DC0">
              <w:rPr>
                <w:rFonts w:cs="Arial"/>
                <w:sz w:val="20"/>
                <w:szCs w:val="18"/>
              </w:rPr>
              <w:t>2.</w:t>
            </w:r>
            <w:r w:rsidR="006C755B" w:rsidRPr="00111DC0">
              <w:rPr>
                <w:rFonts w:cs="Arial"/>
                <w:sz w:val="20"/>
                <w:szCs w:val="18"/>
              </w:rPr>
              <w:t>710,33</w:t>
            </w:r>
          </w:p>
        </w:tc>
        <w:tc>
          <w:tcPr>
            <w:tcW w:w="1296" w:type="pct"/>
            <w:tcBorders>
              <w:top w:val="double" w:sz="4" w:space="0" w:color="auto"/>
              <w:right w:val="double" w:sz="4" w:space="0" w:color="auto"/>
            </w:tcBorders>
            <w:shd w:val="clear" w:color="auto" w:fill="auto"/>
            <w:vAlign w:val="center"/>
          </w:tcPr>
          <w:p w14:paraId="091F094E" w14:textId="0CB12C01" w:rsidR="00D31F0D" w:rsidRPr="00111DC0" w:rsidRDefault="00D31F0D" w:rsidP="00D86851">
            <w:pPr>
              <w:spacing w:before="0" w:after="0" w:line="259" w:lineRule="auto"/>
              <w:jc w:val="center"/>
              <w:rPr>
                <w:rFonts w:cs="Arial"/>
                <w:sz w:val="20"/>
                <w:szCs w:val="18"/>
              </w:rPr>
            </w:pPr>
            <w:r w:rsidRPr="00111DC0">
              <w:rPr>
                <w:rFonts w:cs="Arial"/>
                <w:sz w:val="20"/>
                <w:szCs w:val="18"/>
              </w:rPr>
              <w:t>2.</w:t>
            </w:r>
            <w:r w:rsidR="006C755B" w:rsidRPr="00111DC0">
              <w:rPr>
                <w:rFonts w:cs="Arial"/>
                <w:sz w:val="20"/>
                <w:szCs w:val="18"/>
              </w:rPr>
              <w:t>8</w:t>
            </w:r>
            <w:r w:rsidR="006F7AC6" w:rsidRPr="00111DC0">
              <w:rPr>
                <w:rFonts w:cs="Arial"/>
                <w:sz w:val="20"/>
                <w:szCs w:val="18"/>
              </w:rPr>
              <w:t>52,45</w:t>
            </w:r>
          </w:p>
        </w:tc>
        <w:tc>
          <w:tcPr>
            <w:tcW w:w="1249" w:type="pct"/>
            <w:tcBorders>
              <w:top w:val="double" w:sz="4" w:space="0" w:color="auto"/>
              <w:left w:val="double" w:sz="4" w:space="0" w:color="auto"/>
              <w:right w:val="double" w:sz="4" w:space="0" w:color="auto"/>
            </w:tcBorders>
            <w:vAlign w:val="center"/>
          </w:tcPr>
          <w:p w14:paraId="06B4A13F" w14:textId="4627889F" w:rsidR="00D31F0D" w:rsidRPr="00111DC0" w:rsidRDefault="00D31F0D" w:rsidP="00D86851">
            <w:pPr>
              <w:spacing w:before="0" w:after="0" w:line="259" w:lineRule="auto"/>
              <w:jc w:val="center"/>
              <w:rPr>
                <w:rFonts w:cs="Arial"/>
                <w:sz w:val="20"/>
                <w:szCs w:val="18"/>
              </w:rPr>
            </w:pPr>
            <w:r w:rsidRPr="00111DC0">
              <w:rPr>
                <w:rFonts w:cs="Arial"/>
                <w:sz w:val="20"/>
                <w:szCs w:val="18"/>
              </w:rPr>
              <w:t>5%</w:t>
            </w:r>
          </w:p>
        </w:tc>
      </w:tr>
      <w:tr w:rsidR="00D31F0D" w:rsidRPr="00111DC0" w14:paraId="6FC71ED9" w14:textId="77777777" w:rsidTr="0038508D">
        <w:tc>
          <w:tcPr>
            <w:tcW w:w="1189" w:type="pct"/>
            <w:tcBorders>
              <w:top w:val="single" w:sz="4" w:space="0" w:color="000000"/>
              <w:left w:val="double" w:sz="4" w:space="0" w:color="auto"/>
              <w:bottom w:val="single" w:sz="4" w:space="0" w:color="000000"/>
              <w:right w:val="double" w:sz="4" w:space="0" w:color="auto"/>
            </w:tcBorders>
            <w:vAlign w:val="center"/>
          </w:tcPr>
          <w:p w14:paraId="7BB6E13A" w14:textId="77777777" w:rsidR="00D31F0D" w:rsidRPr="00EF2ED1" w:rsidRDefault="00D31F0D" w:rsidP="00EF2ED1">
            <w:pPr>
              <w:spacing w:before="0" w:after="0" w:line="259" w:lineRule="auto"/>
              <w:jc w:val="right"/>
              <w:rPr>
                <w:rFonts w:cs="Arial"/>
                <w:sz w:val="20"/>
                <w:szCs w:val="18"/>
              </w:rPr>
            </w:pPr>
            <w:r w:rsidRPr="00EF2ED1">
              <w:rPr>
                <w:rFonts w:cs="Arial"/>
                <w:sz w:val="20"/>
                <w:szCs w:val="18"/>
              </w:rPr>
              <w:t>A2</w:t>
            </w:r>
          </w:p>
        </w:tc>
        <w:tc>
          <w:tcPr>
            <w:tcW w:w="1266" w:type="pct"/>
            <w:tcBorders>
              <w:left w:val="double" w:sz="4" w:space="0" w:color="auto"/>
              <w:bottom w:val="single" w:sz="4" w:space="0" w:color="000000"/>
            </w:tcBorders>
            <w:vAlign w:val="center"/>
          </w:tcPr>
          <w:p w14:paraId="31EB632F" w14:textId="2A752318" w:rsidR="00D31F0D" w:rsidRPr="00111DC0" w:rsidRDefault="006C755B" w:rsidP="00D86851">
            <w:pPr>
              <w:spacing w:before="0" w:after="0" w:line="259" w:lineRule="auto"/>
              <w:jc w:val="center"/>
              <w:rPr>
                <w:rFonts w:cs="Arial"/>
                <w:sz w:val="20"/>
                <w:szCs w:val="18"/>
              </w:rPr>
            </w:pPr>
            <w:r w:rsidRPr="00111DC0">
              <w:rPr>
                <w:rFonts w:cs="Arial"/>
                <w:sz w:val="20"/>
                <w:szCs w:val="18"/>
              </w:rPr>
              <w:t>2.442,36</w:t>
            </w:r>
          </w:p>
        </w:tc>
        <w:tc>
          <w:tcPr>
            <w:tcW w:w="1296" w:type="pct"/>
            <w:tcBorders>
              <w:right w:val="double" w:sz="4" w:space="0" w:color="auto"/>
            </w:tcBorders>
            <w:shd w:val="clear" w:color="auto" w:fill="auto"/>
            <w:vAlign w:val="center"/>
          </w:tcPr>
          <w:p w14:paraId="2E48D851" w14:textId="4DD028CB" w:rsidR="00D31F0D" w:rsidRPr="00111DC0" w:rsidRDefault="00D31F0D" w:rsidP="00D86851">
            <w:pPr>
              <w:spacing w:before="0" w:after="0" w:line="259" w:lineRule="auto"/>
              <w:jc w:val="center"/>
              <w:rPr>
                <w:rFonts w:cs="Arial"/>
                <w:sz w:val="20"/>
                <w:szCs w:val="18"/>
              </w:rPr>
            </w:pPr>
            <w:r w:rsidRPr="00111DC0">
              <w:rPr>
                <w:rFonts w:cs="Arial"/>
                <w:sz w:val="20"/>
                <w:szCs w:val="18"/>
              </w:rPr>
              <w:t>2.</w:t>
            </w:r>
            <w:r w:rsidR="006F7AC6" w:rsidRPr="00111DC0">
              <w:rPr>
                <w:rFonts w:cs="Arial"/>
                <w:sz w:val="20"/>
                <w:szCs w:val="18"/>
              </w:rPr>
              <w:t>558,36</w:t>
            </w:r>
          </w:p>
        </w:tc>
        <w:tc>
          <w:tcPr>
            <w:tcW w:w="1249" w:type="pct"/>
            <w:tcBorders>
              <w:left w:val="double" w:sz="4" w:space="0" w:color="auto"/>
              <w:right w:val="double" w:sz="4" w:space="0" w:color="auto"/>
            </w:tcBorders>
            <w:vAlign w:val="center"/>
          </w:tcPr>
          <w:p w14:paraId="3B9F77E3" w14:textId="26ABEA1A" w:rsidR="00D31F0D" w:rsidRPr="00111DC0" w:rsidRDefault="003D24AA" w:rsidP="00D86851">
            <w:pPr>
              <w:spacing w:before="0" w:after="0" w:line="259" w:lineRule="auto"/>
              <w:jc w:val="center"/>
              <w:rPr>
                <w:rFonts w:cs="Arial"/>
                <w:sz w:val="20"/>
                <w:szCs w:val="18"/>
              </w:rPr>
            </w:pPr>
            <w:r w:rsidRPr="00111DC0">
              <w:rPr>
                <w:rFonts w:cs="Arial"/>
                <w:sz w:val="20"/>
                <w:szCs w:val="18"/>
              </w:rPr>
              <w:t>5</w:t>
            </w:r>
            <w:r w:rsidR="00D31F0D" w:rsidRPr="00111DC0">
              <w:rPr>
                <w:rFonts w:cs="Arial"/>
                <w:sz w:val="20"/>
                <w:szCs w:val="18"/>
              </w:rPr>
              <w:t>%</w:t>
            </w:r>
          </w:p>
        </w:tc>
      </w:tr>
      <w:tr w:rsidR="00D31F0D" w:rsidRPr="00111DC0" w14:paraId="2D5352AF" w14:textId="77777777" w:rsidTr="0038508D">
        <w:tc>
          <w:tcPr>
            <w:tcW w:w="1189" w:type="pct"/>
            <w:tcBorders>
              <w:top w:val="single" w:sz="4" w:space="0" w:color="000000"/>
              <w:left w:val="double" w:sz="4" w:space="0" w:color="auto"/>
              <w:bottom w:val="double" w:sz="4" w:space="0" w:color="auto"/>
              <w:right w:val="double" w:sz="4" w:space="0" w:color="auto"/>
            </w:tcBorders>
            <w:vAlign w:val="center"/>
          </w:tcPr>
          <w:p w14:paraId="5135F785" w14:textId="77777777" w:rsidR="00D31F0D" w:rsidRPr="00EF2ED1" w:rsidRDefault="00D31F0D" w:rsidP="00EF2ED1">
            <w:pPr>
              <w:spacing w:before="0" w:after="0" w:line="259" w:lineRule="auto"/>
              <w:jc w:val="right"/>
              <w:rPr>
                <w:rFonts w:cs="Arial"/>
                <w:b/>
                <w:bCs/>
                <w:sz w:val="20"/>
                <w:szCs w:val="18"/>
              </w:rPr>
            </w:pPr>
            <w:r w:rsidRPr="00EF2ED1">
              <w:rPr>
                <w:rFonts w:cs="Arial"/>
                <w:b/>
                <w:bCs/>
                <w:sz w:val="20"/>
                <w:szCs w:val="18"/>
              </w:rPr>
              <w:t>TOTAL</w:t>
            </w:r>
          </w:p>
        </w:tc>
        <w:tc>
          <w:tcPr>
            <w:tcW w:w="1266" w:type="pct"/>
            <w:tcBorders>
              <w:left w:val="double" w:sz="4" w:space="0" w:color="auto"/>
              <w:bottom w:val="double" w:sz="4" w:space="0" w:color="auto"/>
            </w:tcBorders>
            <w:vAlign w:val="center"/>
          </w:tcPr>
          <w:p w14:paraId="1E6585DB" w14:textId="1FF523BC" w:rsidR="00D31F0D" w:rsidRPr="00111DC0" w:rsidRDefault="00D31F0D" w:rsidP="00D86851">
            <w:pPr>
              <w:spacing w:before="0" w:after="0" w:line="259" w:lineRule="auto"/>
              <w:jc w:val="center"/>
              <w:rPr>
                <w:rFonts w:eastAsiaTheme="majorEastAsia" w:cs="Arial"/>
                <w:b/>
                <w:bCs/>
                <w:snapToGrid w:val="0"/>
                <w:color w:val="78BE20"/>
                <w:szCs w:val="26"/>
              </w:rPr>
            </w:pPr>
            <w:r w:rsidRPr="00111DC0">
              <w:rPr>
                <w:rFonts w:cs="Arial"/>
                <w:b/>
                <w:bCs/>
                <w:sz w:val="20"/>
                <w:szCs w:val="18"/>
              </w:rPr>
              <w:t>2.</w:t>
            </w:r>
            <w:r w:rsidR="006C755B" w:rsidRPr="00111DC0">
              <w:rPr>
                <w:rFonts w:cs="Arial"/>
                <w:b/>
                <w:bCs/>
                <w:sz w:val="20"/>
                <w:szCs w:val="18"/>
              </w:rPr>
              <w:t>547,36</w:t>
            </w:r>
          </w:p>
        </w:tc>
        <w:tc>
          <w:tcPr>
            <w:tcW w:w="1296" w:type="pct"/>
            <w:tcBorders>
              <w:bottom w:val="double" w:sz="4" w:space="0" w:color="auto"/>
              <w:right w:val="double" w:sz="4" w:space="0" w:color="auto"/>
            </w:tcBorders>
            <w:shd w:val="clear" w:color="auto" w:fill="auto"/>
            <w:vAlign w:val="center"/>
          </w:tcPr>
          <w:p w14:paraId="37CCE28C" w14:textId="358DB009" w:rsidR="00D31F0D" w:rsidRPr="00111DC0" w:rsidRDefault="006F7AC6" w:rsidP="00D86851">
            <w:pPr>
              <w:spacing w:before="0" w:after="0" w:line="259" w:lineRule="auto"/>
              <w:jc w:val="center"/>
              <w:rPr>
                <w:rFonts w:cs="Arial"/>
                <w:b/>
                <w:bCs/>
                <w:sz w:val="20"/>
                <w:szCs w:val="18"/>
              </w:rPr>
            </w:pPr>
            <w:r w:rsidRPr="00111DC0">
              <w:rPr>
                <w:rFonts w:cs="Arial"/>
                <w:b/>
                <w:bCs/>
                <w:sz w:val="20"/>
                <w:szCs w:val="18"/>
              </w:rPr>
              <w:t>2.724,08</w:t>
            </w:r>
          </w:p>
        </w:tc>
        <w:tc>
          <w:tcPr>
            <w:tcW w:w="1249" w:type="pct"/>
            <w:tcBorders>
              <w:left w:val="double" w:sz="4" w:space="0" w:color="auto"/>
              <w:bottom w:val="double" w:sz="4" w:space="0" w:color="auto"/>
              <w:right w:val="double" w:sz="4" w:space="0" w:color="auto"/>
            </w:tcBorders>
            <w:vAlign w:val="center"/>
          </w:tcPr>
          <w:p w14:paraId="4A1BF358" w14:textId="77777777" w:rsidR="00D31F0D" w:rsidRPr="00111DC0" w:rsidRDefault="00D31F0D" w:rsidP="00D86851">
            <w:pPr>
              <w:spacing w:before="0" w:after="0" w:line="259" w:lineRule="auto"/>
              <w:jc w:val="center"/>
              <w:rPr>
                <w:rFonts w:cs="Arial"/>
                <w:b/>
                <w:bCs/>
                <w:sz w:val="20"/>
                <w:szCs w:val="18"/>
              </w:rPr>
            </w:pPr>
            <w:r w:rsidRPr="00111DC0">
              <w:rPr>
                <w:rFonts w:cs="Arial"/>
                <w:b/>
                <w:bCs/>
                <w:sz w:val="20"/>
                <w:szCs w:val="18"/>
              </w:rPr>
              <w:t>6%</w:t>
            </w:r>
          </w:p>
        </w:tc>
      </w:tr>
    </w:tbl>
    <w:p w14:paraId="1F45A7FC" w14:textId="1E6397A2" w:rsidR="00E075AF" w:rsidRPr="00111DC0" w:rsidRDefault="00E075AF" w:rsidP="002A47E6"/>
    <w:p w14:paraId="6DBCEC1A" w14:textId="77777777" w:rsidR="00E075AF" w:rsidRPr="00111DC0" w:rsidRDefault="00E075AF" w:rsidP="002A47E6"/>
    <w:p w14:paraId="05A0E657" w14:textId="21E34CF7" w:rsidR="00705953" w:rsidRPr="00111DC0" w:rsidRDefault="00603C12" w:rsidP="004B6A1B">
      <w:pPr>
        <w:pStyle w:val="Ttulo3"/>
        <w:rPr>
          <w:rFonts w:cs="Arial"/>
        </w:rPr>
      </w:pPr>
      <w:r w:rsidRPr="00111DC0">
        <w:rPr>
          <w:rFonts w:cs="Arial"/>
        </w:rPr>
        <w:t xml:space="preserve">Auditoría </w:t>
      </w:r>
      <w:r w:rsidR="001D4369">
        <w:rPr>
          <w:rFonts w:cs="Arial"/>
        </w:rPr>
        <w:t xml:space="preserve">y Registro </w:t>
      </w:r>
      <w:r w:rsidRPr="00111DC0">
        <w:rPr>
          <w:rFonts w:cs="Arial"/>
        </w:rPr>
        <w:t>retributiv</w:t>
      </w:r>
      <w:r w:rsidR="001D4369">
        <w:rPr>
          <w:rFonts w:cs="Arial"/>
        </w:rPr>
        <w:t xml:space="preserve">o </w:t>
      </w:r>
      <w:r w:rsidR="000E2605" w:rsidRPr="00111DC0">
        <w:rPr>
          <w:rFonts w:cs="Arial"/>
        </w:rPr>
        <w:t>del personal laboral</w:t>
      </w:r>
    </w:p>
    <w:p w14:paraId="380290DB" w14:textId="551C1E94" w:rsidR="009C0A67" w:rsidRDefault="001D4369" w:rsidP="009C0A67">
      <w:r>
        <w:t xml:space="preserve">La Disposición Adicional cuarta del </w:t>
      </w:r>
      <w:r w:rsidRPr="004D650B">
        <w:rPr>
          <w:rStyle w:val="KursivaCar"/>
        </w:rPr>
        <w:t>RD 902/2020, de igualdad retributiva</w:t>
      </w:r>
      <w:r>
        <w:t xml:space="preserve"> </w:t>
      </w:r>
      <w:r w:rsidR="00E259DD">
        <w:t>obliga</w:t>
      </w:r>
      <w:r>
        <w:t xml:space="preserve"> a la Administración Pública</w:t>
      </w:r>
      <w:r w:rsidR="00E259DD">
        <w:t xml:space="preserve"> a realizar el Registro y la Auditoría retributiva del personal laboral. </w:t>
      </w:r>
      <w:r>
        <w:t xml:space="preserve"> </w:t>
      </w:r>
    </w:p>
    <w:p w14:paraId="5DFC5671" w14:textId="06B3BA66" w:rsidR="001D4369" w:rsidRDefault="001D4369" w:rsidP="001D4369">
      <w:pPr>
        <w:pStyle w:val="Ttulo4"/>
      </w:pPr>
      <w:r>
        <w:t>Brecha salarial global entre mujeres y hombres</w:t>
      </w:r>
    </w:p>
    <w:p w14:paraId="68167041" w14:textId="678A10F6" w:rsidR="001D4369" w:rsidRDefault="00C167C1" w:rsidP="001D4369">
      <w:r>
        <w:t>La</w:t>
      </w:r>
      <w:r w:rsidR="001D4369">
        <w:t xml:space="preserve"> Herramienta oficial </w:t>
      </w:r>
      <w:r>
        <w:t>muestra</w:t>
      </w:r>
      <w:r w:rsidR="001D4369" w:rsidRPr="00FD428F">
        <w:rPr>
          <w:b/>
          <w:bCs/>
        </w:rPr>
        <w:t xml:space="preserve"> un resultado de brecha salarial de género del</w:t>
      </w:r>
      <w:r w:rsidR="001D4369">
        <w:t xml:space="preserve"> </w:t>
      </w:r>
      <w:r w:rsidR="001D4369" w:rsidRPr="00E80DD9">
        <w:rPr>
          <w:b/>
          <w:bCs/>
        </w:rPr>
        <w:t>1</w:t>
      </w:r>
      <w:r w:rsidR="001D4369">
        <w:rPr>
          <w:b/>
          <w:bCs/>
        </w:rPr>
        <w:t>5</w:t>
      </w:r>
      <w:r w:rsidR="001D4369" w:rsidRPr="00E80DD9">
        <w:rPr>
          <w:b/>
          <w:bCs/>
        </w:rPr>
        <w:t>%</w:t>
      </w:r>
      <w:r w:rsidR="001D4369">
        <w:rPr>
          <w:b/>
          <w:bCs/>
        </w:rPr>
        <w:t xml:space="preserve"> en la retribución total promediada y del 40% en la retribución total mediana. </w:t>
      </w:r>
    </w:p>
    <w:tbl>
      <w:tblPr>
        <w:tblStyle w:val="Tablaconcuadrcula"/>
        <w:tblW w:w="4938" w:type="pct"/>
        <w:tblInd w:w="108" w:type="dxa"/>
        <w:tblLook w:val="04A0" w:firstRow="1" w:lastRow="0" w:firstColumn="1" w:lastColumn="0" w:noHBand="0" w:noVBand="1"/>
      </w:tblPr>
      <w:tblGrid>
        <w:gridCol w:w="3402"/>
        <w:gridCol w:w="1843"/>
        <w:gridCol w:w="1843"/>
        <w:gridCol w:w="1524"/>
      </w:tblGrid>
      <w:tr w:rsidR="001D4369" w14:paraId="1263B21E" w14:textId="77777777" w:rsidTr="00C64B27">
        <w:trPr>
          <w:trHeight w:val="656"/>
        </w:trPr>
        <w:tc>
          <w:tcPr>
            <w:tcW w:w="5000" w:type="pct"/>
            <w:gridSpan w:val="4"/>
            <w:tcBorders>
              <w:top w:val="double" w:sz="4" w:space="0" w:color="auto"/>
              <w:left w:val="double" w:sz="4" w:space="0" w:color="auto"/>
              <w:right w:val="double" w:sz="4" w:space="0" w:color="auto"/>
            </w:tcBorders>
            <w:shd w:val="clear" w:color="auto" w:fill="78BE20"/>
            <w:vAlign w:val="center"/>
          </w:tcPr>
          <w:p w14:paraId="683D4A99" w14:textId="08531A8D" w:rsidR="00983982" w:rsidRPr="00983982" w:rsidRDefault="001D4369" w:rsidP="000F4CC1">
            <w:pPr>
              <w:widowControl w:val="0"/>
              <w:spacing w:before="0" w:after="0" w:line="240" w:lineRule="auto"/>
              <w:jc w:val="left"/>
              <w:rPr>
                <w:rFonts w:ascii="Helvetica" w:hAnsi="Helvetica" w:cs="Helvetica"/>
                <w:b/>
                <w:bCs/>
                <w:color w:val="FFFFFF" w:themeColor="background1"/>
                <w:szCs w:val="20"/>
              </w:rPr>
            </w:pPr>
            <w:r>
              <w:rPr>
                <w:rFonts w:ascii="Helvetica" w:hAnsi="Helvetica" w:cs="Helvetica"/>
                <w:b/>
                <w:bCs/>
                <w:color w:val="FFFFFF" w:themeColor="background1"/>
                <w:szCs w:val="20"/>
              </w:rPr>
              <w:t xml:space="preserve">Tabla </w:t>
            </w:r>
            <w:r w:rsidR="00A20210">
              <w:rPr>
                <w:rFonts w:ascii="Helvetica" w:hAnsi="Helvetica" w:cs="Helvetica"/>
                <w:b/>
                <w:bCs/>
                <w:color w:val="FFFFFF" w:themeColor="background1"/>
                <w:szCs w:val="20"/>
              </w:rPr>
              <w:t>13</w:t>
            </w:r>
            <w:r>
              <w:rPr>
                <w:rFonts w:ascii="Helvetica" w:hAnsi="Helvetica" w:cs="Helvetica"/>
                <w:b/>
                <w:bCs/>
                <w:color w:val="FFFFFF" w:themeColor="background1"/>
                <w:szCs w:val="20"/>
              </w:rPr>
              <w:t>. Promedio y brecha de género en las retribuciones efectivas del personal laboral por concepto retributivo</w:t>
            </w:r>
          </w:p>
        </w:tc>
      </w:tr>
      <w:tr w:rsidR="001D4369" w14:paraId="413DAAAC" w14:textId="77777777" w:rsidTr="00C64B27">
        <w:trPr>
          <w:trHeight w:val="425"/>
        </w:trPr>
        <w:tc>
          <w:tcPr>
            <w:tcW w:w="1975" w:type="pct"/>
            <w:vMerge w:val="restart"/>
            <w:tcBorders>
              <w:top w:val="double" w:sz="4" w:space="0" w:color="auto"/>
              <w:left w:val="double" w:sz="4" w:space="0" w:color="auto"/>
              <w:right w:val="double" w:sz="4" w:space="0" w:color="auto"/>
            </w:tcBorders>
            <w:vAlign w:val="center"/>
          </w:tcPr>
          <w:p w14:paraId="15B4D6E8" w14:textId="77777777" w:rsidR="001D4369" w:rsidRDefault="001D4369" w:rsidP="000F4CC1">
            <w:pPr>
              <w:spacing w:before="0" w:after="0" w:line="259" w:lineRule="auto"/>
              <w:jc w:val="right"/>
              <w:rPr>
                <w:rFonts w:eastAsiaTheme="majorEastAsia" w:cstheme="majorBidi"/>
                <w:b/>
                <w:bCs/>
                <w:snapToGrid w:val="0"/>
                <w:color w:val="78BE20"/>
                <w:szCs w:val="26"/>
              </w:rPr>
            </w:pPr>
            <w:r>
              <w:rPr>
                <w:rFonts w:eastAsiaTheme="majorEastAsia" w:cstheme="majorBidi"/>
                <w:b/>
                <w:bCs/>
                <w:snapToGrid w:val="0"/>
                <w:color w:val="78BE20"/>
                <w:szCs w:val="26"/>
              </w:rPr>
              <w:t>CONCEPTO</w:t>
            </w:r>
          </w:p>
        </w:tc>
        <w:tc>
          <w:tcPr>
            <w:tcW w:w="2140" w:type="pct"/>
            <w:gridSpan w:val="2"/>
            <w:tcBorders>
              <w:top w:val="double" w:sz="4" w:space="0" w:color="auto"/>
              <w:left w:val="double" w:sz="4" w:space="0" w:color="auto"/>
              <w:right w:val="double" w:sz="4" w:space="0" w:color="auto"/>
            </w:tcBorders>
            <w:vAlign w:val="center"/>
          </w:tcPr>
          <w:p w14:paraId="55A549FD" w14:textId="77777777" w:rsidR="001D4369" w:rsidRDefault="001D4369" w:rsidP="000F4CC1">
            <w:pPr>
              <w:widowControl w:val="0"/>
              <w:spacing w:before="0" w:after="0" w:line="240" w:lineRule="auto"/>
              <w:jc w:val="center"/>
              <w:rPr>
                <w:rFonts w:eastAsiaTheme="majorEastAsia" w:cstheme="majorBidi"/>
                <w:b/>
                <w:bCs/>
                <w:snapToGrid w:val="0"/>
                <w:color w:val="78BE20"/>
                <w:szCs w:val="26"/>
              </w:rPr>
            </w:pPr>
            <w:r>
              <w:rPr>
                <w:rFonts w:eastAsiaTheme="majorEastAsia" w:cstheme="majorBidi"/>
                <w:b/>
                <w:bCs/>
                <w:snapToGrid w:val="0"/>
                <w:color w:val="78BE20"/>
                <w:szCs w:val="26"/>
              </w:rPr>
              <w:t>PROMEDIO (€)</w:t>
            </w:r>
          </w:p>
        </w:tc>
        <w:tc>
          <w:tcPr>
            <w:tcW w:w="885" w:type="pct"/>
            <w:vMerge w:val="restart"/>
            <w:tcBorders>
              <w:top w:val="double" w:sz="4" w:space="0" w:color="auto"/>
              <w:left w:val="double" w:sz="4" w:space="0" w:color="auto"/>
              <w:right w:val="double" w:sz="4" w:space="0" w:color="auto"/>
            </w:tcBorders>
            <w:vAlign w:val="center"/>
          </w:tcPr>
          <w:p w14:paraId="4114423B" w14:textId="77777777" w:rsidR="001D4369" w:rsidRDefault="001D4369" w:rsidP="000F4CC1">
            <w:pPr>
              <w:widowControl w:val="0"/>
              <w:spacing w:before="0" w:after="0" w:line="240" w:lineRule="auto"/>
              <w:jc w:val="center"/>
              <w:rPr>
                <w:rFonts w:eastAsiaTheme="majorEastAsia" w:cstheme="majorBidi"/>
                <w:b/>
                <w:bCs/>
                <w:snapToGrid w:val="0"/>
                <w:color w:val="78BE20"/>
                <w:szCs w:val="26"/>
              </w:rPr>
            </w:pPr>
            <w:r>
              <w:rPr>
                <w:rFonts w:eastAsiaTheme="majorEastAsia" w:cstheme="majorBidi"/>
                <w:b/>
                <w:bCs/>
                <w:snapToGrid w:val="0"/>
                <w:color w:val="78BE20"/>
                <w:szCs w:val="26"/>
              </w:rPr>
              <w:t>BRECHA SALARIAL</w:t>
            </w:r>
          </w:p>
        </w:tc>
      </w:tr>
      <w:tr w:rsidR="001D4369" w14:paraId="67E33F72" w14:textId="77777777" w:rsidTr="00C64B27">
        <w:tc>
          <w:tcPr>
            <w:tcW w:w="1975" w:type="pct"/>
            <w:vMerge/>
            <w:tcBorders>
              <w:left w:val="double" w:sz="4" w:space="0" w:color="auto"/>
              <w:bottom w:val="double" w:sz="4" w:space="0" w:color="auto"/>
              <w:right w:val="double" w:sz="4" w:space="0" w:color="auto"/>
            </w:tcBorders>
            <w:vAlign w:val="center"/>
          </w:tcPr>
          <w:p w14:paraId="75C96F22" w14:textId="77777777" w:rsidR="001D4369" w:rsidRDefault="001D4369" w:rsidP="000F4CC1">
            <w:pPr>
              <w:spacing w:before="0" w:after="0" w:line="259" w:lineRule="auto"/>
              <w:jc w:val="right"/>
              <w:rPr>
                <w:rFonts w:eastAsiaTheme="majorEastAsia" w:cstheme="majorBidi"/>
                <w:b/>
                <w:bCs/>
                <w:snapToGrid w:val="0"/>
                <w:color w:val="78BE20"/>
                <w:szCs w:val="26"/>
              </w:rPr>
            </w:pPr>
          </w:p>
        </w:tc>
        <w:tc>
          <w:tcPr>
            <w:tcW w:w="1070" w:type="pct"/>
            <w:tcBorders>
              <w:left w:val="double" w:sz="4" w:space="0" w:color="auto"/>
              <w:bottom w:val="double" w:sz="4" w:space="0" w:color="auto"/>
            </w:tcBorders>
            <w:vAlign w:val="center"/>
          </w:tcPr>
          <w:p w14:paraId="4BB965B6" w14:textId="77777777" w:rsidR="001D4369" w:rsidRDefault="001D4369" w:rsidP="000F4CC1">
            <w:pPr>
              <w:spacing w:before="0" w:after="0" w:line="259" w:lineRule="auto"/>
              <w:jc w:val="center"/>
              <w:rPr>
                <w:rFonts w:eastAsiaTheme="majorEastAsia" w:cstheme="majorBidi"/>
                <w:b/>
                <w:bCs/>
                <w:snapToGrid w:val="0"/>
                <w:color w:val="78BE20"/>
                <w:szCs w:val="26"/>
              </w:rPr>
            </w:pPr>
            <w:r w:rsidRPr="00401FDD">
              <w:rPr>
                <w:b/>
                <w:bCs/>
                <w:sz w:val="20"/>
                <w:szCs w:val="18"/>
              </w:rPr>
              <w:t>MUJERES</w:t>
            </w:r>
          </w:p>
        </w:tc>
        <w:tc>
          <w:tcPr>
            <w:tcW w:w="1070" w:type="pct"/>
            <w:tcBorders>
              <w:bottom w:val="double" w:sz="4" w:space="0" w:color="auto"/>
              <w:right w:val="double" w:sz="4" w:space="0" w:color="auto"/>
            </w:tcBorders>
            <w:vAlign w:val="center"/>
          </w:tcPr>
          <w:p w14:paraId="227FC26C" w14:textId="77777777" w:rsidR="001D4369" w:rsidRPr="00A669F0" w:rsidRDefault="001D4369" w:rsidP="000F4CC1">
            <w:pPr>
              <w:spacing w:before="0" w:after="0" w:line="259" w:lineRule="auto"/>
              <w:jc w:val="center"/>
              <w:rPr>
                <w:sz w:val="20"/>
                <w:szCs w:val="18"/>
              </w:rPr>
            </w:pPr>
            <w:r w:rsidRPr="00A669F0">
              <w:rPr>
                <w:b/>
                <w:bCs/>
                <w:sz w:val="20"/>
                <w:szCs w:val="18"/>
              </w:rPr>
              <w:t>HOMBRES</w:t>
            </w:r>
          </w:p>
        </w:tc>
        <w:tc>
          <w:tcPr>
            <w:tcW w:w="885" w:type="pct"/>
            <w:vMerge/>
            <w:tcBorders>
              <w:left w:val="double" w:sz="4" w:space="0" w:color="auto"/>
              <w:bottom w:val="double" w:sz="4" w:space="0" w:color="auto"/>
              <w:right w:val="double" w:sz="4" w:space="0" w:color="auto"/>
            </w:tcBorders>
            <w:vAlign w:val="center"/>
          </w:tcPr>
          <w:p w14:paraId="1A5271C5" w14:textId="77777777" w:rsidR="001D4369" w:rsidRPr="00A669F0" w:rsidRDefault="001D4369" w:rsidP="000F4CC1">
            <w:pPr>
              <w:spacing w:before="0" w:after="0" w:line="259" w:lineRule="auto"/>
              <w:jc w:val="center"/>
              <w:rPr>
                <w:sz w:val="20"/>
                <w:szCs w:val="18"/>
              </w:rPr>
            </w:pPr>
          </w:p>
        </w:tc>
      </w:tr>
      <w:tr w:rsidR="001D4369" w14:paraId="7586E16B" w14:textId="77777777" w:rsidTr="00C64B27">
        <w:tc>
          <w:tcPr>
            <w:tcW w:w="1975" w:type="pct"/>
            <w:tcBorders>
              <w:top w:val="double" w:sz="4" w:space="0" w:color="auto"/>
              <w:left w:val="double" w:sz="4" w:space="0" w:color="auto"/>
              <w:bottom w:val="single" w:sz="4" w:space="0" w:color="000000"/>
              <w:right w:val="double" w:sz="4" w:space="0" w:color="auto"/>
            </w:tcBorders>
            <w:vAlign w:val="center"/>
          </w:tcPr>
          <w:p w14:paraId="1405F10D" w14:textId="77777777" w:rsidR="001D4369" w:rsidRPr="00124A76" w:rsidRDefault="001D4369" w:rsidP="000F4CC1">
            <w:pPr>
              <w:spacing w:before="0" w:after="0" w:line="259" w:lineRule="auto"/>
              <w:jc w:val="right"/>
              <w:rPr>
                <w:sz w:val="18"/>
                <w:szCs w:val="16"/>
              </w:rPr>
            </w:pPr>
            <w:r w:rsidRPr="00124A76">
              <w:rPr>
                <w:sz w:val="18"/>
                <w:szCs w:val="16"/>
              </w:rPr>
              <w:t>Salario Base</w:t>
            </w:r>
          </w:p>
        </w:tc>
        <w:tc>
          <w:tcPr>
            <w:tcW w:w="1070" w:type="pct"/>
            <w:tcBorders>
              <w:top w:val="double" w:sz="4" w:space="0" w:color="auto"/>
              <w:left w:val="double" w:sz="4" w:space="0" w:color="auto"/>
            </w:tcBorders>
            <w:vAlign w:val="center"/>
          </w:tcPr>
          <w:p w14:paraId="42FD4422" w14:textId="77777777" w:rsidR="001D4369" w:rsidRPr="00425BA2" w:rsidRDefault="001D4369" w:rsidP="000F4CC1">
            <w:pPr>
              <w:spacing w:before="0" w:after="0" w:line="259" w:lineRule="auto"/>
              <w:jc w:val="center"/>
              <w:rPr>
                <w:sz w:val="20"/>
                <w:szCs w:val="18"/>
              </w:rPr>
            </w:pPr>
            <w:r>
              <w:rPr>
                <w:sz w:val="20"/>
                <w:szCs w:val="18"/>
              </w:rPr>
              <w:t>4.708</w:t>
            </w:r>
          </w:p>
        </w:tc>
        <w:tc>
          <w:tcPr>
            <w:tcW w:w="1070" w:type="pct"/>
            <w:tcBorders>
              <w:top w:val="double" w:sz="4" w:space="0" w:color="auto"/>
              <w:right w:val="double" w:sz="4" w:space="0" w:color="auto"/>
            </w:tcBorders>
            <w:shd w:val="clear" w:color="auto" w:fill="auto"/>
            <w:vAlign w:val="center"/>
          </w:tcPr>
          <w:p w14:paraId="092B9FFA" w14:textId="77777777" w:rsidR="001D4369" w:rsidRPr="00B25800" w:rsidRDefault="001D4369" w:rsidP="000F4CC1">
            <w:pPr>
              <w:spacing w:before="0" w:after="0" w:line="259" w:lineRule="auto"/>
              <w:jc w:val="center"/>
              <w:rPr>
                <w:sz w:val="20"/>
                <w:szCs w:val="18"/>
              </w:rPr>
            </w:pPr>
            <w:r>
              <w:rPr>
                <w:sz w:val="20"/>
                <w:szCs w:val="18"/>
              </w:rPr>
              <w:t>5.160</w:t>
            </w:r>
          </w:p>
        </w:tc>
        <w:tc>
          <w:tcPr>
            <w:tcW w:w="885" w:type="pct"/>
            <w:tcBorders>
              <w:top w:val="double" w:sz="4" w:space="0" w:color="auto"/>
              <w:left w:val="double" w:sz="4" w:space="0" w:color="auto"/>
              <w:right w:val="double" w:sz="4" w:space="0" w:color="auto"/>
            </w:tcBorders>
            <w:vAlign w:val="center"/>
          </w:tcPr>
          <w:p w14:paraId="69A4E234" w14:textId="77777777" w:rsidR="001D4369" w:rsidRPr="00A669F0" w:rsidRDefault="001D4369" w:rsidP="000F4CC1">
            <w:pPr>
              <w:spacing w:before="0" w:after="0" w:line="259" w:lineRule="auto"/>
              <w:jc w:val="center"/>
              <w:rPr>
                <w:sz w:val="20"/>
                <w:szCs w:val="18"/>
              </w:rPr>
            </w:pPr>
            <w:r>
              <w:rPr>
                <w:sz w:val="20"/>
                <w:szCs w:val="18"/>
              </w:rPr>
              <w:t>9%</w:t>
            </w:r>
          </w:p>
        </w:tc>
      </w:tr>
      <w:tr w:rsidR="001D4369" w14:paraId="31852E03"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5282C1BA" w14:textId="77777777" w:rsidR="001D4369" w:rsidRPr="00124A76" w:rsidRDefault="001D4369" w:rsidP="000F4CC1">
            <w:pPr>
              <w:spacing w:before="0" w:after="0" w:line="259" w:lineRule="auto"/>
              <w:jc w:val="right"/>
              <w:rPr>
                <w:sz w:val="18"/>
                <w:szCs w:val="16"/>
              </w:rPr>
            </w:pPr>
            <w:r w:rsidRPr="00124A76">
              <w:rPr>
                <w:sz w:val="18"/>
                <w:szCs w:val="16"/>
              </w:rPr>
              <w:t>CS Paga Extraordinaria</w:t>
            </w:r>
          </w:p>
        </w:tc>
        <w:tc>
          <w:tcPr>
            <w:tcW w:w="1070" w:type="pct"/>
            <w:tcBorders>
              <w:left w:val="double" w:sz="4" w:space="0" w:color="auto"/>
              <w:bottom w:val="single" w:sz="4" w:space="0" w:color="000000"/>
            </w:tcBorders>
            <w:vAlign w:val="center"/>
          </w:tcPr>
          <w:p w14:paraId="7D4EE026" w14:textId="77777777" w:rsidR="001D4369" w:rsidRPr="00425BA2" w:rsidRDefault="001D4369" w:rsidP="000F4CC1">
            <w:pPr>
              <w:spacing w:before="0" w:after="0" w:line="259" w:lineRule="auto"/>
              <w:jc w:val="center"/>
              <w:rPr>
                <w:sz w:val="20"/>
                <w:szCs w:val="18"/>
              </w:rPr>
            </w:pPr>
            <w:r>
              <w:rPr>
                <w:sz w:val="20"/>
                <w:szCs w:val="18"/>
              </w:rPr>
              <w:t>1.767</w:t>
            </w:r>
          </w:p>
        </w:tc>
        <w:tc>
          <w:tcPr>
            <w:tcW w:w="1070" w:type="pct"/>
            <w:tcBorders>
              <w:right w:val="double" w:sz="4" w:space="0" w:color="auto"/>
            </w:tcBorders>
            <w:shd w:val="clear" w:color="auto" w:fill="auto"/>
            <w:vAlign w:val="center"/>
          </w:tcPr>
          <w:p w14:paraId="55F9FB01" w14:textId="77777777" w:rsidR="001D4369" w:rsidRPr="00B25800" w:rsidRDefault="001D4369" w:rsidP="000F4CC1">
            <w:pPr>
              <w:spacing w:before="0" w:after="0" w:line="259" w:lineRule="auto"/>
              <w:jc w:val="center"/>
              <w:rPr>
                <w:sz w:val="20"/>
                <w:szCs w:val="18"/>
              </w:rPr>
            </w:pPr>
            <w:r>
              <w:rPr>
                <w:sz w:val="20"/>
                <w:szCs w:val="18"/>
              </w:rPr>
              <w:t>2.069</w:t>
            </w:r>
          </w:p>
        </w:tc>
        <w:tc>
          <w:tcPr>
            <w:tcW w:w="885" w:type="pct"/>
            <w:tcBorders>
              <w:left w:val="double" w:sz="4" w:space="0" w:color="auto"/>
              <w:right w:val="double" w:sz="4" w:space="0" w:color="auto"/>
            </w:tcBorders>
            <w:vAlign w:val="center"/>
          </w:tcPr>
          <w:p w14:paraId="721F3019" w14:textId="77777777" w:rsidR="001D4369" w:rsidRPr="00A669F0" w:rsidRDefault="001D4369" w:rsidP="000F4CC1">
            <w:pPr>
              <w:spacing w:before="0" w:after="0" w:line="259" w:lineRule="auto"/>
              <w:jc w:val="center"/>
              <w:rPr>
                <w:sz w:val="20"/>
                <w:szCs w:val="18"/>
              </w:rPr>
            </w:pPr>
            <w:r>
              <w:rPr>
                <w:sz w:val="20"/>
                <w:szCs w:val="18"/>
              </w:rPr>
              <w:t>15%</w:t>
            </w:r>
          </w:p>
        </w:tc>
      </w:tr>
      <w:tr w:rsidR="001D4369" w14:paraId="6F7A74C9"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5D42F78A" w14:textId="77777777" w:rsidR="001D4369" w:rsidRPr="00124A76" w:rsidRDefault="001D4369" w:rsidP="000F4CC1">
            <w:pPr>
              <w:spacing w:before="0" w:after="0" w:line="259" w:lineRule="auto"/>
              <w:jc w:val="right"/>
              <w:rPr>
                <w:sz w:val="18"/>
                <w:szCs w:val="16"/>
              </w:rPr>
            </w:pPr>
            <w:r w:rsidRPr="00124A76">
              <w:rPr>
                <w:sz w:val="18"/>
                <w:szCs w:val="16"/>
              </w:rPr>
              <w:t xml:space="preserve"> CS Antigüedad</w:t>
            </w:r>
          </w:p>
        </w:tc>
        <w:tc>
          <w:tcPr>
            <w:tcW w:w="1070" w:type="pct"/>
            <w:tcBorders>
              <w:top w:val="single" w:sz="4" w:space="0" w:color="000000"/>
              <w:left w:val="double" w:sz="4" w:space="0" w:color="auto"/>
            </w:tcBorders>
            <w:vAlign w:val="center"/>
          </w:tcPr>
          <w:p w14:paraId="6D1F49CA" w14:textId="77777777" w:rsidR="001D4369" w:rsidRPr="00425BA2" w:rsidRDefault="001D4369" w:rsidP="000F4CC1">
            <w:pPr>
              <w:spacing w:before="0" w:after="0" w:line="259" w:lineRule="auto"/>
              <w:jc w:val="center"/>
              <w:rPr>
                <w:sz w:val="20"/>
                <w:szCs w:val="18"/>
              </w:rPr>
            </w:pPr>
            <w:r>
              <w:rPr>
                <w:sz w:val="20"/>
                <w:szCs w:val="18"/>
              </w:rPr>
              <w:t>959</w:t>
            </w:r>
          </w:p>
        </w:tc>
        <w:tc>
          <w:tcPr>
            <w:tcW w:w="1070" w:type="pct"/>
            <w:tcBorders>
              <w:right w:val="double" w:sz="4" w:space="0" w:color="auto"/>
            </w:tcBorders>
            <w:shd w:val="clear" w:color="auto" w:fill="auto"/>
            <w:vAlign w:val="center"/>
          </w:tcPr>
          <w:p w14:paraId="645EB05C" w14:textId="77777777" w:rsidR="001D4369" w:rsidRPr="00B25800" w:rsidRDefault="001D4369" w:rsidP="000F4CC1">
            <w:pPr>
              <w:spacing w:before="0" w:after="0" w:line="259" w:lineRule="auto"/>
              <w:jc w:val="center"/>
              <w:rPr>
                <w:sz w:val="20"/>
                <w:szCs w:val="18"/>
              </w:rPr>
            </w:pPr>
            <w:r>
              <w:rPr>
                <w:sz w:val="20"/>
                <w:szCs w:val="18"/>
              </w:rPr>
              <w:t>966</w:t>
            </w:r>
          </w:p>
        </w:tc>
        <w:tc>
          <w:tcPr>
            <w:tcW w:w="885" w:type="pct"/>
            <w:tcBorders>
              <w:left w:val="double" w:sz="4" w:space="0" w:color="auto"/>
              <w:right w:val="double" w:sz="4" w:space="0" w:color="auto"/>
            </w:tcBorders>
            <w:vAlign w:val="center"/>
          </w:tcPr>
          <w:p w14:paraId="1FA09B81" w14:textId="77777777" w:rsidR="001D4369" w:rsidRPr="00A669F0" w:rsidRDefault="001D4369" w:rsidP="000F4CC1">
            <w:pPr>
              <w:spacing w:before="0" w:after="0" w:line="259" w:lineRule="auto"/>
              <w:jc w:val="center"/>
              <w:rPr>
                <w:sz w:val="20"/>
                <w:szCs w:val="18"/>
              </w:rPr>
            </w:pPr>
            <w:r>
              <w:rPr>
                <w:sz w:val="20"/>
                <w:szCs w:val="18"/>
              </w:rPr>
              <w:t>1%</w:t>
            </w:r>
          </w:p>
        </w:tc>
      </w:tr>
      <w:tr w:rsidR="001D4369" w14:paraId="062DBAFC"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47DF2374" w14:textId="77777777" w:rsidR="001D4369" w:rsidRPr="00124A76" w:rsidRDefault="001D4369" w:rsidP="000F4CC1">
            <w:pPr>
              <w:spacing w:before="0" w:after="0" w:line="259" w:lineRule="auto"/>
              <w:jc w:val="right"/>
              <w:rPr>
                <w:sz w:val="18"/>
                <w:szCs w:val="16"/>
              </w:rPr>
            </w:pPr>
            <w:r w:rsidRPr="00124A76">
              <w:rPr>
                <w:sz w:val="18"/>
                <w:szCs w:val="16"/>
              </w:rPr>
              <w:t>CS Categoría</w:t>
            </w:r>
          </w:p>
        </w:tc>
        <w:tc>
          <w:tcPr>
            <w:tcW w:w="1070" w:type="pct"/>
            <w:tcBorders>
              <w:left w:val="double" w:sz="4" w:space="0" w:color="auto"/>
            </w:tcBorders>
            <w:vAlign w:val="center"/>
          </w:tcPr>
          <w:p w14:paraId="565FEA49" w14:textId="77777777" w:rsidR="001D4369" w:rsidRPr="00425BA2" w:rsidRDefault="001D4369" w:rsidP="000F4CC1">
            <w:pPr>
              <w:spacing w:before="0" w:after="0" w:line="259" w:lineRule="auto"/>
              <w:jc w:val="center"/>
              <w:rPr>
                <w:sz w:val="20"/>
                <w:szCs w:val="18"/>
              </w:rPr>
            </w:pPr>
            <w:r>
              <w:rPr>
                <w:sz w:val="20"/>
                <w:szCs w:val="18"/>
              </w:rPr>
              <w:t>3.160</w:t>
            </w:r>
          </w:p>
        </w:tc>
        <w:tc>
          <w:tcPr>
            <w:tcW w:w="1070" w:type="pct"/>
            <w:tcBorders>
              <w:right w:val="double" w:sz="4" w:space="0" w:color="auto"/>
            </w:tcBorders>
            <w:shd w:val="clear" w:color="auto" w:fill="auto"/>
            <w:vAlign w:val="center"/>
          </w:tcPr>
          <w:p w14:paraId="38ABE7DC" w14:textId="77777777" w:rsidR="001D4369" w:rsidRPr="00B25800" w:rsidRDefault="001D4369" w:rsidP="000F4CC1">
            <w:pPr>
              <w:spacing w:before="0" w:after="0" w:line="259" w:lineRule="auto"/>
              <w:jc w:val="center"/>
              <w:rPr>
                <w:sz w:val="20"/>
                <w:szCs w:val="18"/>
              </w:rPr>
            </w:pPr>
            <w:r>
              <w:rPr>
                <w:sz w:val="20"/>
                <w:szCs w:val="18"/>
              </w:rPr>
              <w:t>3.161</w:t>
            </w:r>
          </w:p>
        </w:tc>
        <w:tc>
          <w:tcPr>
            <w:tcW w:w="885" w:type="pct"/>
            <w:tcBorders>
              <w:left w:val="double" w:sz="4" w:space="0" w:color="auto"/>
              <w:right w:val="double" w:sz="4" w:space="0" w:color="auto"/>
            </w:tcBorders>
            <w:vAlign w:val="center"/>
          </w:tcPr>
          <w:p w14:paraId="35EAA7A2" w14:textId="77777777" w:rsidR="001D4369" w:rsidRPr="00A669F0" w:rsidRDefault="001D4369" w:rsidP="000F4CC1">
            <w:pPr>
              <w:spacing w:before="0" w:after="0" w:line="259" w:lineRule="auto"/>
              <w:jc w:val="center"/>
              <w:rPr>
                <w:sz w:val="20"/>
                <w:szCs w:val="18"/>
              </w:rPr>
            </w:pPr>
            <w:r>
              <w:rPr>
                <w:sz w:val="20"/>
                <w:szCs w:val="18"/>
              </w:rPr>
              <w:t>0%</w:t>
            </w:r>
          </w:p>
        </w:tc>
      </w:tr>
      <w:tr w:rsidR="001D4369" w14:paraId="09913BBC"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236B13D0" w14:textId="77777777" w:rsidR="001D4369" w:rsidRPr="00124A76" w:rsidRDefault="001D4369" w:rsidP="000F4CC1">
            <w:pPr>
              <w:spacing w:before="0" w:after="0" w:line="259" w:lineRule="auto"/>
              <w:jc w:val="right"/>
              <w:rPr>
                <w:sz w:val="18"/>
                <w:szCs w:val="16"/>
              </w:rPr>
            </w:pPr>
            <w:r w:rsidRPr="00124A76">
              <w:rPr>
                <w:sz w:val="18"/>
                <w:szCs w:val="16"/>
              </w:rPr>
              <w:t>CS Puesto</w:t>
            </w:r>
          </w:p>
        </w:tc>
        <w:tc>
          <w:tcPr>
            <w:tcW w:w="1070" w:type="pct"/>
            <w:tcBorders>
              <w:left w:val="double" w:sz="4" w:space="0" w:color="auto"/>
            </w:tcBorders>
            <w:vAlign w:val="center"/>
          </w:tcPr>
          <w:p w14:paraId="5DE3EA3A" w14:textId="77777777" w:rsidR="001D4369" w:rsidRPr="00425BA2" w:rsidRDefault="001D4369" w:rsidP="000F4CC1">
            <w:pPr>
              <w:spacing w:before="0" w:after="0" w:line="259" w:lineRule="auto"/>
              <w:jc w:val="center"/>
              <w:rPr>
                <w:sz w:val="20"/>
                <w:szCs w:val="18"/>
              </w:rPr>
            </w:pPr>
            <w:r>
              <w:rPr>
                <w:sz w:val="20"/>
                <w:szCs w:val="18"/>
              </w:rPr>
              <w:t>2.806</w:t>
            </w:r>
          </w:p>
        </w:tc>
        <w:tc>
          <w:tcPr>
            <w:tcW w:w="1070" w:type="pct"/>
            <w:tcBorders>
              <w:right w:val="double" w:sz="4" w:space="0" w:color="auto"/>
            </w:tcBorders>
            <w:shd w:val="clear" w:color="auto" w:fill="auto"/>
            <w:vAlign w:val="center"/>
          </w:tcPr>
          <w:p w14:paraId="0B9DA0D8" w14:textId="77777777" w:rsidR="001D4369" w:rsidRPr="00B25800" w:rsidRDefault="001D4369" w:rsidP="000F4CC1">
            <w:pPr>
              <w:spacing w:before="0" w:after="0" w:line="259" w:lineRule="auto"/>
              <w:jc w:val="center"/>
              <w:rPr>
                <w:sz w:val="20"/>
                <w:szCs w:val="18"/>
              </w:rPr>
            </w:pPr>
            <w:r>
              <w:rPr>
                <w:sz w:val="20"/>
                <w:szCs w:val="18"/>
              </w:rPr>
              <w:t>2.887</w:t>
            </w:r>
          </w:p>
        </w:tc>
        <w:tc>
          <w:tcPr>
            <w:tcW w:w="885" w:type="pct"/>
            <w:tcBorders>
              <w:left w:val="double" w:sz="4" w:space="0" w:color="auto"/>
              <w:right w:val="double" w:sz="4" w:space="0" w:color="auto"/>
            </w:tcBorders>
            <w:vAlign w:val="center"/>
          </w:tcPr>
          <w:p w14:paraId="393035EB" w14:textId="77777777" w:rsidR="001D4369" w:rsidRPr="00A669F0" w:rsidRDefault="001D4369" w:rsidP="000F4CC1">
            <w:pPr>
              <w:spacing w:before="0" w:after="0" w:line="259" w:lineRule="auto"/>
              <w:jc w:val="center"/>
              <w:rPr>
                <w:sz w:val="20"/>
                <w:szCs w:val="18"/>
              </w:rPr>
            </w:pPr>
            <w:r>
              <w:rPr>
                <w:sz w:val="20"/>
                <w:szCs w:val="18"/>
              </w:rPr>
              <w:t>28%</w:t>
            </w:r>
          </w:p>
        </w:tc>
      </w:tr>
      <w:tr w:rsidR="001D4369" w14:paraId="30225124"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23AD5A17" w14:textId="77777777" w:rsidR="001D4369" w:rsidRPr="00124A76" w:rsidRDefault="001D4369" w:rsidP="000F4CC1">
            <w:pPr>
              <w:spacing w:before="0" w:after="0" w:line="259" w:lineRule="auto"/>
              <w:jc w:val="right"/>
              <w:rPr>
                <w:sz w:val="18"/>
                <w:szCs w:val="16"/>
              </w:rPr>
            </w:pPr>
            <w:r w:rsidRPr="00124A76">
              <w:rPr>
                <w:sz w:val="18"/>
                <w:szCs w:val="16"/>
              </w:rPr>
              <w:t>CS Grado Productividad</w:t>
            </w:r>
          </w:p>
        </w:tc>
        <w:tc>
          <w:tcPr>
            <w:tcW w:w="1070" w:type="pct"/>
            <w:tcBorders>
              <w:left w:val="double" w:sz="4" w:space="0" w:color="auto"/>
            </w:tcBorders>
            <w:vAlign w:val="center"/>
          </w:tcPr>
          <w:p w14:paraId="4C65E013" w14:textId="77777777" w:rsidR="001D4369" w:rsidRPr="00425BA2" w:rsidRDefault="001D4369" w:rsidP="000F4CC1">
            <w:pPr>
              <w:spacing w:before="0" w:after="0" w:line="259" w:lineRule="auto"/>
              <w:jc w:val="center"/>
              <w:rPr>
                <w:sz w:val="20"/>
                <w:szCs w:val="18"/>
              </w:rPr>
            </w:pPr>
            <w:r>
              <w:rPr>
                <w:sz w:val="20"/>
                <w:szCs w:val="18"/>
              </w:rPr>
              <w:t>166</w:t>
            </w:r>
          </w:p>
        </w:tc>
        <w:tc>
          <w:tcPr>
            <w:tcW w:w="1070" w:type="pct"/>
            <w:tcBorders>
              <w:right w:val="double" w:sz="4" w:space="0" w:color="auto"/>
            </w:tcBorders>
            <w:shd w:val="clear" w:color="auto" w:fill="auto"/>
            <w:vAlign w:val="center"/>
          </w:tcPr>
          <w:p w14:paraId="7B5209D2" w14:textId="77777777" w:rsidR="001D4369" w:rsidRPr="00B25800" w:rsidRDefault="001D4369" w:rsidP="000F4CC1">
            <w:pPr>
              <w:spacing w:before="0" w:after="0" w:line="259" w:lineRule="auto"/>
              <w:jc w:val="center"/>
              <w:rPr>
                <w:sz w:val="20"/>
                <w:szCs w:val="18"/>
              </w:rPr>
            </w:pPr>
            <w:r>
              <w:rPr>
                <w:sz w:val="20"/>
                <w:szCs w:val="18"/>
              </w:rPr>
              <w:t>198</w:t>
            </w:r>
          </w:p>
        </w:tc>
        <w:tc>
          <w:tcPr>
            <w:tcW w:w="885" w:type="pct"/>
            <w:tcBorders>
              <w:left w:val="double" w:sz="4" w:space="0" w:color="auto"/>
              <w:right w:val="double" w:sz="4" w:space="0" w:color="auto"/>
            </w:tcBorders>
            <w:vAlign w:val="center"/>
          </w:tcPr>
          <w:p w14:paraId="154FC417" w14:textId="77777777" w:rsidR="001D4369" w:rsidRPr="00A669F0" w:rsidRDefault="001D4369" w:rsidP="000F4CC1">
            <w:pPr>
              <w:spacing w:before="0" w:after="0" w:line="259" w:lineRule="auto"/>
              <w:jc w:val="center"/>
              <w:rPr>
                <w:sz w:val="20"/>
                <w:szCs w:val="18"/>
              </w:rPr>
            </w:pPr>
            <w:r>
              <w:rPr>
                <w:sz w:val="20"/>
                <w:szCs w:val="18"/>
              </w:rPr>
              <w:t>16%</w:t>
            </w:r>
          </w:p>
        </w:tc>
      </w:tr>
      <w:tr w:rsidR="001D4369" w14:paraId="7C913A0C"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2F8FA10E" w14:textId="77777777" w:rsidR="001D4369" w:rsidRPr="00124A76" w:rsidRDefault="001D4369" w:rsidP="000F4CC1">
            <w:pPr>
              <w:spacing w:before="0" w:after="0" w:line="259" w:lineRule="auto"/>
              <w:jc w:val="right"/>
              <w:rPr>
                <w:sz w:val="18"/>
                <w:szCs w:val="16"/>
              </w:rPr>
            </w:pPr>
            <w:r w:rsidRPr="00124A76">
              <w:rPr>
                <w:sz w:val="18"/>
                <w:szCs w:val="16"/>
              </w:rPr>
              <w:t>CPT absorbible</w:t>
            </w:r>
          </w:p>
        </w:tc>
        <w:tc>
          <w:tcPr>
            <w:tcW w:w="1070" w:type="pct"/>
            <w:tcBorders>
              <w:left w:val="double" w:sz="4" w:space="0" w:color="auto"/>
            </w:tcBorders>
            <w:vAlign w:val="center"/>
          </w:tcPr>
          <w:p w14:paraId="34225ACC" w14:textId="77777777" w:rsidR="001D4369" w:rsidRPr="00425BA2" w:rsidRDefault="001D4369" w:rsidP="000F4CC1">
            <w:pPr>
              <w:spacing w:before="0" w:after="0" w:line="259" w:lineRule="auto"/>
              <w:jc w:val="center"/>
              <w:rPr>
                <w:sz w:val="20"/>
                <w:szCs w:val="18"/>
              </w:rPr>
            </w:pPr>
            <w:r>
              <w:rPr>
                <w:sz w:val="20"/>
                <w:szCs w:val="18"/>
              </w:rPr>
              <w:t>61</w:t>
            </w:r>
          </w:p>
        </w:tc>
        <w:tc>
          <w:tcPr>
            <w:tcW w:w="1070" w:type="pct"/>
            <w:tcBorders>
              <w:right w:val="double" w:sz="4" w:space="0" w:color="auto"/>
            </w:tcBorders>
            <w:shd w:val="clear" w:color="auto" w:fill="auto"/>
            <w:vAlign w:val="center"/>
          </w:tcPr>
          <w:p w14:paraId="25020D3E" w14:textId="77777777" w:rsidR="001D4369" w:rsidRPr="00B25800" w:rsidRDefault="001D4369" w:rsidP="000F4CC1">
            <w:pPr>
              <w:spacing w:before="0" w:after="0" w:line="259" w:lineRule="auto"/>
              <w:jc w:val="center"/>
              <w:rPr>
                <w:sz w:val="20"/>
                <w:szCs w:val="18"/>
              </w:rPr>
            </w:pPr>
            <w:r>
              <w:rPr>
                <w:sz w:val="20"/>
                <w:szCs w:val="18"/>
              </w:rPr>
              <w:t>37</w:t>
            </w:r>
          </w:p>
        </w:tc>
        <w:tc>
          <w:tcPr>
            <w:tcW w:w="885" w:type="pct"/>
            <w:tcBorders>
              <w:left w:val="double" w:sz="4" w:space="0" w:color="auto"/>
              <w:right w:val="double" w:sz="4" w:space="0" w:color="auto"/>
            </w:tcBorders>
            <w:vAlign w:val="center"/>
          </w:tcPr>
          <w:p w14:paraId="5AC2C1CA" w14:textId="77777777" w:rsidR="001D4369" w:rsidRPr="00A669F0" w:rsidRDefault="001D4369" w:rsidP="000F4CC1">
            <w:pPr>
              <w:spacing w:before="0" w:after="0" w:line="259" w:lineRule="auto"/>
              <w:jc w:val="center"/>
              <w:rPr>
                <w:sz w:val="20"/>
                <w:szCs w:val="18"/>
              </w:rPr>
            </w:pPr>
            <w:r>
              <w:rPr>
                <w:sz w:val="20"/>
                <w:szCs w:val="18"/>
              </w:rPr>
              <w:t>-65%</w:t>
            </w:r>
          </w:p>
        </w:tc>
      </w:tr>
      <w:tr w:rsidR="001D4369" w14:paraId="0F7F4DB2"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6A6CCC21" w14:textId="77777777" w:rsidR="001D4369" w:rsidRPr="00124A76" w:rsidRDefault="001D4369" w:rsidP="000F4CC1">
            <w:pPr>
              <w:spacing w:before="0" w:after="0" w:line="259" w:lineRule="auto"/>
              <w:jc w:val="right"/>
              <w:rPr>
                <w:sz w:val="18"/>
                <w:szCs w:val="16"/>
              </w:rPr>
            </w:pPr>
            <w:r w:rsidRPr="00124A76">
              <w:rPr>
                <w:sz w:val="18"/>
                <w:szCs w:val="16"/>
              </w:rPr>
              <w:t>CS Extinción incendios</w:t>
            </w:r>
          </w:p>
        </w:tc>
        <w:tc>
          <w:tcPr>
            <w:tcW w:w="1070" w:type="pct"/>
            <w:tcBorders>
              <w:left w:val="double" w:sz="4" w:space="0" w:color="auto"/>
            </w:tcBorders>
            <w:vAlign w:val="center"/>
          </w:tcPr>
          <w:p w14:paraId="6ADFEBDF" w14:textId="77777777" w:rsidR="001D4369" w:rsidRPr="00425BA2" w:rsidRDefault="001D4369" w:rsidP="000F4CC1">
            <w:pPr>
              <w:spacing w:before="0" w:after="0" w:line="259" w:lineRule="auto"/>
              <w:jc w:val="center"/>
              <w:rPr>
                <w:sz w:val="20"/>
                <w:szCs w:val="18"/>
              </w:rPr>
            </w:pPr>
            <w:r>
              <w:rPr>
                <w:sz w:val="20"/>
                <w:szCs w:val="18"/>
              </w:rPr>
              <w:t>1</w:t>
            </w:r>
          </w:p>
        </w:tc>
        <w:tc>
          <w:tcPr>
            <w:tcW w:w="1070" w:type="pct"/>
            <w:tcBorders>
              <w:right w:val="double" w:sz="4" w:space="0" w:color="auto"/>
            </w:tcBorders>
            <w:shd w:val="clear" w:color="auto" w:fill="auto"/>
            <w:vAlign w:val="center"/>
          </w:tcPr>
          <w:p w14:paraId="2B68BAB5" w14:textId="77777777" w:rsidR="001D4369" w:rsidRPr="00B25800" w:rsidRDefault="001D4369" w:rsidP="000F4CC1">
            <w:pPr>
              <w:spacing w:before="0" w:after="0" w:line="259" w:lineRule="auto"/>
              <w:jc w:val="center"/>
              <w:rPr>
                <w:sz w:val="20"/>
                <w:szCs w:val="18"/>
              </w:rPr>
            </w:pPr>
            <w:r>
              <w:rPr>
                <w:sz w:val="20"/>
                <w:szCs w:val="18"/>
              </w:rPr>
              <w:t>61</w:t>
            </w:r>
          </w:p>
        </w:tc>
        <w:tc>
          <w:tcPr>
            <w:tcW w:w="885" w:type="pct"/>
            <w:tcBorders>
              <w:left w:val="double" w:sz="4" w:space="0" w:color="auto"/>
              <w:right w:val="double" w:sz="4" w:space="0" w:color="auto"/>
            </w:tcBorders>
            <w:vAlign w:val="center"/>
          </w:tcPr>
          <w:p w14:paraId="6BCF6C6C" w14:textId="77777777" w:rsidR="001D4369" w:rsidRPr="00A669F0" w:rsidRDefault="001D4369" w:rsidP="000F4CC1">
            <w:pPr>
              <w:spacing w:before="0" w:after="0" w:line="259" w:lineRule="auto"/>
              <w:jc w:val="center"/>
              <w:rPr>
                <w:sz w:val="20"/>
                <w:szCs w:val="18"/>
              </w:rPr>
            </w:pPr>
            <w:r>
              <w:rPr>
                <w:sz w:val="20"/>
                <w:szCs w:val="18"/>
              </w:rPr>
              <w:t>99%</w:t>
            </w:r>
          </w:p>
        </w:tc>
      </w:tr>
      <w:tr w:rsidR="001D4369" w14:paraId="06049894"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21D44CDB" w14:textId="77777777" w:rsidR="001D4369" w:rsidRPr="00124A76" w:rsidRDefault="001D4369" w:rsidP="000F4CC1">
            <w:pPr>
              <w:spacing w:before="0" w:after="0" w:line="259" w:lineRule="auto"/>
              <w:jc w:val="right"/>
              <w:rPr>
                <w:sz w:val="18"/>
                <w:szCs w:val="16"/>
              </w:rPr>
            </w:pPr>
            <w:r w:rsidRPr="00124A76">
              <w:rPr>
                <w:sz w:val="18"/>
                <w:szCs w:val="16"/>
              </w:rPr>
              <w:t>CS Cocinas</w:t>
            </w:r>
          </w:p>
        </w:tc>
        <w:tc>
          <w:tcPr>
            <w:tcW w:w="1070" w:type="pct"/>
            <w:tcBorders>
              <w:left w:val="double" w:sz="4" w:space="0" w:color="auto"/>
            </w:tcBorders>
            <w:vAlign w:val="center"/>
          </w:tcPr>
          <w:p w14:paraId="689520F5" w14:textId="77777777" w:rsidR="001D4369" w:rsidRPr="00425BA2" w:rsidRDefault="001D4369" w:rsidP="000F4CC1">
            <w:pPr>
              <w:spacing w:before="0" w:after="0" w:line="259" w:lineRule="auto"/>
              <w:jc w:val="center"/>
              <w:rPr>
                <w:sz w:val="20"/>
                <w:szCs w:val="18"/>
              </w:rPr>
            </w:pPr>
            <w:r>
              <w:rPr>
                <w:sz w:val="20"/>
                <w:szCs w:val="18"/>
              </w:rPr>
              <w:t>4</w:t>
            </w:r>
          </w:p>
        </w:tc>
        <w:tc>
          <w:tcPr>
            <w:tcW w:w="1070" w:type="pct"/>
            <w:tcBorders>
              <w:right w:val="double" w:sz="4" w:space="0" w:color="auto"/>
            </w:tcBorders>
            <w:shd w:val="clear" w:color="auto" w:fill="auto"/>
            <w:vAlign w:val="center"/>
          </w:tcPr>
          <w:p w14:paraId="3C1E4812" w14:textId="77777777" w:rsidR="001D4369" w:rsidRPr="00B25800" w:rsidRDefault="001D4369" w:rsidP="000F4CC1">
            <w:pPr>
              <w:spacing w:before="0" w:after="0" w:line="259" w:lineRule="auto"/>
              <w:jc w:val="center"/>
              <w:rPr>
                <w:sz w:val="20"/>
                <w:szCs w:val="18"/>
              </w:rPr>
            </w:pPr>
            <w:r>
              <w:rPr>
                <w:sz w:val="20"/>
                <w:szCs w:val="18"/>
              </w:rPr>
              <w:t>1</w:t>
            </w:r>
          </w:p>
        </w:tc>
        <w:tc>
          <w:tcPr>
            <w:tcW w:w="885" w:type="pct"/>
            <w:tcBorders>
              <w:left w:val="double" w:sz="4" w:space="0" w:color="auto"/>
              <w:right w:val="double" w:sz="4" w:space="0" w:color="auto"/>
            </w:tcBorders>
            <w:vAlign w:val="center"/>
          </w:tcPr>
          <w:p w14:paraId="70BFB80C" w14:textId="77777777" w:rsidR="001D4369" w:rsidRPr="00A669F0" w:rsidRDefault="001D4369" w:rsidP="000F4CC1">
            <w:pPr>
              <w:spacing w:before="0" w:after="0" w:line="259" w:lineRule="auto"/>
              <w:jc w:val="center"/>
              <w:rPr>
                <w:sz w:val="20"/>
                <w:szCs w:val="18"/>
              </w:rPr>
            </w:pPr>
            <w:r>
              <w:rPr>
                <w:sz w:val="20"/>
                <w:szCs w:val="18"/>
              </w:rPr>
              <w:t>-189%</w:t>
            </w:r>
          </w:p>
        </w:tc>
      </w:tr>
      <w:tr w:rsidR="001D4369" w14:paraId="65A5E86F"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795E0EC0" w14:textId="77777777" w:rsidR="001D4369" w:rsidRPr="00124A76" w:rsidRDefault="001D4369" w:rsidP="000F4CC1">
            <w:pPr>
              <w:spacing w:before="0" w:after="0" w:line="259" w:lineRule="auto"/>
              <w:jc w:val="right"/>
              <w:rPr>
                <w:sz w:val="18"/>
                <w:szCs w:val="16"/>
              </w:rPr>
            </w:pPr>
            <w:r w:rsidRPr="00124A76">
              <w:rPr>
                <w:sz w:val="18"/>
                <w:szCs w:val="16"/>
              </w:rPr>
              <w:t>CS Reservas</w:t>
            </w:r>
          </w:p>
        </w:tc>
        <w:tc>
          <w:tcPr>
            <w:tcW w:w="1070" w:type="pct"/>
            <w:tcBorders>
              <w:left w:val="double" w:sz="4" w:space="0" w:color="auto"/>
            </w:tcBorders>
            <w:vAlign w:val="center"/>
          </w:tcPr>
          <w:p w14:paraId="2868C34D" w14:textId="77777777" w:rsidR="001D4369" w:rsidRPr="00425BA2" w:rsidRDefault="001D4369" w:rsidP="000F4CC1">
            <w:pPr>
              <w:spacing w:before="0" w:after="0" w:line="259" w:lineRule="auto"/>
              <w:jc w:val="center"/>
              <w:rPr>
                <w:sz w:val="20"/>
                <w:szCs w:val="18"/>
              </w:rPr>
            </w:pPr>
            <w:r>
              <w:rPr>
                <w:sz w:val="20"/>
                <w:szCs w:val="18"/>
              </w:rPr>
              <w:t>2</w:t>
            </w:r>
          </w:p>
        </w:tc>
        <w:tc>
          <w:tcPr>
            <w:tcW w:w="1070" w:type="pct"/>
            <w:tcBorders>
              <w:right w:val="double" w:sz="4" w:space="0" w:color="auto"/>
            </w:tcBorders>
            <w:shd w:val="clear" w:color="auto" w:fill="auto"/>
            <w:vAlign w:val="center"/>
          </w:tcPr>
          <w:p w14:paraId="56193C02" w14:textId="77777777" w:rsidR="001D4369" w:rsidRPr="00B25800" w:rsidRDefault="001D4369" w:rsidP="000F4CC1">
            <w:pPr>
              <w:spacing w:before="0" w:after="0" w:line="259" w:lineRule="auto"/>
              <w:jc w:val="center"/>
              <w:rPr>
                <w:sz w:val="20"/>
                <w:szCs w:val="18"/>
              </w:rPr>
            </w:pPr>
            <w:r>
              <w:rPr>
                <w:sz w:val="20"/>
                <w:szCs w:val="18"/>
              </w:rPr>
              <w:t>244</w:t>
            </w:r>
          </w:p>
        </w:tc>
        <w:tc>
          <w:tcPr>
            <w:tcW w:w="885" w:type="pct"/>
            <w:tcBorders>
              <w:left w:val="double" w:sz="4" w:space="0" w:color="auto"/>
              <w:right w:val="double" w:sz="4" w:space="0" w:color="auto"/>
            </w:tcBorders>
            <w:vAlign w:val="center"/>
          </w:tcPr>
          <w:p w14:paraId="21200D2B" w14:textId="77777777" w:rsidR="001D4369" w:rsidRPr="00A669F0" w:rsidRDefault="001D4369" w:rsidP="000F4CC1">
            <w:pPr>
              <w:spacing w:before="0" w:after="0" w:line="259" w:lineRule="auto"/>
              <w:jc w:val="center"/>
              <w:rPr>
                <w:sz w:val="20"/>
                <w:szCs w:val="18"/>
              </w:rPr>
            </w:pPr>
            <w:r>
              <w:rPr>
                <w:sz w:val="20"/>
                <w:szCs w:val="18"/>
              </w:rPr>
              <w:t>99%</w:t>
            </w:r>
          </w:p>
        </w:tc>
      </w:tr>
      <w:tr w:rsidR="001D4369" w14:paraId="1C22FF3E"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28D2E4E9" w14:textId="77777777" w:rsidR="001D4369" w:rsidRPr="00124A76" w:rsidRDefault="001D4369" w:rsidP="000F4CC1">
            <w:pPr>
              <w:spacing w:before="0" w:after="0" w:line="259" w:lineRule="auto"/>
              <w:jc w:val="right"/>
              <w:rPr>
                <w:sz w:val="18"/>
                <w:szCs w:val="16"/>
              </w:rPr>
            </w:pPr>
            <w:r w:rsidRPr="00124A76">
              <w:rPr>
                <w:sz w:val="18"/>
                <w:szCs w:val="16"/>
              </w:rPr>
              <w:t>CS Alerta invernal</w:t>
            </w:r>
          </w:p>
        </w:tc>
        <w:tc>
          <w:tcPr>
            <w:tcW w:w="1070" w:type="pct"/>
            <w:tcBorders>
              <w:left w:val="double" w:sz="4" w:space="0" w:color="auto"/>
            </w:tcBorders>
            <w:vAlign w:val="center"/>
          </w:tcPr>
          <w:p w14:paraId="3DA4786A" w14:textId="77777777" w:rsidR="001D4369" w:rsidRPr="00425BA2" w:rsidRDefault="001D4369" w:rsidP="000F4CC1">
            <w:pPr>
              <w:spacing w:before="0" w:after="0" w:line="259" w:lineRule="auto"/>
              <w:jc w:val="center"/>
              <w:rPr>
                <w:sz w:val="20"/>
                <w:szCs w:val="18"/>
              </w:rPr>
            </w:pPr>
            <w:r>
              <w:rPr>
                <w:sz w:val="20"/>
                <w:szCs w:val="18"/>
              </w:rPr>
              <w:t>0</w:t>
            </w:r>
          </w:p>
        </w:tc>
        <w:tc>
          <w:tcPr>
            <w:tcW w:w="1070" w:type="pct"/>
            <w:tcBorders>
              <w:right w:val="double" w:sz="4" w:space="0" w:color="auto"/>
            </w:tcBorders>
            <w:shd w:val="clear" w:color="auto" w:fill="auto"/>
            <w:vAlign w:val="center"/>
          </w:tcPr>
          <w:p w14:paraId="69AC5611" w14:textId="77777777" w:rsidR="001D4369" w:rsidRPr="00B25800" w:rsidRDefault="001D4369" w:rsidP="000F4CC1">
            <w:pPr>
              <w:spacing w:before="0" w:after="0" w:line="259" w:lineRule="auto"/>
              <w:jc w:val="center"/>
              <w:rPr>
                <w:sz w:val="20"/>
                <w:szCs w:val="18"/>
              </w:rPr>
            </w:pPr>
            <w:r>
              <w:rPr>
                <w:sz w:val="20"/>
                <w:szCs w:val="18"/>
              </w:rPr>
              <w:t>39</w:t>
            </w:r>
          </w:p>
        </w:tc>
        <w:tc>
          <w:tcPr>
            <w:tcW w:w="885" w:type="pct"/>
            <w:tcBorders>
              <w:left w:val="double" w:sz="4" w:space="0" w:color="auto"/>
              <w:right w:val="double" w:sz="4" w:space="0" w:color="auto"/>
            </w:tcBorders>
            <w:vAlign w:val="center"/>
          </w:tcPr>
          <w:p w14:paraId="136EC908" w14:textId="77777777" w:rsidR="001D4369" w:rsidRPr="00A669F0" w:rsidRDefault="001D4369" w:rsidP="000F4CC1">
            <w:pPr>
              <w:spacing w:before="0" w:after="0" w:line="259" w:lineRule="auto"/>
              <w:jc w:val="center"/>
              <w:rPr>
                <w:sz w:val="20"/>
                <w:szCs w:val="18"/>
              </w:rPr>
            </w:pPr>
            <w:r>
              <w:rPr>
                <w:sz w:val="20"/>
                <w:szCs w:val="18"/>
              </w:rPr>
              <w:t>100%</w:t>
            </w:r>
          </w:p>
        </w:tc>
      </w:tr>
      <w:tr w:rsidR="001D4369" w14:paraId="5F0318F0"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05A69E02" w14:textId="77777777" w:rsidR="001D4369" w:rsidRPr="00124A76" w:rsidRDefault="001D4369" w:rsidP="000F4CC1">
            <w:pPr>
              <w:spacing w:before="0" w:after="0" w:line="259" w:lineRule="auto"/>
              <w:jc w:val="right"/>
              <w:rPr>
                <w:sz w:val="18"/>
                <w:szCs w:val="16"/>
              </w:rPr>
            </w:pPr>
            <w:r w:rsidRPr="00124A76">
              <w:rPr>
                <w:sz w:val="18"/>
                <w:szCs w:val="16"/>
              </w:rPr>
              <w:t>CS Guardias</w:t>
            </w:r>
          </w:p>
        </w:tc>
        <w:tc>
          <w:tcPr>
            <w:tcW w:w="1070" w:type="pct"/>
            <w:tcBorders>
              <w:left w:val="double" w:sz="4" w:space="0" w:color="auto"/>
            </w:tcBorders>
            <w:vAlign w:val="center"/>
          </w:tcPr>
          <w:p w14:paraId="640853D8" w14:textId="77777777" w:rsidR="001D4369" w:rsidRPr="00425BA2" w:rsidRDefault="001D4369" w:rsidP="000F4CC1">
            <w:pPr>
              <w:spacing w:before="0" w:after="0" w:line="259" w:lineRule="auto"/>
              <w:jc w:val="center"/>
              <w:rPr>
                <w:sz w:val="20"/>
                <w:szCs w:val="18"/>
              </w:rPr>
            </w:pPr>
            <w:r>
              <w:rPr>
                <w:sz w:val="20"/>
                <w:szCs w:val="18"/>
              </w:rPr>
              <w:t>0</w:t>
            </w:r>
          </w:p>
        </w:tc>
        <w:tc>
          <w:tcPr>
            <w:tcW w:w="1070" w:type="pct"/>
            <w:tcBorders>
              <w:right w:val="double" w:sz="4" w:space="0" w:color="auto"/>
            </w:tcBorders>
            <w:shd w:val="clear" w:color="auto" w:fill="auto"/>
            <w:vAlign w:val="center"/>
          </w:tcPr>
          <w:p w14:paraId="2E856A40" w14:textId="77777777" w:rsidR="001D4369" w:rsidRPr="00B25800" w:rsidRDefault="001D4369" w:rsidP="000F4CC1">
            <w:pPr>
              <w:spacing w:before="0" w:after="0" w:line="259" w:lineRule="auto"/>
              <w:jc w:val="center"/>
              <w:rPr>
                <w:sz w:val="20"/>
                <w:szCs w:val="18"/>
              </w:rPr>
            </w:pPr>
            <w:r>
              <w:rPr>
                <w:sz w:val="20"/>
                <w:szCs w:val="18"/>
              </w:rPr>
              <w:t>26</w:t>
            </w:r>
          </w:p>
        </w:tc>
        <w:tc>
          <w:tcPr>
            <w:tcW w:w="885" w:type="pct"/>
            <w:tcBorders>
              <w:left w:val="double" w:sz="4" w:space="0" w:color="auto"/>
              <w:right w:val="double" w:sz="4" w:space="0" w:color="auto"/>
            </w:tcBorders>
            <w:vAlign w:val="center"/>
          </w:tcPr>
          <w:p w14:paraId="4F49D87D" w14:textId="77777777" w:rsidR="001D4369" w:rsidRPr="00A669F0" w:rsidRDefault="001D4369" w:rsidP="000F4CC1">
            <w:pPr>
              <w:spacing w:before="0" w:after="0" w:line="259" w:lineRule="auto"/>
              <w:jc w:val="center"/>
              <w:rPr>
                <w:sz w:val="20"/>
                <w:szCs w:val="18"/>
              </w:rPr>
            </w:pPr>
            <w:r>
              <w:rPr>
                <w:sz w:val="20"/>
                <w:szCs w:val="18"/>
              </w:rPr>
              <w:t>100%</w:t>
            </w:r>
          </w:p>
        </w:tc>
      </w:tr>
      <w:tr w:rsidR="001D4369" w14:paraId="70BAFEA9"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14E08DC0" w14:textId="77777777" w:rsidR="001D4369" w:rsidRPr="00124A76" w:rsidRDefault="001D4369" w:rsidP="000F4CC1">
            <w:pPr>
              <w:spacing w:before="0" w:after="0" w:line="259" w:lineRule="auto"/>
              <w:jc w:val="right"/>
              <w:rPr>
                <w:sz w:val="18"/>
                <w:szCs w:val="16"/>
              </w:rPr>
            </w:pPr>
            <w:r w:rsidRPr="00124A76">
              <w:rPr>
                <w:sz w:val="18"/>
                <w:szCs w:val="16"/>
              </w:rPr>
              <w:t>CS Presencia comida</w:t>
            </w:r>
          </w:p>
        </w:tc>
        <w:tc>
          <w:tcPr>
            <w:tcW w:w="1070" w:type="pct"/>
            <w:tcBorders>
              <w:left w:val="double" w:sz="4" w:space="0" w:color="auto"/>
            </w:tcBorders>
            <w:vAlign w:val="center"/>
          </w:tcPr>
          <w:p w14:paraId="05AABB12" w14:textId="77777777" w:rsidR="001D4369" w:rsidRPr="00425BA2" w:rsidRDefault="001D4369" w:rsidP="000F4CC1">
            <w:pPr>
              <w:spacing w:before="0" w:after="0" w:line="259" w:lineRule="auto"/>
              <w:jc w:val="center"/>
              <w:rPr>
                <w:sz w:val="20"/>
                <w:szCs w:val="18"/>
              </w:rPr>
            </w:pPr>
            <w:r>
              <w:rPr>
                <w:sz w:val="20"/>
                <w:szCs w:val="18"/>
              </w:rPr>
              <w:t>2</w:t>
            </w:r>
          </w:p>
        </w:tc>
        <w:tc>
          <w:tcPr>
            <w:tcW w:w="1070" w:type="pct"/>
            <w:tcBorders>
              <w:right w:val="double" w:sz="4" w:space="0" w:color="auto"/>
            </w:tcBorders>
            <w:shd w:val="clear" w:color="auto" w:fill="auto"/>
            <w:vAlign w:val="center"/>
          </w:tcPr>
          <w:p w14:paraId="01D75D7C" w14:textId="77777777" w:rsidR="001D4369" w:rsidRPr="00B25800" w:rsidRDefault="001D4369" w:rsidP="000F4CC1">
            <w:pPr>
              <w:spacing w:before="0" w:after="0" w:line="259" w:lineRule="auto"/>
              <w:jc w:val="center"/>
              <w:rPr>
                <w:sz w:val="20"/>
                <w:szCs w:val="18"/>
              </w:rPr>
            </w:pPr>
            <w:r>
              <w:rPr>
                <w:sz w:val="20"/>
                <w:szCs w:val="18"/>
              </w:rPr>
              <w:t>103</w:t>
            </w:r>
          </w:p>
        </w:tc>
        <w:tc>
          <w:tcPr>
            <w:tcW w:w="885" w:type="pct"/>
            <w:tcBorders>
              <w:left w:val="double" w:sz="4" w:space="0" w:color="auto"/>
              <w:right w:val="double" w:sz="4" w:space="0" w:color="auto"/>
            </w:tcBorders>
            <w:vAlign w:val="center"/>
          </w:tcPr>
          <w:p w14:paraId="3E2A1D83" w14:textId="77777777" w:rsidR="001D4369" w:rsidRPr="00A669F0" w:rsidRDefault="001D4369" w:rsidP="000F4CC1">
            <w:pPr>
              <w:spacing w:before="0" w:after="0" w:line="259" w:lineRule="auto"/>
              <w:jc w:val="center"/>
              <w:rPr>
                <w:sz w:val="20"/>
                <w:szCs w:val="18"/>
              </w:rPr>
            </w:pPr>
            <w:r>
              <w:rPr>
                <w:sz w:val="20"/>
                <w:szCs w:val="18"/>
              </w:rPr>
              <w:t>99%</w:t>
            </w:r>
          </w:p>
        </w:tc>
      </w:tr>
      <w:tr w:rsidR="001D4369" w14:paraId="2EA3FD54"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50C88298" w14:textId="77777777" w:rsidR="001D4369" w:rsidRPr="00124A76" w:rsidRDefault="001D4369" w:rsidP="000F4CC1">
            <w:pPr>
              <w:spacing w:before="0" w:after="0" w:line="259" w:lineRule="auto"/>
              <w:jc w:val="right"/>
              <w:rPr>
                <w:sz w:val="18"/>
                <w:szCs w:val="16"/>
              </w:rPr>
            </w:pPr>
            <w:r w:rsidRPr="00124A76">
              <w:rPr>
                <w:sz w:val="18"/>
                <w:szCs w:val="16"/>
              </w:rPr>
              <w:t>CS Autobombas</w:t>
            </w:r>
          </w:p>
        </w:tc>
        <w:tc>
          <w:tcPr>
            <w:tcW w:w="1070" w:type="pct"/>
            <w:tcBorders>
              <w:left w:val="double" w:sz="4" w:space="0" w:color="auto"/>
            </w:tcBorders>
            <w:vAlign w:val="center"/>
          </w:tcPr>
          <w:p w14:paraId="3746DBF5" w14:textId="77777777" w:rsidR="001D4369" w:rsidRPr="00425BA2" w:rsidRDefault="001D4369" w:rsidP="000F4CC1">
            <w:pPr>
              <w:spacing w:before="0" w:after="0" w:line="259" w:lineRule="auto"/>
              <w:jc w:val="center"/>
              <w:rPr>
                <w:sz w:val="20"/>
                <w:szCs w:val="18"/>
              </w:rPr>
            </w:pPr>
            <w:r>
              <w:rPr>
                <w:sz w:val="20"/>
                <w:szCs w:val="18"/>
              </w:rPr>
              <w:t>1</w:t>
            </w:r>
          </w:p>
        </w:tc>
        <w:tc>
          <w:tcPr>
            <w:tcW w:w="1070" w:type="pct"/>
            <w:tcBorders>
              <w:right w:val="double" w:sz="4" w:space="0" w:color="auto"/>
            </w:tcBorders>
            <w:shd w:val="clear" w:color="auto" w:fill="auto"/>
            <w:vAlign w:val="center"/>
          </w:tcPr>
          <w:p w14:paraId="34711E92" w14:textId="77777777" w:rsidR="001D4369" w:rsidRPr="00B25800" w:rsidRDefault="001D4369" w:rsidP="000F4CC1">
            <w:pPr>
              <w:spacing w:before="0" w:after="0" w:line="259" w:lineRule="auto"/>
              <w:jc w:val="center"/>
              <w:rPr>
                <w:sz w:val="20"/>
                <w:szCs w:val="18"/>
              </w:rPr>
            </w:pPr>
            <w:r>
              <w:rPr>
                <w:sz w:val="20"/>
                <w:szCs w:val="18"/>
              </w:rPr>
              <w:t>0</w:t>
            </w:r>
          </w:p>
        </w:tc>
        <w:tc>
          <w:tcPr>
            <w:tcW w:w="885" w:type="pct"/>
            <w:tcBorders>
              <w:left w:val="double" w:sz="4" w:space="0" w:color="auto"/>
              <w:right w:val="double" w:sz="4" w:space="0" w:color="auto"/>
            </w:tcBorders>
            <w:vAlign w:val="center"/>
          </w:tcPr>
          <w:p w14:paraId="72AE9556" w14:textId="77777777" w:rsidR="001D4369" w:rsidRPr="00A669F0" w:rsidRDefault="001D4369" w:rsidP="000F4CC1">
            <w:pPr>
              <w:spacing w:before="0" w:after="0" w:line="259" w:lineRule="auto"/>
              <w:jc w:val="center"/>
              <w:rPr>
                <w:sz w:val="20"/>
                <w:szCs w:val="18"/>
              </w:rPr>
            </w:pPr>
            <w:r>
              <w:rPr>
                <w:sz w:val="20"/>
                <w:szCs w:val="18"/>
              </w:rPr>
              <w:t>-</w:t>
            </w:r>
          </w:p>
        </w:tc>
      </w:tr>
      <w:tr w:rsidR="001D4369" w14:paraId="1800F66F"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643A475F" w14:textId="77777777" w:rsidR="001D4369" w:rsidRPr="00124A76" w:rsidRDefault="001D4369" w:rsidP="000F4CC1">
            <w:pPr>
              <w:spacing w:before="0" w:after="0" w:line="259" w:lineRule="auto"/>
              <w:jc w:val="right"/>
              <w:rPr>
                <w:sz w:val="18"/>
                <w:szCs w:val="16"/>
              </w:rPr>
            </w:pPr>
            <w:r w:rsidRPr="00124A76">
              <w:rPr>
                <w:sz w:val="18"/>
                <w:szCs w:val="16"/>
              </w:rPr>
              <w:t>CS Viveros y choperas</w:t>
            </w:r>
          </w:p>
        </w:tc>
        <w:tc>
          <w:tcPr>
            <w:tcW w:w="1070" w:type="pct"/>
            <w:tcBorders>
              <w:left w:val="double" w:sz="4" w:space="0" w:color="auto"/>
            </w:tcBorders>
            <w:vAlign w:val="center"/>
          </w:tcPr>
          <w:p w14:paraId="2AD0E8C5" w14:textId="77777777" w:rsidR="001D4369" w:rsidRPr="00425BA2" w:rsidRDefault="001D4369" w:rsidP="000F4CC1">
            <w:pPr>
              <w:spacing w:before="0" w:after="0" w:line="259" w:lineRule="auto"/>
              <w:jc w:val="center"/>
              <w:rPr>
                <w:sz w:val="20"/>
                <w:szCs w:val="18"/>
              </w:rPr>
            </w:pPr>
            <w:r>
              <w:rPr>
                <w:sz w:val="20"/>
                <w:szCs w:val="18"/>
              </w:rPr>
              <w:t>0</w:t>
            </w:r>
          </w:p>
        </w:tc>
        <w:tc>
          <w:tcPr>
            <w:tcW w:w="1070" w:type="pct"/>
            <w:tcBorders>
              <w:right w:val="double" w:sz="4" w:space="0" w:color="auto"/>
            </w:tcBorders>
            <w:shd w:val="clear" w:color="auto" w:fill="auto"/>
            <w:vAlign w:val="center"/>
          </w:tcPr>
          <w:p w14:paraId="2B7E9E91" w14:textId="77777777" w:rsidR="001D4369" w:rsidRPr="00B25800" w:rsidRDefault="001D4369" w:rsidP="000F4CC1">
            <w:pPr>
              <w:spacing w:before="0" w:after="0" w:line="259" w:lineRule="auto"/>
              <w:jc w:val="center"/>
              <w:rPr>
                <w:sz w:val="20"/>
                <w:szCs w:val="18"/>
              </w:rPr>
            </w:pPr>
            <w:r>
              <w:rPr>
                <w:sz w:val="20"/>
                <w:szCs w:val="18"/>
              </w:rPr>
              <w:t>45</w:t>
            </w:r>
          </w:p>
        </w:tc>
        <w:tc>
          <w:tcPr>
            <w:tcW w:w="885" w:type="pct"/>
            <w:tcBorders>
              <w:left w:val="double" w:sz="4" w:space="0" w:color="auto"/>
              <w:right w:val="double" w:sz="4" w:space="0" w:color="auto"/>
            </w:tcBorders>
            <w:vAlign w:val="center"/>
          </w:tcPr>
          <w:p w14:paraId="3395E1B7" w14:textId="77777777" w:rsidR="001D4369" w:rsidRPr="00A669F0" w:rsidRDefault="001D4369" w:rsidP="000F4CC1">
            <w:pPr>
              <w:spacing w:before="0" w:after="0" w:line="259" w:lineRule="auto"/>
              <w:jc w:val="center"/>
              <w:rPr>
                <w:sz w:val="20"/>
                <w:szCs w:val="18"/>
              </w:rPr>
            </w:pPr>
            <w:r>
              <w:rPr>
                <w:sz w:val="20"/>
                <w:szCs w:val="18"/>
              </w:rPr>
              <w:t>100%</w:t>
            </w:r>
          </w:p>
        </w:tc>
      </w:tr>
      <w:tr w:rsidR="001D4369" w14:paraId="320C95D9"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77FAC8B4" w14:textId="77777777" w:rsidR="001D4369" w:rsidRPr="00124A76" w:rsidRDefault="001D4369" w:rsidP="000F4CC1">
            <w:pPr>
              <w:spacing w:before="0" w:after="0" w:line="259" w:lineRule="auto"/>
              <w:jc w:val="right"/>
              <w:rPr>
                <w:sz w:val="18"/>
                <w:szCs w:val="16"/>
              </w:rPr>
            </w:pPr>
            <w:r w:rsidRPr="00124A76">
              <w:rPr>
                <w:sz w:val="18"/>
                <w:szCs w:val="16"/>
              </w:rPr>
              <w:t xml:space="preserve">CS Servicio Extinción y nieve </w:t>
            </w:r>
          </w:p>
        </w:tc>
        <w:tc>
          <w:tcPr>
            <w:tcW w:w="1070" w:type="pct"/>
            <w:tcBorders>
              <w:left w:val="double" w:sz="4" w:space="0" w:color="auto"/>
            </w:tcBorders>
            <w:vAlign w:val="center"/>
          </w:tcPr>
          <w:p w14:paraId="6AF28D0F" w14:textId="77777777" w:rsidR="001D4369" w:rsidRPr="00425BA2" w:rsidRDefault="001D4369" w:rsidP="000F4CC1">
            <w:pPr>
              <w:spacing w:before="0" w:after="0" w:line="259" w:lineRule="auto"/>
              <w:jc w:val="center"/>
              <w:rPr>
                <w:sz w:val="20"/>
                <w:szCs w:val="18"/>
              </w:rPr>
            </w:pPr>
            <w:r>
              <w:rPr>
                <w:sz w:val="20"/>
                <w:szCs w:val="18"/>
              </w:rPr>
              <w:t>0</w:t>
            </w:r>
          </w:p>
        </w:tc>
        <w:tc>
          <w:tcPr>
            <w:tcW w:w="1070" w:type="pct"/>
            <w:tcBorders>
              <w:right w:val="double" w:sz="4" w:space="0" w:color="auto"/>
            </w:tcBorders>
            <w:shd w:val="clear" w:color="auto" w:fill="auto"/>
            <w:vAlign w:val="center"/>
          </w:tcPr>
          <w:p w14:paraId="761A7966" w14:textId="77777777" w:rsidR="001D4369" w:rsidRPr="00B25800" w:rsidRDefault="001D4369" w:rsidP="000F4CC1">
            <w:pPr>
              <w:spacing w:before="0" w:after="0" w:line="259" w:lineRule="auto"/>
              <w:jc w:val="center"/>
              <w:rPr>
                <w:sz w:val="20"/>
                <w:szCs w:val="18"/>
              </w:rPr>
            </w:pPr>
            <w:r>
              <w:rPr>
                <w:sz w:val="20"/>
                <w:szCs w:val="18"/>
              </w:rPr>
              <w:t>51</w:t>
            </w:r>
          </w:p>
        </w:tc>
        <w:tc>
          <w:tcPr>
            <w:tcW w:w="885" w:type="pct"/>
            <w:tcBorders>
              <w:left w:val="double" w:sz="4" w:space="0" w:color="auto"/>
              <w:right w:val="double" w:sz="4" w:space="0" w:color="auto"/>
            </w:tcBorders>
            <w:vAlign w:val="center"/>
          </w:tcPr>
          <w:p w14:paraId="70B02F1E" w14:textId="77777777" w:rsidR="001D4369" w:rsidRPr="00A669F0" w:rsidRDefault="001D4369" w:rsidP="000F4CC1">
            <w:pPr>
              <w:spacing w:before="0" w:after="0" w:line="259" w:lineRule="auto"/>
              <w:jc w:val="center"/>
              <w:rPr>
                <w:sz w:val="20"/>
                <w:szCs w:val="18"/>
              </w:rPr>
            </w:pPr>
            <w:r>
              <w:rPr>
                <w:sz w:val="20"/>
                <w:szCs w:val="18"/>
              </w:rPr>
              <w:t>100%</w:t>
            </w:r>
          </w:p>
        </w:tc>
      </w:tr>
      <w:tr w:rsidR="001D4369" w14:paraId="009317A4"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27DD7ABA" w14:textId="77777777" w:rsidR="001D4369" w:rsidRPr="00124A76" w:rsidRDefault="001D4369" w:rsidP="000F4CC1">
            <w:pPr>
              <w:spacing w:before="0" w:after="0" w:line="259" w:lineRule="auto"/>
              <w:jc w:val="right"/>
              <w:rPr>
                <w:sz w:val="18"/>
                <w:szCs w:val="16"/>
              </w:rPr>
            </w:pPr>
            <w:r w:rsidRPr="00124A76">
              <w:rPr>
                <w:sz w:val="18"/>
                <w:szCs w:val="16"/>
              </w:rPr>
              <w:t xml:space="preserve">CS Festivo </w:t>
            </w:r>
          </w:p>
        </w:tc>
        <w:tc>
          <w:tcPr>
            <w:tcW w:w="1070" w:type="pct"/>
            <w:tcBorders>
              <w:left w:val="double" w:sz="4" w:space="0" w:color="auto"/>
            </w:tcBorders>
            <w:vAlign w:val="center"/>
          </w:tcPr>
          <w:p w14:paraId="76BA03B0" w14:textId="77777777" w:rsidR="001D4369" w:rsidRPr="00425BA2" w:rsidRDefault="001D4369" w:rsidP="000F4CC1">
            <w:pPr>
              <w:spacing w:before="0" w:after="0" w:line="259" w:lineRule="auto"/>
              <w:jc w:val="center"/>
              <w:rPr>
                <w:sz w:val="20"/>
                <w:szCs w:val="18"/>
              </w:rPr>
            </w:pPr>
            <w:r>
              <w:rPr>
                <w:sz w:val="20"/>
                <w:szCs w:val="18"/>
              </w:rPr>
              <w:t>79</w:t>
            </w:r>
          </w:p>
        </w:tc>
        <w:tc>
          <w:tcPr>
            <w:tcW w:w="1070" w:type="pct"/>
            <w:tcBorders>
              <w:right w:val="double" w:sz="4" w:space="0" w:color="auto"/>
            </w:tcBorders>
            <w:shd w:val="clear" w:color="auto" w:fill="auto"/>
            <w:vAlign w:val="center"/>
          </w:tcPr>
          <w:p w14:paraId="592C7A23" w14:textId="77777777" w:rsidR="001D4369" w:rsidRPr="00B25800" w:rsidRDefault="001D4369" w:rsidP="000F4CC1">
            <w:pPr>
              <w:spacing w:before="0" w:after="0" w:line="259" w:lineRule="auto"/>
              <w:jc w:val="center"/>
              <w:rPr>
                <w:sz w:val="20"/>
                <w:szCs w:val="18"/>
              </w:rPr>
            </w:pPr>
            <w:r>
              <w:rPr>
                <w:sz w:val="20"/>
                <w:szCs w:val="18"/>
              </w:rPr>
              <w:t>212</w:t>
            </w:r>
          </w:p>
        </w:tc>
        <w:tc>
          <w:tcPr>
            <w:tcW w:w="885" w:type="pct"/>
            <w:tcBorders>
              <w:left w:val="double" w:sz="4" w:space="0" w:color="auto"/>
              <w:right w:val="double" w:sz="4" w:space="0" w:color="auto"/>
            </w:tcBorders>
            <w:vAlign w:val="center"/>
          </w:tcPr>
          <w:p w14:paraId="1A566CA8" w14:textId="77777777" w:rsidR="001D4369" w:rsidRPr="00A669F0" w:rsidRDefault="001D4369" w:rsidP="000F4CC1">
            <w:pPr>
              <w:spacing w:before="0" w:after="0" w:line="259" w:lineRule="auto"/>
              <w:jc w:val="center"/>
              <w:rPr>
                <w:sz w:val="20"/>
                <w:szCs w:val="18"/>
              </w:rPr>
            </w:pPr>
            <w:r>
              <w:rPr>
                <w:sz w:val="20"/>
                <w:szCs w:val="18"/>
              </w:rPr>
              <w:t>63%</w:t>
            </w:r>
          </w:p>
        </w:tc>
      </w:tr>
      <w:tr w:rsidR="001D4369" w14:paraId="0E1A52A8" w14:textId="77777777" w:rsidTr="00C64B27">
        <w:tc>
          <w:tcPr>
            <w:tcW w:w="1975" w:type="pct"/>
            <w:tcBorders>
              <w:top w:val="single" w:sz="4" w:space="0" w:color="000000"/>
              <w:left w:val="double" w:sz="4" w:space="0" w:color="auto"/>
              <w:right w:val="double" w:sz="4" w:space="0" w:color="auto"/>
            </w:tcBorders>
            <w:vAlign w:val="center"/>
          </w:tcPr>
          <w:p w14:paraId="25FEA14E" w14:textId="77777777" w:rsidR="001D4369" w:rsidRPr="00124A76" w:rsidRDefault="001D4369" w:rsidP="000F4CC1">
            <w:pPr>
              <w:spacing w:before="0" w:after="0" w:line="259" w:lineRule="auto"/>
              <w:jc w:val="right"/>
              <w:rPr>
                <w:sz w:val="18"/>
                <w:szCs w:val="16"/>
              </w:rPr>
            </w:pPr>
            <w:r w:rsidRPr="00124A76">
              <w:rPr>
                <w:sz w:val="18"/>
                <w:szCs w:val="16"/>
              </w:rPr>
              <w:t>CS Nocturno</w:t>
            </w:r>
          </w:p>
        </w:tc>
        <w:tc>
          <w:tcPr>
            <w:tcW w:w="1070" w:type="pct"/>
            <w:tcBorders>
              <w:left w:val="double" w:sz="4" w:space="0" w:color="auto"/>
            </w:tcBorders>
            <w:vAlign w:val="center"/>
          </w:tcPr>
          <w:p w14:paraId="347F060E" w14:textId="77777777" w:rsidR="001D4369" w:rsidRPr="00425BA2" w:rsidRDefault="001D4369" w:rsidP="000F4CC1">
            <w:pPr>
              <w:spacing w:before="0" w:after="0" w:line="259" w:lineRule="auto"/>
              <w:jc w:val="center"/>
              <w:rPr>
                <w:sz w:val="20"/>
                <w:szCs w:val="18"/>
              </w:rPr>
            </w:pPr>
            <w:r>
              <w:rPr>
                <w:sz w:val="20"/>
                <w:szCs w:val="18"/>
              </w:rPr>
              <w:t>3</w:t>
            </w:r>
          </w:p>
        </w:tc>
        <w:tc>
          <w:tcPr>
            <w:tcW w:w="1070" w:type="pct"/>
            <w:tcBorders>
              <w:right w:val="double" w:sz="4" w:space="0" w:color="auto"/>
            </w:tcBorders>
            <w:shd w:val="clear" w:color="auto" w:fill="auto"/>
            <w:vAlign w:val="center"/>
          </w:tcPr>
          <w:p w14:paraId="08180877" w14:textId="77777777" w:rsidR="001D4369" w:rsidRPr="00B25800" w:rsidRDefault="001D4369" w:rsidP="000F4CC1">
            <w:pPr>
              <w:spacing w:before="0" w:after="0" w:line="259" w:lineRule="auto"/>
              <w:jc w:val="center"/>
              <w:rPr>
                <w:sz w:val="20"/>
                <w:szCs w:val="18"/>
              </w:rPr>
            </w:pPr>
            <w:r>
              <w:rPr>
                <w:sz w:val="20"/>
                <w:szCs w:val="18"/>
              </w:rPr>
              <w:t>16</w:t>
            </w:r>
          </w:p>
        </w:tc>
        <w:tc>
          <w:tcPr>
            <w:tcW w:w="885" w:type="pct"/>
            <w:tcBorders>
              <w:left w:val="double" w:sz="4" w:space="0" w:color="auto"/>
              <w:right w:val="double" w:sz="4" w:space="0" w:color="auto"/>
            </w:tcBorders>
            <w:vAlign w:val="center"/>
          </w:tcPr>
          <w:p w14:paraId="1D096FFF" w14:textId="77777777" w:rsidR="001D4369" w:rsidRPr="00A669F0" w:rsidRDefault="001D4369" w:rsidP="000F4CC1">
            <w:pPr>
              <w:spacing w:before="0" w:after="0" w:line="259" w:lineRule="auto"/>
              <w:jc w:val="center"/>
              <w:rPr>
                <w:sz w:val="20"/>
                <w:szCs w:val="18"/>
              </w:rPr>
            </w:pPr>
            <w:r>
              <w:rPr>
                <w:sz w:val="20"/>
                <w:szCs w:val="18"/>
              </w:rPr>
              <w:t>84%</w:t>
            </w:r>
          </w:p>
        </w:tc>
      </w:tr>
      <w:tr w:rsidR="001D4369" w14:paraId="66148884" w14:textId="77777777" w:rsidTr="00C64B27">
        <w:tc>
          <w:tcPr>
            <w:tcW w:w="1975" w:type="pct"/>
            <w:tcBorders>
              <w:left w:val="double" w:sz="4" w:space="0" w:color="auto"/>
              <w:bottom w:val="single" w:sz="4" w:space="0" w:color="000000"/>
              <w:right w:val="double" w:sz="4" w:space="0" w:color="auto"/>
            </w:tcBorders>
            <w:vAlign w:val="center"/>
          </w:tcPr>
          <w:p w14:paraId="22E1BE07" w14:textId="77777777" w:rsidR="001D4369" w:rsidRPr="00124A76" w:rsidRDefault="001D4369" w:rsidP="000F4CC1">
            <w:pPr>
              <w:spacing w:before="0" w:after="0" w:line="259" w:lineRule="auto"/>
              <w:jc w:val="right"/>
              <w:rPr>
                <w:sz w:val="18"/>
                <w:szCs w:val="16"/>
              </w:rPr>
            </w:pPr>
            <w:r w:rsidRPr="00124A76">
              <w:rPr>
                <w:sz w:val="18"/>
                <w:szCs w:val="16"/>
              </w:rPr>
              <w:t>CS Guardias semanal</w:t>
            </w:r>
          </w:p>
        </w:tc>
        <w:tc>
          <w:tcPr>
            <w:tcW w:w="1070" w:type="pct"/>
            <w:tcBorders>
              <w:left w:val="double" w:sz="4" w:space="0" w:color="auto"/>
            </w:tcBorders>
            <w:vAlign w:val="center"/>
          </w:tcPr>
          <w:p w14:paraId="4943DD35" w14:textId="77777777" w:rsidR="001D4369" w:rsidRPr="00425BA2" w:rsidRDefault="001D4369" w:rsidP="000F4CC1">
            <w:pPr>
              <w:spacing w:before="0" w:after="0" w:line="259" w:lineRule="auto"/>
              <w:jc w:val="center"/>
              <w:rPr>
                <w:sz w:val="20"/>
                <w:szCs w:val="18"/>
              </w:rPr>
            </w:pPr>
            <w:r>
              <w:rPr>
                <w:sz w:val="20"/>
                <w:szCs w:val="18"/>
              </w:rPr>
              <w:t>3</w:t>
            </w:r>
          </w:p>
        </w:tc>
        <w:tc>
          <w:tcPr>
            <w:tcW w:w="1070" w:type="pct"/>
            <w:tcBorders>
              <w:right w:val="double" w:sz="4" w:space="0" w:color="auto"/>
            </w:tcBorders>
            <w:shd w:val="clear" w:color="auto" w:fill="auto"/>
            <w:vAlign w:val="center"/>
          </w:tcPr>
          <w:p w14:paraId="4B8A2776" w14:textId="77777777" w:rsidR="001D4369" w:rsidRPr="00B25800" w:rsidRDefault="001D4369" w:rsidP="000F4CC1">
            <w:pPr>
              <w:spacing w:before="0" w:after="0" w:line="259" w:lineRule="auto"/>
              <w:jc w:val="center"/>
              <w:rPr>
                <w:sz w:val="20"/>
                <w:szCs w:val="18"/>
              </w:rPr>
            </w:pPr>
            <w:r>
              <w:rPr>
                <w:sz w:val="20"/>
                <w:szCs w:val="18"/>
              </w:rPr>
              <w:t>0</w:t>
            </w:r>
          </w:p>
        </w:tc>
        <w:tc>
          <w:tcPr>
            <w:tcW w:w="885" w:type="pct"/>
            <w:tcBorders>
              <w:left w:val="double" w:sz="4" w:space="0" w:color="auto"/>
              <w:right w:val="double" w:sz="4" w:space="0" w:color="auto"/>
            </w:tcBorders>
            <w:vAlign w:val="center"/>
          </w:tcPr>
          <w:p w14:paraId="0E18BCED" w14:textId="77777777" w:rsidR="001D4369" w:rsidRPr="00A669F0" w:rsidRDefault="001D4369" w:rsidP="000F4CC1">
            <w:pPr>
              <w:spacing w:before="0" w:after="0" w:line="259" w:lineRule="auto"/>
              <w:jc w:val="center"/>
              <w:rPr>
                <w:sz w:val="20"/>
                <w:szCs w:val="18"/>
              </w:rPr>
            </w:pPr>
            <w:r>
              <w:rPr>
                <w:sz w:val="20"/>
                <w:szCs w:val="18"/>
              </w:rPr>
              <w:t>-</w:t>
            </w:r>
          </w:p>
        </w:tc>
      </w:tr>
      <w:tr w:rsidR="001D4369" w14:paraId="5A40F7EB" w14:textId="77777777" w:rsidTr="00C64B27">
        <w:tc>
          <w:tcPr>
            <w:tcW w:w="1975" w:type="pct"/>
            <w:tcBorders>
              <w:left w:val="double" w:sz="4" w:space="0" w:color="auto"/>
              <w:bottom w:val="single" w:sz="4" w:space="0" w:color="000000"/>
              <w:right w:val="double" w:sz="4" w:space="0" w:color="auto"/>
            </w:tcBorders>
            <w:vAlign w:val="center"/>
          </w:tcPr>
          <w:p w14:paraId="3CC6278A" w14:textId="77777777" w:rsidR="001D4369" w:rsidRPr="00124A76" w:rsidRDefault="001D4369" w:rsidP="000F4CC1">
            <w:pPr>
              <w:spacing w:before="0" w:after="0" w:line="259" w:lineRule="auto"/>
              <w:jc w:val="right"/>
              <w:rPr>
                <w:sz w:val="18"/>
                <w:szCs w:val="16"/>
              </w:rPr>
            </w:pPr>
            <w:r w:rsidRPr="00124A76">
              <w:rPr>
                <w:sz w:val="18"/>
                <w:szCs w:val="16"/>
              </w:rPr>
              <w:t>CS Horas extraordinarias fuerza</w:t>
            </w:r>
          </w:p>
        </w:tc>
        <w:tc>
          <w:tcPr>
            <w:tcW w:w="1070" w:type="pct"/>
            <w:tcBorders>
              <w:left w:val="double" w:sz="4" w:space="0" w:color="auto"/>
            </w:tcBorders>
            <w:vAlign w:val="center"/>
          </w:tcPr>
          <w:p w14:paraId="18E7AF14" w14:textId="77777777" w:rsidR="001D4369" w:rsidRPr="00425BA2" w:rsidRDefault="001D4369" w:rsidP="000F4CC1">
            <w:pPr>
              <w:spacing w:before="0" w:after="0" w:line="259" w:lineRule="auto"/>
              <w:jc w:val="center"/>
              <w:rPr>
                <w:sz w:val="20"/>
                <w:szCs w:val="18"/>
              </w:rPr>
            </w:pPr>
            <w:r>
              <w:rPr>
                <w:sz w:val="20"/>
                <w:szCs w:val="18"/>
              </w:rPr>
              <w:t>0</w:t>
            </w:r>
          </w:p>
        </w:tc>
        <w:tc>
          <w:tcPr>
            <w:tcW w:w="1070" w:type="pct"/>
            <w:tcBorders>
              <w:right w:val="double" w:sz="4" w:space="0" w:color="auto"/>
            </w:tcBorders>
            <w:shd w:val="clear" w:color="auto" w:fill="auto"/>
            <w:vAlign w:val="center"/>
          </w:tcPr>
          <w:p w14:paraId="0B3452DB" w14:textId="77777777" w:rsidR="001D4369" w:rsidRPr="00B25800" w:rsidRDefault="001D4369" w:rsidP="000F4CC1">
            <w:pPr>
              <w:spacing w:before="0" w:after="0" w:line="259" w:lineRule="auto"/>
              <w:jc w:val="center"/>
              <w:rPr>
                <w:sz w:val="20"/>
                <w:szCs w:val="18"/>
              </w:rPr>
            </w:pPr>
            <w:r>
              <w:rPr>
                <w:sz w:val="20"/>
                <w:szCs w:val="18"/>
              </w:rPr>
              <w:t>59</w:t>
            </w:r>
          </w:p>
        </w:tc>
        <w:tc>
          <w:tcPr>
            <w:tcW w:w="885" w:type="pct"/>
            <w:tcBorders>
              <w:left w:val="double" w:sz="4" w:space="0" w:color="auto"/>
              <w:right w:val="double" w:sz="4" w:space="0" w:color="auto"/>
            </w:tcBorders>
            <w:vAlign w:val="center"/>
          </w:tcPr>
          <w:p w14:paraId="715B6510" w14:textId="77777777" w:rsidR="001D4369" w:rsidRPr="00A669F0" w:rsidRDefault="001D4369" w:rsidP="000F4CC1">
            <w:pPr>
              <w:spacing w:before="0" w:after="0" w:line="259" w:lineRule="auto"/>
              <w:jc w:val="center"/>
              <w:rPr>
                <w:sz w:val="20"/>
                <w:szCs w:val="18"/>
              </w:rPr>
            </w:pPr>
            <w:r>
              <w:rPr>
                <w:sz w:val="20"/>
                <w:szCs w:val="18"/>
              </w:rPr>
              <w:t>100%</w:t>
            </w:r>
          </w:p>
        </w:tc>
      </w:tr>
      <w:tr w:rsidR="001D4369" w14:paraId="0376BD8A" w14:textId="77777777" w:rsidTr="00C64B27">
        <w:tc>
          <w:tcPr>
            <w:tcW w:w="1975" w:type="pct"/>
            <w:tcBorders>
              <w:left w:val="double" w:sz="4" w:space="0" w:color="auto"/>
              <w:bottom w:val="single" w:sz="4" w:space="0" w:color="000000"/>
              <w:right w:val="double" w:sz="4" w:space="0" w:color="auto"/>
            </w:tcBorders>
            <w:vAlign w:val="center"/>
          </w:tcPr>
          <w:p w14:paraId="0973DBCD" w14:textId="77777777" w:rsidR="001D4369" w:rsidRPr="00124A76" w:rsidRDefault="001D4369" w:rsidP="000F4CC1">
            <w:pPr>
              <w:spacing w:before="0" w:after="0" w:line="259" w:lineRule="auto"/>
              <w:jc w:val="right"/>
              <w:rPr>
                <w:sz w:val="18"/>
                <w:szCs w:val="16"/>
              </w:rPr>
            </w:pPr>
            <w:r w:rsidRPr="00124A76">
              <w:rPr>
                <w:sz w:val="18"/>
                <w:szCs w:val="16"/>
              </w:rPr>
              <w:t xml:space="preserve">CS Horas </w:t>
            </w:r>
            <w:proofErr w:type="spellStart"/>
            <w:r w:rsidRPr="00124A76">
              <w:rPr>
                <w:sz w:val="18"/>
                <w:szCs w:val="16"/>
              </w:rPr>
              <w:t>extraord</w:t>
            </w:r>
            <w:proofErr w:type="spellEnd"/>
            <w:r w:rsidRPr="00124A76">
              <w:rPr>
                <w:sz w:val="18"/>
                <w:szCs w:val="16"/>
              </w:rPr>
              <w:t>. fuerza mayor</w:t>
            </w:r>
          </w:p>
        </w:tc>
        <w:tc>
          <w:tcPr>
            <w:tcW w:w="1070" w:type="pct"/>
            <w:tcBorders>
              <w:left w:val="double" w:sz="4" w:space="0" w:color="auto"/>
            </w:tcBorders>
            <w:vAlign w:val="center"/>
          </w:tcPr>
          <w:p w14:paraId="3CC3EA64" w14:textId="77777777" w:rsidR="001D4369" w:rsidRPr="00425BA2" w:rsidRDefault="001D4369" w:rsidP="000F4CC1">
            <w:pPr>
              <w:spacing w:before="0" w:after="0" w:line="259" w:lineRule="auto"/>
              <w:jc w:val="center"/>
              <w:rPr>
                <w:sz w:val="20"/>
                <w:szCs w:val="18"/>
              </w:rPr>
            </w:pPr>
            <w:r>
              <w:rPr>
                <w:sz w:val="20"/>
                <w:szCs w:val="18"/>
              </w:rPr>
              <w:t>0</w:t>
            </w:r>
          </w:p>
        </w:tc>
        <w:tc>
          <w:tcPr>
            <w:tcW w:w="1070" w:type="pct"/>
            <w:tcBorders>
              <w:right w:val="double" w:sz="4" w:space="0" w:color="auto"/>
            </w:tcBorders>
            <w:shd w:val="clear" w:color="auto" w:fill="auto"/>
            <w:vAlign w:val="center"/>
          </w:tcPr>
          <w:p w14:paraId="4303CA88" w14:textId="77777777" w:rsidR="001D4369" w:rsidRPr="00B25800" w:rsidRDefault="001D4369" w:rsidP="000F4CC1">
            <w:pPr>
              <w:spacing w:before="0" w:after="0" w:line="259" w:lineRule="auto"/>
              <w:jc w:val="center"/>
              <w:rPr>
                <w:sz w:val="20"/>
                <w:szCs w:val="18"/>
              </w:rPr>
            </w:pPr>
            <w:r>
              <w:rPr>
                <w:sz w:val="20"/>
                <w:szCs w:val="18"/>
              </w:rPr>
              <w:t>4</w:t>
            </w:r>
          </w:p>
        </w:tc>
        <w:tc>
          <w:tcPr>
            <w:tcW w:w="885" w:type="pct"/>
            <w:tcBorders>
              <w:left w:val="double" w:sz="4" w:space="0" w:color="auto"/>
              <w:right w:val="double" w:sz="4" w:space="0" w:color="auto"/>
            </w:tcBorders>
            <w:vAlign w:val="center"/>
          </w:tcPr>
          <w:p w14:paraId="037D92D6" w14:textId="77777777" w:rsidR="001D4369" w:rsidRPr="00A669F0" w:rsidRDefault="001D4369" w:rsidP="000F4CC1">
            <w:pPr>
              <w:spacing w:before="0" w:after="0" w:line="259" w:lineRule="auto"/>
              <w:jc w:val="center"/>
              <w:rPr>
                <w:sz w:val="20"/>
                <w:szCs w:val="18"/>
              </w:rPr>
            </w:pPr>
            <w:r>
              <w:rPr>
                <w:sz w:val="20"/>
                <w:szCs w:val="18"/>
              </w:rPr>
              <w:t>100%</w:t>
            </w:r>
          </w:p>
        </w:tc>
      </w:tr>
      <w:tr w:rsidR="001D4369" w14:paraId="1297A7D2" w14:textId="77777777" w:rsidTr="00C64B27">
        <w:tc>
          <w:tcPr>
            <w:tcW w:w="1975" w:type="pct"/>
            <w:tcBorders>
              <w:left w:val="double" w:sz="4" w:space="0" w:color="auto"/>
              <w:bottom w:val="single" w:sz="4" w:space="0" w:color="000000"/>
              <w:right w:val="double" w:sz="4" w:space="0" w:color="auto"/>
            </w:tcBorders>
            <w:vAlign w:val="center"/>
          </w:tcPr>
          <w:p w14:paraId="7D520788" w14:textId="77777777" w:rsidR="001D4369" w:rsidRPr="00124A76" w:rsidRDefault="001D4369" w:rsidP="000F4CC1">
            <w:pPr>
              <w:spacing w:before="0" w:after="0" w:line="259" w:lineRule="auto"/>
              <w:jc w:val="right"/>
              <w:rPr>
                <w:sz w:val="18"/>
                <w:szCs w:val="16"/>
              </w:rPr>
            </w:pPr>
            <w:r w:rsidRPr="00124A76">
              <w:rPr>
                <w:sz w:val="18"/>
                <w:szCs w:val="16"/>
              </w:rPr>
              <w:t xml:space="preserve">CS </w:t>
            </w:r>
            <w:proofErr w:type="spellStart"/>
            <w:r w:rsidRPr="00124A76">
              <w:rPr>
                <w:sz w:val="18"/>
                <w:szCs w:val="16"/>
              </w:rPr>
              <w:t>Trab</w:t>
            </w:r>
            <w:proofErr w:type="spellEnd"/>
            <w:r w:rsidRPr="00124A76">
              <w:rPr>
                <w:sz w:val="18"/>
                <w:szCs w:val="16"/>
              </w:rPr>
              <w:t>. Superior categoría</w:t>
            </w:r>
          </w:p>
        </w:tc>
        <w:tc>
          <w:tcPr>
            <w:tcW w:w="1070" w:type="pct"/>
            <w:tcBorders>
              <w:left w:val="double" w:sz="4" w:space="0" w:color="auto"/>
            </w:tcBorders>
            <w:vAlign w:val="center"/>
          </w:tcPr>
          <w:p w14:paraId="4EF7F9A5" w14:textId="77777777" w:rsidR="001D4369" w:rsidRPr="00425BA2" w:rsidRDefault="001D4369" w:rsidP="000F4CC1">
            <w:pPr>
              <w:spacing w:before="0" w:after="0" w:line="259" w:lineRule="auto"/>
              <w:jc w:val="center"/>
              <w:rPr>
                <w:sz w:val="20"/>
                <w:szCs w:val="18"/>
              </w:rPr>
            </w:pPr>
            <w:r>
              <w:rPr>
                <w:sz w:val="20"/>
                <w:szCs w:val="18"/>
              </w:rPr>
              <w:t>0</w:t>
            </w:r>
          </w:p>
        </w:tc>
        <w:tc>
          <w:tcPr>
            <w:tcW w:w="1070" w:type="pct"/>
            <w:tcBorders>
              <w:right w:val="double" w:sz="4" w:space="0" w:color="auto"/>
            </w:tcBorders>
            <w:shd w:val="clear" w:color="auto" w:fill="auto"/>
            <w:vAlign w:val="center"/>
          </w:tcPr>
          <w:p w14:paraId="1A3117EB" w14:textId="77777777" w:rsidR="001D4369" w:rsidRPr="00B25800" w:rsidRDefault="001D4369" w:rsidP="000F4CC1">
            <w:pPr>
              <w:spacing w:before="0" w:after="0" w:line="259" w:lineRule="auto"/>
              <w:jc w:val="center"/>
              <w:rPr>
                <w:sz w:val="20"/>
                <w:szCs w:val="18"/>
              </w:rPr>
            </w:pPr>
            <w:r>
              <w:rPr>
                <w:sz w:val="20"/>
                <w:szCs w:val="18"/>
              </w:rPr>
              <w:t>100</w:t>
            </w:r>
          </w:p>
        </w:tc>
        <w:tc>
          <w:tcPr>
            <w:tcW w:w="885" w:type="pct"/>
            <w:tcBorders>
              <w:left w:val="double" w:sz="4" w:space="0" w:color="auto"/>
              <w:right w:val="double" w:sz="4" w:space="0" w:color="auto"/>
            </w:tcBorders>
            <w:vAlign w:val="center"/>
          </w:tcPr>
          <w:p w14:paraId="686F5834" w14:textId="77777777" w:rsidR="001D4369" w:rsidRPr="00A669F0" w:rsidRDefault="001D4369" w:rsidP="000F4CC1">
            <w:pPr>
              <w:spacing w:before="0" w:after="0" w:line="259" w:lineRule="auto"/>
              <w:jc w:val="center"/>
              <w:rPr>
                <w:sz w:val="20"/>
                <w:szCs w:val="18"/>
              </w:rPr>
            </w:pPr>
            <w:r>
              <w:rPr>
                <w:sz w:val="20"/>
                <w:szCs w:val="18"/>
              </w:rPr>
              <w:t>100%</w:t>
            </w:r>
          </w:p>
        </w:tc>
      </w:tr>
      <w:tr w:rsidR="001D4369" w14:paraId="480A105B" w14:textId="77777777" w:rsidTr="00C64B27">
        <w:tc>
          <w:tcPr>
            <w:tcW w:w="1975" w:type="pct"/>
            <w:tcBorders>
              <w:left w:val="double" w:sz="4" w:space="0" w:color="auto"/>
              <w:bottom w:val="single" w:sz="4" w:space="0" w:color="000000"/>
              <w:right w:val="double" w:sz="4" w:space="0" w:color="auto"/>
            </w:tcBorders>
            <w:vAlign w:val="center"/>
          </w:tcPr>
          <w:p w14:paraId="5F0DF077" w14:textId="77777777" w:rsidR="001D4369" w:rsidRPr="00124A76" w:rsidRDefault="001D4369" w:rsidP="000F4CC1">
            <w:pPr>
              <w:spacing w:before="0" w:after="0" w:line="259" w:lineRule="auto"/>
              <w:jc w:val="right"/>
              <w:rPr>
                <w:sz w:val="18"/>
                <w:szCs w:val="16"/>
              </w:rPr>
            </w:pPr>
            <w:r w:rsidRPr="00124A76">
              <w:rPr>
                <w:sz w:val="18"/>
                <w:szCs w:val="16"/>
              </w:rPr>
              <w:t>CS Vacaciones</w:t>
            </w:r>
          </w:p>
        </w:tc>
        <w:tc>
          <w:tcPr>
            <w:tcW w:w="1070" w:type="pct"/>
            <w:tcBorders>
              <w:left w:val="double" w:sz="4" w:space="0" w:color="auto"/>
            </w:tcBorders>
            <w:vAlign w:val="center"/>
          </w:tcPr>
          <w:p w14:paraId="34CEE284" w14:textId="77777777" w:rsidR="001D4369" w:rsidRPr="00425BA2" w:rsidRDefault="001D4369" w:rsidP="000F4CC1">
            <w:pPr>
              <w:spacing w:before="0" w:after="0" w:line="259" w:lineRule="auto"/>
              <w:jc w:val="center"/>
              <w:rPr>
                <w:sz w:val="20"/>
                <w:szCs w:val="18"/>
              </w:rPr>
            </w:pPr>
            <w:r>
              <w:rPr>
                <w:sz w:val="20"/>
                <w:szCs w:val="18"/>
              </w:rPr>
              <w:t>62</w:t>
            </w:r>
          </w:p>
        </w:tc>
        <w:tc>
          <w:tcPr>
            <w:tcW w:w="1070" w:type="pct"/>
            <w:tcBorders>
              <w:right w:val="double" w:sz="4" w:space="0" w:color="auto"/>
            </w:tcBorders>
            <w:shd w:val="clear" w:color="auto" w:fill="auto"/>
            <w:vAlign w:val="center"/>
          </w:tcPr>
          <w:p w14:paraId="7FD4C142" w14:textId="77777777" w:rsidR="001D4369" w:rsidRPr="00B25800" w:rsidRDefault="001D4369" w:rsidP="000F4CC1">
            <w:pPr>
              <w:spacing w:before="0" w:after="0" w:line="259" w:lineRule="auto"/>
              <w:jc w:val="center"/>
              <w:rPr>
                <w:sz w:val="20"/>
                <w:szCs w:val="18"/>
              </w:rPr>
            </w:pPr>
            <w:r>
              <w:rPr>
                <w:sz w:val="20"/>
                <w:szCs w:val="18"/>
              </w:rPr>
              <w:t>50</w:t>
            </w:r>
          </w:p>
        </w:tc>
        <w:tc>
          <w:tcPr>
            <w:tcW w:w="885" w:type="pct"/>
            <w:tcBorders>
              <w:left w:val="double" w:sz="4" w:space="0" w:color="auto"/>
              <w:right w:val="double" w:sz="4" w:space="0" w:color="auto"/>
            </w:tcBorders>
            <w:vAlign w:val="center"/>
          </w:tcPr>
          <w:p w14:paraId="200702FB" w14:textId="77777777" w:rsidR="001D4369" w:rsidRPr="00A669F0" w:rsidRDefault="001D4369" w:rsidP="000F4CC1">
            <w:pPr>
              <w:spacing w:before="0" w:after="0" w:line="259" w:lineRule="auto"/>
              <w:jc w:val="center"/>
              <w:rPr>
                <w:sz w:val="20"/>
                <w:szCs w:val="18"/>
              </w:rPr>
            </w:pPr>
            <w:r>
              <w:rPr>
                <w:sz w:val="20"/>
                <w:szCs w:val="18"/>
              </w:rPr>
              <w:t>-26%</w:t>
            </w:r>
          </w:p>
        </w:tc>
      </w:tr>
      <w:tr w:rsidR="001D4369" w14:paraId="14B5CC5B" w14:textId="77777777" w:rsidTr="00C64B27">
        <w:tc>
          <w:tcPr>
            <w:tcW w:w="1975" w:type="pct"/>
            <w:tcBorders>
              <w:left w:val="double" w:sz="4" w:space="0" w:color="auto"/>
              <w:bottom w:val="single" w:sz="4" w:space="0" w:color="000000"/>
              <w:right w:val="double" w:sz="4" w:space="0" w:color="auto"/>
            </w:tcBorders>
            <w:vAlign w:val="center"/>
          </w:tcPr>
          <w:p w14:paraId="45223D3D" w14:textId="77777777" w:rsidR="001D4369" w:rsidRPr="00124A76" w:rsidRDefault="001D4369" w:rsidP="000F4CC1">
            <w:pPr>
              <w:spacing w:before="0" w:after="0" w:line="259" w:lineRule="auto"/>
              <w:jc w:val="right"/>
              <w:rPr>
                <w:sz w:val="18"/>
                <w:szCs w:val="16"/>
              </w:rPr>
            </w:pPr>
            <w:r w:rsidRPr="00124A76">
              <w:rPr>
                <w:sz w:val="18"/>
                <w:szCs w:val="16"/>
              </w:rPr>
              <w:t>CS Ponente formación</w:t>
            </w:r>
          </w:p>
        </w:tc>
        <w:tc>
          <w:tcPr>
            <w:tcW w:w="1070" w:type="pct"/>
            <w:tcBorders>
              <w:left w:val="double" w:sz="4" w:space="0" w:color="auto"/>
            </w:tcBorders>
            <w:vAlign w:val="center"/>
          </w:tcPr>
          <w:p w14:paraId="4D942041" w14:textId="77777777" w:rsidR="001D4369" w:rsidRPr="00425BA2" w:rsidRDefault="001D4369" w:rsidP="000F4CC1">
            <w:pPr>
              <w:spacing w:before="0" w:after="0" w:line="259" w:lineRule="auto"/>
              <w:jc w:val="center"/>
              <w:rPr>
                <w:sz w:val="20"/>
                <w:szCs w:val="18"/>
              </w:rPr>
            </w:pPr>
            <w:r>
              <w:rPr>
                <w:sz w:val="20"/>
                <w:szCs w:val="18"/>
              </w:rPr>
              <w:t>3</w:t>
            </w:r>
          </w:p>
        </w:tc>
        <w:tc>
          <w:tcPr>
            <w:tcW w:w="1070" w:type="pct"/>
            <w:tcBorders>
              <w:right w:val="double" w:sz="4" w:space="0" w:color="auto"/>
            </w:tcBorders>
            <w:shd w:val="clear" w:color="auto" w:fill="auto"/>
            <w:vAlign w:val="center"/>
          </w:tcPr>
          <w:p w14:paraId="46A64850" w14:textId="77777777" w:rsidR="001D4369" w:rsidRPr="00B25800" w:rsidRDefault="001D4369" w:rsidP="000F4CC1">
            <w:pPr>
              <w:spacing w:before="0" w:after="0" w:line="259" w:lineRule="auto"/>
              <w:jc w:val="center"/>
              <w:rPr>
                <w:sz w:val="20"/>
                <w:szCs w:val="18"/>
              </w:rPr>
            </w:pPr>
            <w:r>
              <w:rPr>
                <w:sz w:val="20"/>
                <w:szCs w:val="18"/>
              </w:rPr>
              <w:t>5</w:t>
            </w:r>
          </w:p>
        </w:tc>
        <w:tc>
          <w:tcPr>
            <w:tcW w:w="885" w:type="pct"/>
            <w:tcBorders>
              <w:left w:val="double" w:sz="4" w:space="0" w:color="auto"/>
              <w:right w:val="double" w:sz="4" w:space="0" w:color="auto"/>
            </w:tcBorders>
            <w:vAlign w:val="center"/>
          </w:tcPr>
          <w:p w14:paraId="7430F1B6" w14:textId="77777777" w:rsidR="001D4369" w:rsidRPr="00A669F0" w:rsidRDefault="001D4369" w:rsidP="000F4CC1">
            <w:pPr>
              <w:spacing w:before="0" w:after="0" w:line="259" w:lineRule="auto"/>
              <w:jc w:val="center"/>
              <w:rPr>
                <w:sz w:val="20"/>
                <w:szCs w:val="18"/>
              </w:rPr>
            </w:pPr>
            <w:r>
              <w:rPr>
                <w:sz w:val="20"/>
                <w:szCs w:val="18"/>
              </w:rPr>
              <w:t>47%</w:t>
            </w:r>
          </w:p>
        </w:tc>
      </w:tr>
      <w:tr w:rsidR="001D4369" w14:paraId="44B8305C" w14:textId="77777777" w:rsidTr="00C64B27">
        <w:tc>
          <w:tcPr>
            <w:tcW w:w="1975" w:type="pct"/>
            <w:tcBorders>
              <w:left w:val="double" w:sz="4" w:space="0" w:color="auto"/>
              <w:bottom w:val="single" w:sz="4" w:space="0" w:color="000000"/>
              <w:right w:val="double" w:sz="4" w:space="0" w:color="auto"/>
            </w:tcBorders>
            <w:vAlign w:val="center"/>
          </w:tcPr>
          <w:p w14:paraId="1D6D6EA4" w14:textId="77777777" w:rsidR="001D4369" w:rsidRPr="00124A76" w:rsidRDefault="001D4369" w:rsidP="000F4CC1">
            <w:pPr>
              <w:spacing w:before="0" w:after="0" w:line="259" w:lineRule="auto"/>
              <w:jc w:val="right"/>
              <w:rPr>
                <w:sz w:val="18"/>
                <w:szCs w:val="16"/>
              </w:rPr>
            </w:pPr>
            <w:r w:rsidRPr="00124A76">
              <w:rPr>
                <w:sz w:val="18"/>
                <w:szCs w:val="16"/>
              </w:rPr>
              <w:t>CS Tribunales calificadores</w:t>
            </w:r>
          </w:p>
        </w:tc>
        <w:tc>
          <w:tcPr>
            <w:tcW w:w="1070" w:type="pct"/>
            <w:tcBorders>
              <w:left w:val="double" w:sz="4" w:space="0" w:color="auto"/>
            </w:tcBorders>
            <w:vAlign w:val="center"/>
          </w:tcPr>
          <w:p w14:paraId="0A3A4A2C" w14:textId="77777777" w:rsidR="001D4369" w:rsidRPr="00425BA2" w:rsidRDefault="001D4369" w:rsidP="000F4CC1">
            <w:pPr>
              <w:spacing w:before="0" w:after="0" w:line="259" w:lineRule="auto"/>
              <w:jc w:val="center"/>
              <w:rPr>
                <w:sz w:val="20"/>
                <w:szCs w:val="18"/>
              </w:rPr>
            </w:pPr>
            <w:r>
              <w:rPr>
                <w:sz w:val="20"/>
                <w:szCs w:val="18"/>
              </w:rPr>
              <w:t>1</w:t>
            </w:r>
          </w:p>
        </w:tc>
        <w:tc>
          <w:tcPr>
            <w:tcW w:w="1070" w:type="pct"/>
            <w:tcBorders>
              <w:right w:val="double" w:sz="4" w:space="0" w:color="auto"/>
            </w:tcBorders>
            <w:shd w:val="clear" w:color="auto" w:fill="auto"/>
            <w:vAlign w:val="center"/>
          </w:tcPr>
          <w:p w14:paraId="793C1D1F" w14:textId="77777777" w:rsidR="001D4369" w:rsidRPr="00B25800" w:rsidRDefault="001D4369" w:rsidP="000F4CC1">
            <w:pPr>
              <w:spacing w:before="0" w:after="0" w:line="259" w:lineRule="auto"/>
              <w:jc w:val="center"/>
              <w:rPr>
                <w:sz w:val="20"/>
                <w:szCs w:val="18"/>
              </w:rPr>
            </w:pPr>
            <w:r>
              <w:rPr>
                <w:sz w:val="20"/>
                <w:szCs w:val="18"/>
              </w:rPr>
              <w:t>3</w:t>
            </w:r>
          </w:p>
        </w:tc>
        <w:tc>
          <w:tcPr>
            <w:tcW w:w="885" w:type="pct"/>
            <w:tcBorders>
              <w:left w:val="double" w:sz="4" w:space="0" w:color="auto"/>
              <w:right w:val="double" w:sz="4" w:space="0" w:color="auto"/>
            </w:tcBorders>
            <w:vAlign w:val="center"/>
          </w:tcPr>
          <w:p w14:paraId="123635BC" w14:textId="77777777" w:rsidR="001D4369" w:rsidRPr="00A669F0" w:rsidRDefault="001D4369" w:rsidP="000F4CC1">
            <w:pPr>
              <w:spacing w:before="0" w:after="0" w:line="259" w:lineRule="auto"/>
              <w:jc w:val="center"/>
              <w:rPr>
                <w:sz w:val="20"/>
                <w:szCs w:val="18"/>
              </w:rPr>
            </w:pPr>
            <w:r>
              <w:rPr>
                <w:sz w:val="20"/>
                <w:szCs w:val="18"/>
              </w:rPr>
              <w:t>57%</w:t>
            </w:r>
          </w:p>
        </w:tc>
      </w:tr>
      <w:tr w:rsidR="001D4369" w14:paraId="138E10DA" w14:textId="77777777" w:rsidTr="00C64B27">
        <w:tc>
          <w:tcPr>
            <w:tcW w:w="1975" w:type="pct"/>
            <w:tcBorders>
              <w:left w:val="double" w:sz="4" w:space="0" w:color="auto"/>
              <w:bottom w:val="single" w:sz="4" w:space="0" w:color="000000"/>
              <w:right w:val="double" w:sz="4" w:space="0" w:color="auto"/>
            </w:tcBorders>
            <w:vAlign w:val="center"/>
          </w:tcPr>
          <w:p w14:paraId="692402B3" w14:textId="77777777" w:rsidR="001D4369" w:rsidRPr="00124A76" w:rsidRDefault="001D4369" w:rsidP="000F4CC1">
            <w:pPr>
              <w:spacing w:before="0" w:after="0" w:line="259" w:lineRule="auto"/>
              <w:jc w:val="right"/>
              <w:rPr>
                <w:sz w:val="18"/>
                <w:szCs w:val="16"/>
              </w:rPr>
            </w:pPr>
            <w:r w:rsidRPr="00124A76">
              <w:rPr>
                <w:sz w:val="18"/>
                <w:szCs w:val="16"/>
              </w:rPr>
              <w:t xml:space="preserve">CS </w:t>
            </w:r>
            <w:proofErr w:type="spellStart"/>
            <w:r w:rsidRPr="00124A76">
              <w:rPr>
                <w:sz w:val="18"/>
                <w:szCs w:val="16"/>
              </w:rPr>
              <w:t>Retrib</w:t>
            </w:r>
            <w:proofErr w:type="spellEnd"/>
            <w:r w:rsidRPr="00124A76">
              <w:rPr>
                <w:sz w:val="18"/>
                <w:szCs w:val="16"/>
              </w:rPr>
              <w:t>. Especie (vivienda)</w:t>
            </w:r>
          </w:p>
        </w:tc>
        <w:tc>
          <w:tcPr>
            <w:tcW w:w="1070" w:type="pct"/>
            <w:tcBorders>
              <w:left w:val="double" w:sz="4" w:space="0" w:color="auto"/>
            </w:tcBorders>
            <w:vAlign w:val="center"/>
          </w:tcPr>
          <w:p w14:paraId="25887F98" w14:textId="77777777" w:rsidR="001D4369" w:rsidRPr="00425BA2" w:rsidRDefault="001D4369" w:rsidP="000F4CC1">
            <w:pPr>
              <w:spacing w:before="0" w:after="0" w:line="259" w:lineRule="auto"/>
              <w:jc w:val="center"/>
              <w:rPr>
                <w:sz w:val="20"/>
                <w:szCs w:val="18"/>
              </w:rPr>
            </w:pPr>
            <w:r>
              <w:rPr>
                <w:sz w:val="20"/>
                <w:szCs w:val="18"/>
              </w:rPr>
              <w:t>0</w:t>
            </w:r>
          </w:p>
        </w:tc>
        <w:tc>
          <w:tcPr>
            <w:tcW w:w="1070" w:type="pct"/>
            <w:tcBorders>
              <w:right w:val="double" w:sz="4" w:space="0" w:color="auto"/>
            </w:tcBorders>
            <w:shd w:val="clear" w:color="auto" w:fill="auto"/>
            <w:vAlign w:val="center"/>
          </w:tcPr>
          <w:p w14:paraId="0093B9A6" w14:textId="77777777" w:rsidR="001D4369" w:rsidRPr="00B25800" w:rsidRDefault="001D4369" w:rsidP="000F4CC1">
            <w:pPr>
              <w:spacing w:before="0" w:after="0" w:line="259" w:lineRule="auto"/>
              <w:jc w:val="center"/>
              <w:rPr>
                <w:sz w:val="20"/>
                <w:szCs w:val="18"/>
              </w:rPr>
            </w:pPr>
            <w:r>
              <w:rPr>
                <w:sz w:val="20"/>
                <w:szCs w:val="18"/>
              </w:rPr>
              <w:t>2</w:t>
            </w:r>
          </w:p>
        </w:tc>
        <w:tc>
          <w:tcPr>
            <w:tcW w:w="885" w:type="pct"/>
            <w:tcBorders>
              <w:left w:val="double" w:sz="4" w:space="0" w:color="auto"/>
              <w:right w:val="double" w:sz="4" w:space="0" w:color="auto"/>
            </w:tcBorders>
            <w:vAlign w:val="center"/>
          </w:tcPr>
          <w:p w14:paraId="3E45B719" w14:textId="77777777" w:rsidR="001D4369" w:rsidRPr="00A669F0" w:rsidRDefault="001D4369" w:rsidP="000F4CC1">
            <w:pPr>
              <w:spacing w:before="0" w:after="0" w:line="259" w:lineRule="auto"/>
              <w:jc w:val="center"/>
              <w:rPr>
                <w:sz w:val="20"/>
                <w:szCs w:val="18"/>
              </w:rPr>
            </w:pPr>
            <w:r>
              <w:rPr>
                <w:sz w:val="20"/>
                <w:szCs w:val="18"/>
              </w:rPr>
              <w:t>100%</w:t>
            </w:r>
          </w:p>
        </w:tc>
      </w:tr>
      <w:tr w:rsidR="001D4369" w14:paraId="22ADB6C9" w14:textId="77777777" w:rsidTr="00C64B27">
        <w:tc>
          <w:tcPr>
            <w:tcW w:w="1975" w:type="pct"/>
            <w:tcBorders>
              <w:left w:val="double" w:sz="4" w:space="0" w:color="auto"/>
              <w:bottom w:val="single" w:sz="4" w:space="0" w:color="000000"/>
              <w:right w:val="double" w:sz="4" w:space="0" w:color="auto"/>
            </w:tcBorders>
            <w:vAlign w:val="center"/>
          </w:tcPr>
          <w:p w14:paraId="4C29472C" w14:textId="77777777" w:rsidR="001D4369" w:rsidRPr="00124A76" w:rsidRDefault="001D4369" w:rsidP="000F4CC1">
            <w:pPr>
              <w:spacing w:before="0" w:after="0" w:line="259" w:lineRule="auto"/>
              <w:jc w:val="right"/>
              <w:rPr>
                <w:sz w:val="18"/>
                <w:szCs w:val="16"/>
              </w:rPr>
            </w:pPr>
          </w:p>
        </w:tc>
        <w:tc>
          <w:tcPr>
            <w:tcW w:w="1070" w:type="pct"/>
            <w:tcBorders>
              <w:left w:val="double" w:sz="4" w:space="0" w:color="auto"/>
            </w:tcBorders>
            <w:vAlign w:val="center"/>
          </w:tcPr>
          <w:p w14:paraId="669C43DD" w14:textId="77777777" w:rsidR="001D4369" w:rsidRPr="00425BA2" w:rsidRDefault="001D4369" w:rsidP="000F4CC1">
            <w:pPr>
              <w:spacing w:before="0" w:after="0" w:line="259" w:lineRule="auto"/>
              <w:jc w:val="center"/>
              <w:rPr>
                <w:sz w:val="20"/>
                <w:szCs w:val="18"/>
              </w:rPr>
            </w:pPr>
          </w:p>
        </w:tc>
        <w:tc>
          <w:tcPr>
            <w:tcW w:w="1070" w:type="pct"/>
            <w:tcBorders>
              <w:right w:val="double" w:sz="4" w:space="0" w:color="auto"/>
            </w:tcBorders>
            <w:shd w:val="clear" w:color="auto" w:fill="auto"/>
            <w:vAlign w:val="center"/>
          </w:tcPr>
          <w:p w14:paraId="13E4702C" w14:textId="77777777" w:rsidR="001D4369" w:rsidRPr="00B25800" w:rsidRDefault="001D4369" w:rsidP="000F4CC1">
            <w:pPr>
              <w:spacing w:before="0" w:after="0" w:line="259" w:lineRule="auto"/>
              <w:jc w:val="center"/>
              <w:rPr>
                <w:sz w:val="20"/>
                <w:szCs w:val="18"/>
              </w:rPr>
            </w:pPr>
          </w:p>
        </w:tc>
        <w:tc>
          <w:tcPr>
            <w:tcW w:w="885" w:type="pct"/>
            <w:tcBorders>
              <w:left w:val="double" w:sz="4" w:space="0" w:color="auto"/>
              <w:right w:val="double" w:sz="4" w:space="0" w:color="auto"/>
            </w:tcBorders>
            <w:vAlign w:val="center"/>
          </w:tcPr>
          <w:p w14:paraId="3DAFF744" w14:textId="77777777" w:rsidR="001D4369" w:rsidRPr="00A669F0" w:rsidRDefault="001D4369" w:rsidP="000F4CC1">
            <w:pPr>
              <w:spacing w:before="0" w:after="0" w:line="259" w:lineRule="auto"/>
              <w:jc w:val="center"/>
              <w:rPr>
                <w:sz w:val="20"/>
                <w:szCs w:val="18"/>
              </w:rPr>
            </w:pPr>
          </w:p>
        </w:tc>
      </w:tr>
      <w:tr w:rsidR="001D4369" w14:paraId="6E166E1E" w14:textId="77777777" w:rsidTr="00C64B27">
        <w:tc>
          <w:tcPr>
            <w:tcW w:w="1975" w:type="pct"/>
            <w:tcBorders>
              <w:left w:val="double" w:sz="4" w:space="0" w:color="auto"/>
              <w:bottom w:val="single" w:sz="4" w:space="0" w:color="000000"/>
              <w:right w:val="double" w:sz="4" w:space="0" w:color="auto"/>
            </w:tcBorders>
            <w:vAlign w:val="center"/>
          </w:tcPr>
          <w:p w14:paraId="7D49F0A4" w14:textId="77777777" w:rsidR="001D4369" w:rsidRPr="00124A76" w:rsidRDefault="001D4369" w:rsidP="000F4CC1">
            <w:pPr>
              <w:spacing w:before="0" w:after="0" w:line="259" w:lineRule="auto"/>
              <w:jc w:val="right"/>
              <w:rPr>
                <w:sz w:val="18"/>
                <w:szCs w:val="16"/>
              </w:rPr>
            </w:pPr>
            <w:r w:rsidRPr="00124A76">
              <w:rPr>
                <w:sz w:val="18"/>
                <w:szCs w:val="16"/>
              </w:rPr>
              <w:t>CE Prestación IT S.S.</w:t>
            </w:r>
          </w:p>
        </w:tc>
        <w:tc>
          <w:tcPr>
            <w:tcW w:w="1070" w:type="pct"/>
            <w:tcBorders>
              <w:left w:val="double" w:sz="4" w:space="0" w:color="auto"/>
            </w:tcBorders>
            <w:vAlign w:val="center"/>
          </w:tcPr>
          <w:p w14:paraId="18A1C98D" w14:textId="77777777" w:rsidR="001D4369" w:rsidRPr="00425BA2" w:rsidRDefault="001D4369" w:rsidP="000F4CC1">
            <w:pPr>
              <w:spacing w:before="0" w:after="0" w:line="259" w:lineRule="auto"/>
              <w:jc w:val="center"/>
              <w:rPr>
                <w:sz w:val="20"/>
                <w:szCs w:val="18"/>
              </w:rPr>
            </w:pPr>
            <w:r>
              <w:rPr>
                <w:sz w:val="20"/>
                <w:szCs w:val="18"/>
              </w:rPr>
              <w:t>530</w:t>
            </w:r>
          </w:p>
        </w:tc>
        <w:tc>
          <w:tcPr>
            <w:tcW w:w="1070" w:type="pct"/>
            <w:tcBorders>
              <w:right w:val="double" w:sz="4" w:space="0" w:color="auto"/>
            </w:tcBorders>
            <w:shd w:val="clear" w:color="auto" w:fill="auto"/>
            <w:vAlign w:val="center"/>
          </w:tcPr>
          <w:p w14:paraId="11BDF760" w14:textId="77777777" w:rsidR="001D4369" w:rsidRPr="00B25800" w:rsidRDefault="001D4369" w:rsidP="000F4CC1">
            <w:pPr>
              <w:spacing w:before="0" w:after="0" w:line="259" w:lineRule="auto"/>
              <w:jc w:val="center"/>
              <w:rPr>
                <w:sz w:val="20"/>
                <w:szCs w:val="18"/>
              </w:rPr>
            </w:pPr>
            <w:r>
              <w:rPr>
                <w:sz w:val="20"/>
                <w:szCs w:val="18"/>
              </w:rPr>
              <w:t>443</w:t>
            </w:r>
          </w:p>
        </w:tc>
        <w:tc>
          <w:tcPr>
            <w:tcW w:w="885" w:type="pct"/>
            <w:tcBorders>
              <w:left w:val="double" w:sz="4" w:space="0" w:color="auto"/>
              <w:right w:val="double" w:sz="4" w:space="0" w:color="auto"/>
            </w:tcBorders>
            <w:vAlign w:val="center"/>
          </w:tcPr>
          <w:p w14:paraId="3FC7C67D" w14:textId="77777777" w:rsidR="001D4369" w:rsidRPr="00A669F0" w:rsidRDefault="001D4369" w:rsidP="000F4CC1">
            <w:pPr>
              <w:spacing w:before="0" w:after="0" w:line="259" w:lineRule="auto"/>
              <w:jc w:val="center"/>
              <w:rPr>
                <w:sz w:val="20"/>
                <w:szCs w:val="18"/>
              </w:rPr>
            </w:pPr>
            <w:r>
              <w:rPr>
                <w:sz w:val="20"/>
                <w:szCs w:val="18"/>
              </w:rPr>
              <w:t>-20%</w:t>
            </w:r>
          </w:p>
        </w:tc>
      </w:tr>
      <w:tr w:rsidR="001D4369" w14:paraId="73B72D87" w14:textId="77777777" w:rsidTr="00C64B27">
        <w:tc>
          <w:tcPr>
            <w:tcW w:w="1975" w:type="pct"/>
            <w:tcBorders>
              <w:left w:val="double" w:sz="4" w:space="0" w:color="auto"/>
              <w:bottom w:val="single" w:sz="4" w:space="0" w:color="000000"/>
              <w:right w:val="double" w:sz="4" w:space="0" w:color="auto"/>
            </w:tcBorders>
            <w:vAlign w:val="center"/>
          </w:tcPr>
          <w:p w14:paraId="6D8B6464" w14:textId="77777777" w:rsidR="001D4369" w:rsidRPr="00124A76" w:rsidRDefault="001D4369" w:rsidP="000F4CC1">
            <w:pPr>
              <w:spacing w:before="0" w:after="0" w:line="259" w:lineRule="auto"/>
              <w:jc w:val="right"/>
              <w:rPr>
                <w:sz w:val="18"/>
                <w:szCs w:val="16"/>
              </w:rPr>
            </w:pPr>
            <w:r w:rsidRPr="00124A76">
              <w:rPr>
                <w:sz w:val="18"/>
                <w:szCs w:val="16"/>
              </w:rPr>
              <w:t>CE Prestación Comp. IT empresa</w:t>
            </w:r>
          </w:p>
        </w:tc>
        <w:tc>
          <w:tcPr>
            <w:tcW w:w="1070" w:type="pct"/>
            <w:tcBorders>
              <w:left w:val="double" w:sz="4" w:space="0" w:color="auto"/>
            </w:tcBorders>
            <w:vAlign w:val="center"/>
          </w:tcPr>
          <w:p w14:paraId="179734F6" w14:textId="77777777" w:rsidR="001D4369" w:rsidRPr="00425BA2" w:rsidRDefault="001D4369" w:rsidP="000F4CC1">
            <w:pPr>
              <w:spacing w:before="0" w:after="0" w:line="259" w:lineRule="auto"/>
              <w:jc w:val="center"/>
              <w:rPr>
                <w:sz w:val="20"/>
                <w:szCs w:val="18"/>
              </w:rPr>
            </w:pPr>
            <w:r>
              <w:rPr>
                <w:sz w:val="20"/>
                <w:szCs w:val="18"/>
              </w:rPr>
              <w:t>193</w:t>
            </w:r>
          </w:p>
        </w:tc>
        <w:tc>
          <w:tcPr>
            <w:tcW w:w="1070" w:type="pct"/>
            <w:tcBorders>
              <w:right w:val="double" w:sz="4" w:space="0" w:color="auto"/>
            </w:tcBorders>
            <w:shd w:val="clear" w:color="auto" w:fill="auto"/>
            <w:vAlign w:val="center"/>
          </w:tcPr>
          <w:p w14:paraId="1ED772BF" w14:textId="77777777" w:rsidR="001D4369" w:rsidRPr="00B25800" w:rsidRDefault="001D4369" w:rsidP="000F4CC1">
            <w:pPr>
              <w:spacing w:before="0" w:after="0" w:line="259" w:lineRule="auto"/>
              <w:jc w:val="center"/>
              <w:rPr>
                <w:sz w:val="20"/>
                <w:szCs w:val="18"/>
              </w:rPr>
            </w:pPr>
            <w:r>
              <w:rPr>
                <w:sz w:val="20"/>
                <w:szCs w:val="18"/>
              </w:rPr>
              <w:t>145</w:t>
            </w:r>
          </w:p>
        </w:tc>
        <w:tc>
          <w:tcPr>
            <w:tcW w:w="885" w:type="pct"/>
            <w:tcBorders>
              <w:left w:val="double" w:sz="4" w:space="0" w:color="auto"/>
              <w:right w:val="double" w:sz="4" w:space="0" w:color="auto"/>
            </w:tcBorders>
            <w:vAlign w:val="center"/>
          </w:tcPr>
          <w:p w14:paraId="4A59D7C3" w14:textId="77777777" w:rsidR="001D4369" w:rsidRPr="00A669F0" w:rsidRDefault="001D4369" w:rsidP="000F4CC1">
            <w:pPr>
              <w:spacing w:before="0" w:after="0" w:line="259" w:lineRule="auto"/>
              <w:jc w:val="center"/>
              <w:rPr>
                <w:sz w:val="20"/>
                <w:szCs w:val="18"/>
              </w:rPr>
            </w:pPr>
            <w:r>
              <w:rPr>
                <w:sz w:val="20"/>
                <w:szCs w:val="18"/>
              </w:rPr>
              <w:t>-34%</w:t>
            </w:r>
          </w:p>
        </w:tc>
      </w:tr>
      <w:tr w:rsidR="001D4369" w14:paraId="2CF4815B" w14:textId="77777777" w:rsidTr="00C64B27">
        <w:tc>
          <w:tcPr>
            <w:tcW w:w="1975" w:type="pct"/>
            <w:tcBorders>
              <w:left w:val="double" w:sz="4" w:space="0" w:color="auto"/>
              <w:bottom w:val="single" w:sz="4" w:space="0" w:color="000000"/>
              <w:right w:val="double" w:sz="4" w:space="0" w:color="auto"/>
            </w:tcBorders>
            <w:vAlign w:val="center"/>
          </w:tcPr>
          <w:p w14:paraId="555A7E24" w14:textId="77777777" w:rsidR="001D4369" w:rsidRPr="00124A76" w:rsidRDefault="001D4369" w:rsidP="000F4CC1">
            <w:pPr>
              <w:spacing w:before="0" w:after="0" w:line="259" w:lineRule="auto"/>
              <w:jc w:val="right"/>
              <w:rPr>
                <w:sz w:val="18"/>
                <w:szCs w:val="16"/>
              </w:rPr>
            </w:pPr>
            <w:r w:rsidRPr="00124A76">
              <w:rPr>
                <w:sz w:val="18"/>
                <w:szCs w:val="16"/>
              </w:rPr>
              <w:t xml:space="preserve">CE </w:t>
            </w:r>
            <w:proofErr w:type="spellStart"/>
            <w:r w:rsidRPr="00124A76">
              <w:rPr>
                <w:sz w:val="18"/>
                <w:szCs w:val="16"/>
              </w:rPr>
              <w:t>Indemniz</w:t>
            </w:r>
            <w:proofErr w:type="spellEnd"/>
            <w:r w:rsidRPr="00124A76">
              <w:rPr>
                <w:sz w:val="18"/>
                <w:szCs w:val="16"/>
              </w:rPr>
              <w:t>. Extinción contrato</w:t>
            </w:r>
          </w:p>
        </w:tc>
        <w:tc>
          <w:tcPr>
            <w:tcW w:w="1070" w:type="pct"/>
            <w:tcBorders>
              <w:left w:val="double" w:sz="4" w:space="0" w:color="auto"/>
            </w:tcBorders>
            <w:vAlign w:val="center"/>
          </w:tcPr>
          <w:p w14:paraId="0BA60CB7" w14:textId="77777777" w:rsidR="001D4369" w:rsidRPr="00425BA2" w:rsidRDefault="001D4369" w:rsidP="000F4CC1">
            <w:pPr>
              <w:spacing w:before="0" w:after="0" w:line="259" w:lineRule="auto"/>
              <w:jc w:val="center"/>
              <w:rPr>
                <w:sz w:val="20"/>
                <w:szCs w:val="18"/>
              </w:rPr>
            </w:pPr>
            <w:r>
              <w:rPr>
                <w:sz w:val="20"/>
                <w:szCs w:val="18"/>
              </w:rPr>
              <w:t>37</w:t>
            </w:r>
          </w:p>
        </w:tc>
        <w:tc>
          <w:tcPr>
            <w:tcW w:w="1070" w:type="pct"/>
            <w:tcBorders>
              <w:right w:val="double" w:sz="4" w:space="0" w:color="auto"/>
            </w:tcBorders>
            <w:shd w:val="clear" w:color="auto" w:fill="auto"/>
            <w:vAlign w:val="center"/>
          </w:tcPr>
          <w:p w14:paraId="7C426F97" w14:textId="77777777" w:rsidR="001D4369" w:rsidRPr="00B25800" w:rsidRDefault="001D4369" w:rsidP="000F4CC1">
            <w:pPr>
              <w:spacing w:before="0" w:after="0" w:line="259" w:lineRule="auto"/>
              <w:jc w:val="center"/>
              <w:rPr>
                <w:sz w:val="20"/>
                <w:szCs w:val="18"/>
              </w:rPr>
            </w:pPr>
            <w:r>
              <w:rPr>
                <w:sz w:val="20"/>
                <w:szCs w:val="18"/>
              </w:rPr>
              <w:t>48</w:t>
            </w:r>
          </w:p>
        </w:tc>
        <w:tc>
          <w:tcPr>
            <w:tcW w:w="885" w:type="pct"/>
            <w:tcBorders>
              <w:left w:val="double" w:sz="4" w:space="0" w:color="auto"/>
              <w:right w:val="double" w:sz="4" w:space="0" w:color="auto"/>
            </w:tcBorders>
            <w:vAlign w:val="center"/>
          </w:tcPr>
          <w:p w14:paraId="1BBFED04" w14:textId="77777777" w:rsidR="001D4369" w:rsidRPr="00A669F0" w:rsidRDefault="001D4369" w:rsidP="000F4CC1">
            <w:pPr>
              <w:spacing w:before="0" w:after="0" w:line="259" w:lineRule="auto"/>
              <w:jc w:val="center"/>
              <w:rPr>
                <w:sz w:val="20"/>
                <w:szCs w:val="18"/>
              </w:rPr>
            </w:pPr>
            <w:r>
              <w:rPr>
                <w:sz w:val="20"/>
                <w:szCs w:val="18"/>
              </w:rPr>
              <w:t>23%</w:t>
            </w:r>
          </w:p>
        </w:tc>
      </w:tr>
      <w:tr w:rsidR="001D4369" w14:paraId="2E7681D7" w14:textId="77777777" w:rsidTr="00C64B27">
        <w:tc>
          <w:tcPr>
            <w:tcW w:w="1975" w:type="pct"/>
            <w:tcBorders>
              <w:left w:val="double" w:sz="4" w:space="0" w:color="auto"/>
              <w:bottom w:val="single" w:sz="4" w:space="0" w:color="000000"/>
              <w:right w:val="double" w:sz="4" w:space="0" w:color="auto"/>
            </w:tcBorders>
            <w:vAlign w:val="center"/>
          </w:tcPr>
          <w:p w14:paraId="3B133DCD" w14:textId="77777777" w:rsidR="001D4369" w:rsidRPr="00124A76" w:rsidRDefault="001D4369" w:rsidP="000F4CC1">
            <w:pPr>
              <w:spacing w:before="0" w:after="0" w:line="259" w:lineRule="auto"/>
              <w:jc w:val="right"/>
              <w:rPr>
                <w:sz w:val="18"/>
                <w:szCs w:val="16"/>
              </w:rPr>
            </w:pPr>
            <w:r w:rsidRPr="00124A76">
              <w:rPr>
                <w:sz w:val="18"/>
                <w:szCs w:val="16"/>
              </w:rPr>
              <w:t>CE Salarios tramitación</w:t>
            </w:r>
          </w:p>
        </w:tc>
        <w:tc>
          <w:tcPr>
            <w:tcW w:w="1070" w:type="pct"/>
            <w:tcBorders>
              <w:left w:val="double" w:sz="4" w:space="0" w:color="auto"/>
            </w:tcBorders>
            <w:vAlign w:val="center"/>
          </w:tcPr>
          <w:p w14:paraId="6C36AEB9" w14:textId="77777777" w:rsidR="001D4369" w:rsidRPr="00425BA2" w:rsidRDefault="001D4369" w:rsidP="000F4CC1">
            <w:pPr>
              <w:spacing w:before="0" w:after="0" w:line="259" w:lineRule="auto"/>
              <w:jc w:val="center"/>
              <w:rPr>
                <w:sz w:val="20"/>
                <w:szCs w:val="18"/>
              </w:rPr>
            </w:pPr>
            <w:r w:rsidRPr="00F0728C">
              <w:rPr>
                <w:sz w:val="20"/>
                <w:szCs w:val="18"/>
              </w:rPr>
              <w:t>-2</w:t>
            </w:r>
          </w:p>
        </w:tc>
        <w:tc>
          <w:tcPr>
            <w:tcW w:w="1070" w:type="pct"/>
            <w:tcBorders>
              <w:right w:val="double" w:sz="4" w:space="0" w:color="auto"/>
            </w:tcBorders>
            <w:shd w:val="clear" w:color="auto" w:fill="auto"/>
            <w:vAlign w:val="center"/>
          </w:tcPr>
          <w:p w14:paraId="08D9D377" w14:textId="77777777" w:rsidR="001D4369" w:rsidRPr="00B25800" w:rsidRDefault="001D4369" w:rsidP="000F4CC1">
            <w:pPr>
              <w:spacing w:before="0" w:after="0" w:line="259" w:lineRule="auto"/>
              <w:jc w:val="center"/>
              <w:rPr>
                <w:sz w:val="20"/>
                <w:szCs w:val="18"/>
              </w:rPr>
            </w:pPr>
            <w:r>
              <w:rPr>
                <w:sz w:val="20"/>
                <w:szCs w:val="18"/>
              </w:rPr>
              <w:t>0</w:t>
            </w:r>
          </w:p>
        </w:tc>
        <w:tc>
          <w:tcPr>
            <w:tcW w:w="885" w:type="pct"/>
            <w:tcBorders>
              <w:left w:val="double" w:sz="4" w:space="0" w:color="auto"/>
              <w:right w:val="double" w:sz="4" w:space="0" w:color="auto"/>
            </w:tcBorders>
            <w:vAlign w:val="center"/>
          </w:tcPr>
          <w:p w14:paraId="27923135" w14:textId="77777777" w:rsidR="001D4369" w:rsidRPr="00A669F0" w:rsidRDefault="001D4369" w:rsidP="000F4CC1">
            <w:pPr>
              <w:spacing w:before="0" w:after="0" w:line="259" w:lineRule="auto"/>
              <w:jc w:val="center"/>
              <w:rPr>
                <w:sz w:val="20"/>
                <w:szCs w:val="18"/>
              </w:rPr>
            </w:pPr>
            <w:r>
              <w:rPr>
                <w:sz w:val="20"/>
                <w:szCs w:val="18"/>
              </w:rPr>
              <w:t>-</w:t>
            </w:r>
          </w:p>
        </w:tc>
      </w:tr>
      <w:tr w:rsidR="001D4369" w14:paraId="7284C402" w14:textId="77777777" w:rsidTr="00C64B27">
        <w:tc>
          <w:tcPr>
            <w:tcW w:w="1975" w:type="pct"/>
            <w:tcBorders>
              <w:left w:val="double" w:sz="4" w:space="0" w:color="auto"/>
              <w:bottom w:val="single" w:sz="4" w:space="0" w:color="000000"/>
              <w:right w:val="double" w:sz="4" w:space="0" w:color="auto"/>
            </w:tcBorders>
            <w:vAlign w:val="center"/>
          </w:tcPr>
          <w:p w14:paraId="135FE8CE" w14:textId="77777777" w:rsidR="001D4369" w:rsidRPr="00124A76" w:rsidRDefault="001D4369" w:rsidP="000F4CC1">
            <w:pPr>
              <w:spacing w:before="0" w:after="0" w:line="259" w:lineRule="auto"/>
              <w:jc w:val="right"/>
              <w:rPr>
                <w:sz w:val="18"/>
                <w:szCs w:val="16"/>
              </w:rPr>
            </w:pPr>
            <w:r w:rsidRPr="00124A76">
              <w:rPr>
                <w:sz w:val="18"/>
                <w:szCs w:val="16"/>
              </w:rPr>
              <w:t>CE Ayudas Sociales</w:t>
            </w:r>
          </w:p>
        </w:tc>
        <w:tc>
          <w:tcPr>
            <w:tcW w:w="1070" w:type="pct"/>
            <w:tcBorders>
              <w:left w:val="double" w:sz="4" w:space="0" w:color="auto"/>
            </w:tcBorders>
            <w:vAlign w:val="center"/>
          </w:tcPr>
          <w:p w14:paraId="6172D630" w14:textId="77777777" w:rsidR="001D4369" w:rsidRPr="00425BA2" w:rsidRDefault="001D4369" w:rsidP="000F4CC1">
            <w:pPr>
              <w:spacing w:before="0" w:after="0" w:line="259" w:lineRule="auto"/>
              <w:jc w:val="center"/>
              <w:rPr>
                <w:sz w:val="20"/>
                <w:szCs w:val="18"/>
              </w:rPr>
            </w:pPr>
            <w:r>
              <w:rPr>
                <w:sz w:val="20"/>
                <w:szCs w:val="18"/>
              </w:rPr>
              <w:t>30</w:t>
            </w:r>
          </w:p>
        </w:tc>
        <w:tc>
          <w:tcPr>
            <w:tcW w:w="1070" w:type="pct"/>
            <w:tcBorders>
              <w:right w:val="double" w:sz="4" w:space="0" w:color="auto"/>
            </w:tcBorders>
            <w:shd w:val="clear" w:color="auto" w:fill="auto"/>
            <w:vAlign w:val="center"/>
          </w:tcPr>
          <w:p w14:paraId="0D8FE7DA" w14:textId="77777777" w:rsidR="001D4369" w:rsidRPr="00B25800" w:rsidRDefault="001D4369" w:rsidP="000F4CC1">
            <w:pPr>
              <w:spacing w:before="0" w:after="0" w:line="259" w:lineRule="auto"/>
              <w:jc w:val="center"/>
              <w:rPr>
                <w:sz w:val="20"/>
                <w:szCs w:val="18"/>
              </w:rPr>
            </w:pPr>
            <w:r>
              <w:rPr>
                <w:sz w:val="20"/>
                <w:szCs w:val="18"/>
              </w:rPr>
              <w:t>30</w:t>
            </w:r>
          </w:p>
        </w:tc>
        <w:tc>
          <w:tcPr>
            <w:tcW w:w="885" w:type="pct"/>
            <w:tcBorders>
              <w:left w:val="double" w:sz="4" w:space="0" w:color="auto"/>
              <w:right w:val="double" w:sz="4" w:space="0" w:color="auto"/>
            </w:tcBorders>
            <w:vAlign w:val="center"/>
          </w:tcPr>
          <w:p w14:paraId="64BE45B3" w14:textId="77777777" w:rsidR="001D4369" w:rsidRPr="00A669F0" w:rsidRDefault="001D4369" w:rsidP="000F4CC1">
            <w:pPr>
              <w:spacing w:before="0" w:after="0" w:line="259" w:lineRule="auto"/>
              <w:jc w:val="center"/>
              <w:rPr>
                <w:sz w:val="20"/>
                <w:szCs w:val="18"/>
              </w:rPr>
            </w:pPr>
            <w:r>
              <w:rPr>
                <w:sz w:val="20"/>
                <w:szCs w:val="18"/>
              </w:rPr>
              <w:t>-3%</w:t>
            </w:r>
          </w:p>
        </w:tc>
      </w:tr>
      <w:tr w:rsidR="001D4369" w14:paraId="54DDB799" w14:textId="77777777" w:rsidTr="00C64B27">
        <w:tc>
          <w:tcPr>
            <w:tcW w:w="1975" w:type="pct"/>
            <w:tcBorders>
              <w:top w:val="single" w:sz="4" w:space="0" w:color="000000"/>
              <w:left w:val="double" w:sz="4" w:space="0" w:color="auto"/>
              <w:bottom w:val="double" w:sz="4" w:space="0" w:color="auto"/>
              <w:right w:val="double" w:sz="4" w:space="0" w:color="auto"/>
            </w:tcBorders>
            <w:vAlign w:val="center"/>
          </w:tcPr>
          <w:p w14:paraId="2E097F98" w14:textId="77777777" w:rsidR="001D4369" w:rsidRPr="00860ADE" w:rsidRDefault="001D4369" w:rsidP="000F4CC1">
            <w:pPr>
              <w:spacing w:before="0" w:after="0" w:line="259" w:lineRule="auto"/>
              <w:jc w:val="right"/>
              <w:rPr>
                <w:b/>
                <w:bCs/>
                <w:sz w:val="20"/>
                <w:szCs w:val="18"/>
              </w:rPr>
            </w:pPr>
            <w:r>
              <w:rPr>
                <w:b/>
                <w:bCs/>
                <w:sz w:val="20"/>
                <w:szCs w:val="18"/>
              </w:rPr>
              <w:t>TOTAL</w:t>
            </w:r>
          </w:p>
        </w:tc>
        <w:tc>
          <w:tcPr>
            <w:tcW w:w="1070" w:type="pct"/>
            <w:tcBorders>
              <w:left w:val="double" w:sz="4" w:space="0" w:color="auto"/>
              <w:bottom w:val="double" w:sz="4" w:space="0" w:color="auto"/>
            </w:tcBorders>
            <w:vAlign w:val="center"/>
          </w:tcPr>
          <w:p w14:paraId="3D70A663" w14:textId="77777777" w:rsidR="001D4369" w:rsidRPr="0090044E" w:rsidRDefault="001D4369" w:rsidP="000F4CC1">
            <w:pPr>
              <w:spacing w:before="0" w:after="0" w:line="259" w:lineRule="auto"/>
              <w:jc w:val="center"/>
              <w:rPr>
                <w:rFonts w:eastAsiaTheme="majorEastAsia" w:cstheme="majorBidi"/>
                <w:b/>
                <w:bCs/>
                <w:snapToGrid w:val="0"/>
                <w:color w:val="78BE20"/>
                <w:szCs w:val="26"/>
              </w:rPr>
            </w:pPr>
            <w:r>
              <w:rPr>
                <w:b/>
                <w:bCs/>
                <w:sz w:val="20"/>
                <w:szCs w:val="18"/>
              </w:rPr>
              <w:t>14.576</w:t>
            </w:r>
          </w:p>
        </w:tc>
        <w:tc>
          <w:tcPr>
            <w:tcW w:w="1070" w:type="pct"/>
            <w:tcBorders>
              <w:bottom w:val="double" w:sz="4" w:space="0" w:color="auto"/>
              <w:right w:val="double" w:sz="4" w:space="0" w:color="auto"/>
            </w:tcBorders>
            <w:shd w:val="clear" w:color="auto" w:fill="auto"/>
            <w:vAlign w:val="center"/>
          </w:tcPr>
          <w:p w14:paraId="25ABF856" w14:textId="77777777" w:rsidR="001D4369" w:rsidRPr="0090044E" w:rsidRDefault="001D4369" w:rsidP="000F4CC1">
            <w:pPr>
              <w:spacing w:before="0" w:after="0" w:line="259" w:lineRule="auto"/>
              <w:jc w:val="center"/>
              <w:rPr>
                <w:b/>
                <w:bCs/>
                <w:sz w:val="20"/>
                <w:szCs w:val="18"/>
              </w:rPr>
            </w:pPr>
            <w:r>
              <w:rPr>
                <w:b/>
                <w:bCs/>
                <w:sz w:val="20"/>
                <w:szCs w:val="18"/>
              </w:rPr>
              <w:t>17.074</w:t>
            </w:r>
          </w:p>
        </w:tc>
        <w:tc>
          <w:tcPr>
            <w:tcW w:w="885" w:type="pct"/>
            <w:tcBorders>
              <w:left w:val="double" w:sz="4" w:space="0" w:color="auto"/>
              <w:bottom w:val="double" w:sz="4" w:space="0" w:color="auto"/>
              <w:right w:val="double" w:sz="4" w:space="0" w:color="auto"/>
            </w:tcBorders>
            <w:vAlign w:val="center"/>
          </w:tcPr>
          <w:p w14:paraId="5162C2F3" w14:textId="77777777" w:rsidR="001D4369" w:rsidRPr="0090044E" w:rsidRDefault="001D4369" w:rsidP="000F4CC1">
            <w:pPr>
              <w:spacing w:before="0" w:after="0" w:line="259" w:lineRule="auto"/>
              <w:jc w:val="center"/>
              <w:rPr>
                <w:b/>
                <w:bCs/>
                <w:sz w:val="20"/>
                <w:szCs w:val="18"/>
              </w:rPr>
            </w:pPr>
            <w:r>
              <w:rPr>
                <w:b/>
                <w:bCs/>
                <w:sz w:val="20"/>
                <w:szCs w:val="18"/>
              </w:rPr>
              <w:t>15%</w:t>
            </w:r>
          </w:p>
        </w:tc>
      </w:tr>
    </w:tbl>
    <w:p w14:paraId="58D941D2" w14:textId="77777777" w:rsidR="001D4369" w:rsidRDefault="001D4369" w:rsidP="001D4369"/>
    <w:p w14:paraId="0FB14F52" w14:textId="3EC346F9" w:rsidR="00A63528" w:rsidRDefault="00A63528" w:rsidP="00A63528">
      <w:r>
        <w:rPr>
          <w:b/>
          <w:bCs/>
        </w:rPr>
        <w:t xml:space="preserve">La desviación en el promedio </w:t>
      </w:r>
      <w:r w:rsidRPr="006C057A">
        <w:rPr>
          <w:b/>
          <w:bCs/>
        </w:rPr>
        <w:t>no habla de que a una empleada pública se le pague menos por el hecho de ser mujer.</w:t>
      </w:r>
      <w:r>
        <w:t xml:space="preserve"> Esto sería constitutivo de discriminación directa por razón de sexo, e indiscutiblemente esta realidad no existe en la Administración General. </w:t>
      </w:r>
      <w:r w:rsidRPr="00A63528">
        <w:t>De lo que habla el indicador es del impacto que ciertos obstáculos del sistema producen sobre el alcance de la plena igualdad.</w:t>
      </w:r>
    </w:p>
    <w:p w14:paraId="1AF0014D" w14:textId="77777777" w:rsidR="00A63528" w:rsidRDefault="00A63528" w:rsidP="00A63528">
      <w:r w:rsidRPr="00A63528">
        <w:rPr>
          <w:b/>
          <w:bCs/>
        </w:rPr>
        <w:t>El primer tipo de obstáculos está relacionado con características propias del empleo y con las circunstancias de las personas trabajadoras</w:t>
      </w:r>
      <w:r>
        <w:t xml:space="preserve"> (relación laboral, grupo de clasificación, nivel, la antigüedad, horas trabajadas al año e, incluso, menor poder de negociación de las trabajadoras a resultas de su menor afiliación sindical, etc.). </w:t>
      </w:r>
      <w:r w:rsidRPr="00C167C1">
        <w:t>Varias de estas características o circunstancias están asociadas a conceptos retributivos que no tienen un impacto de género negativo en las retribuciones.</w:t>
      </w:r>
      <w:r>
        <w:t xml:space="preserve"> Son todos aquellos con una brecha salarial cercana a 0, por ejemplo: CS Antigüedad, CS Categoría o el CS Ayudas Sociales. </w:t>
      </w:r>
    </w:p>
    <w:p w14:paraId="5481F11F" w14:textId="0D1318C0" w:rsidR="00A63528" w:rsidRDefault="00A63528" w:rsidP="00A63528">
      <w:r>
        <w:t xml:space="preserve">Pero la mayoría de los conceptos tiene un impacto negativo. Muchos de ellos, bien sean fijos (Salario Base) o variables (Paga Extraordinaria, prestaciones IT, indemnizaciones, etc.) afectan a personas concretas y dependen de sus circunstancias específicas. Variaciones en estas circunstancias derivan en el resultado de la brecha salarial. Por otro lado, el CS de Paga extraordinaria tiene un importe equivalente a </w:t>
      </w:r>
      <w:r w:rsidRPr="00A21719">
        <w:rPr>
          <w:i/>
          <w:iCs/>
        </w:rPr>
        <w:t>una mensualidad de sueldo, trienios, complemento de categoría y complemento de puesto</w:t>
      </w:r>
      <w:r>
        <w:rPr>
          <w:i/>
          <w:iCs/>
        </w:rPr>
        <w:t xml:space="preserve">, </w:t>
      </w:r>
      <w:r>
        <w:t>tal y como dicta el artículo 21 del Convenio. Por consiguiente, esta diferencia salarial se ve afectada tanto por la cuantía de Salario Base ya referida, la mayor antigüedad masculina (particularmente relevante a partir de los 30 años, con el cúmulo de trienios que eso supone) y, sobre todo, por el impacto del CS de Puesto.</w:t>
      </w:r>
    </w:p>
    <w:p w14:paraId="243E5055" w14:textId="5403308D" w:rsidR="00A63528" w:rsidRDefault="00A63528" w:rsidP="00A63528">
      <w:r>
        <w:t>El segundo tipo de obstáculos a la plena igualdad salarial</w:t>
      </w:r>
      <w:r w:rsidRPr="00C167C1">
        <w:t xml:space="preserve"> muestra relación con la división por género del trabajo</w:t>
      </w:r>
      <w:r>
        <w:t xml:space="preserve"> y con los acuerdos que se toman en el seno de las “unidades de decisión” de las personas (familias, generalmente) acerca de los usos del tiempo y sus implicaciones, entre ellas el coste de oportunidad. Este podría ser el caso del CS Festivos o el del CS Nocturno, con una brecha del 84% de brecha. </w:t>
      </w:r>
    </w:p>
    <w:p w14:paraId="059C83E1" w14:textId="222304E4" w:rsidR="00A63528" w:rsidRDefault="00A63528" w:rsidP="00A63528">
      <w:r w:rsidRPr="00C167C1">
        <w:t>Una lectura de género también puede aplicarse a las brechas de aquellos complementos que premian la presencia y el cargo,</w:t>
      </w:r>
      <w:r>
        <w:t xml:space="preserve"> como el CS Ponente formación y el CS Tribunales Calificadores. Respecto a este último complemento, ya se analizó en páginas anteriores la escasa presencia de mujeres en los cargos de Presidencia de los Tribunales calificadores (apenas llega al 9% en los Servicios Generales). </w:t>
      </w:r>
    </w:p>
    <w:p w14:paraId="124AF430" w14:textId="1B43E15C" w:rsidR="00A63528" w:rsidRDefault="00A63528" w:rsidP="00A63528">
      <w:r>
        <w:t>Adicionalmente, e</w:t>
      </w:r>
      <w:r w:rsidRPr="00C167C1">
        <w:t xml:space="preserve">l método de valoración de puestos de trabajo </w:t>
      </w:r>
      <w:r>
        <w:t xml:space="preserve">suele ser el principal motivador de la brecha salarial de género. Indagar si el sistema salarial de una organización es o no es discriminatorio, obliga a conocer las cantidades de Salario Base y valorar si las diferencias estipuladas en Convenio son justificables según el valor que aportan los puestos, y también a estudiar las características de los Complementos salariales, atendiendo a las circunstancias o cualidades personales que se premian, a las condiciones de desempeño y a otros aspectos </w:t>
      </w:r>
      <w:proofErr w:type="spellStart"/>
      <w:r>
        <w:t>retribuibles</w:t>
      </w:r>
      <w:proofErr w:type="spellEnd"/>
      <w:r>
        <w:t xml:space="preserve"> en la organización. </w:t>
      </w:r>
    </w:p>
    <w:p w14:paraId="2121E5DB" w14:textId="4C4DA6A0" w:rsidR="00A63528" w:rsidRDefault="00A63528" w:rsidP="00A63528">
      <w:r>
        <w:t xml:space="preserve">En este sentido, </w:t>
      </w:r>
      <w:r w:rsidRPr="00DC0751">
        <w:rPr>
          <w:b/>
          <w:bCs/>
        </w:rPr>
        <w:t xml:space="preserve">aplicar la perspectiva feminista al sistema de valoración de puestos obliga a desenmascarar los prejuicios históricos sobre el valor de los trabajos realizados mayoritariamente por mujeres, </w:t>
      </w:r>
      <w:r>
        <w:t xml:space="preserve">y a poner en cuestión los métodos tradicionales de valoración, que se conciben generalmente a partir de las características y exigencias de los empleos masculinizados. Por ejemplo, de los resultados de brechas promediadas se desprende que </w:t>
      </w:r>
      <w:r w:rsidRPr="00DC0751">
        <w:rPr>
          <w:b/>
          <w:bCs/>
        </w:rPr>
        <w:t>existe un considerable número de Complementos Salariales que están asociados exclusivamente a puestos masculinizados</w:t>
      </w:r>
      <w:r w:rsidR="00CC57F4">
        <w:rPr>
          <w:b/>
          <w:bCs/>
        </w:rPr>
        <w:t xml:space="preserve"> </w:t>
      </w:r>
      <w:r w:rsidR="00CC57F4" w:rsidRPr="00CC57F4">
        <w:t>(</w:t>
      </w:r>
      <w:r>
        <w:t>CS Extinción de incendios, CS Reservas, CS Alerta invernal, CS Guardias, CS Presencia comida, CS Viveros y Choperas, Cs Servicio Extinción y nieve</w:t>
      </w:r>
      <w:r w:rsidR="00CC57F4">
        <w:t>)</w:t>
      </w:r>
      <w:r>
        <w:t>.</w:t>
      </w:r>
    </w:p>
    <w:p w14:paraId="36E488DD" w14:textId="54F6E0EE" w:rsidR="001D4369" w:rsidRDefault="002A61A4" w:rsidP="002A61A4">
      <w:r>
        <w:t>Por otro lado, l</w:t>
      </w:r>
      <w:r w:rsidRPr="002A61A4">
        <w:t>a distancia entre los resultados de brecha del promedio y de la mediana es claramente llamativa</w:t>
      </w:r>
      <w:r>
        <w:t>:</w:t>
      </w:r>
    </w:p>
    <w:tbl>
      <w:tblPr>
        <w:tblStyle w:val="Tablaconcuadrcula"/>
        <w:tblW w:w="4938" w:type="pct"/>
        <w:tblInd w:w="108" w:type="dxa"/>
        <w:tblLook w:val="04A0" w:firstRow="1" w:lastRow="0" w:firstColumn="1" w:lastColumn="0" w:noHBand="0" w:noVBand="1"/>
      </w:tblPr>
      <w:tblGrid>
        <w:gridCol w:w="3402"/>
        <w:gridCol w:w="1843"/>
        <w:gridCol w:w="1843"/>
        <w:gridCol w:w="1524"/>
      </w:tblGrid>
      <w:tr w:rsidR="001D4369" w14:paraId="02F16617" w14:textId="77777777" w:rsidTr="00C64B27">
        <w:trPr>
          <w:trHeight w:val="656"/>
        </w:trPr>
        <w:tc>
          <w:tcPr>
            <w:tcW w:w="5000" w:type="pct"/>
            <w:gridSpan w:val="4"/>
            <w:tcBorders>
              <w:top w:val="double" w:sz="4" w:space="0" w:color="auto"/>
              <w:left w:val="double" w:sz="4" w:space="0" w:color="auto"/>
              <w:right w:val="double" w:sz="4" w:space="0" w:color="auto"/>
            </w:tcBorders>
            <w:shd w:val="clear" w:color="auto" w:fill="78BE20"/>
            <w:vAlign w:val="center"/>
          </w:tcPr>
          <w:p w14:paraId="36D4208C" w14:textId="4D6C6F9C" w:rsidR="001D4369" w:rsidRDefault="001D4369" w:rsidP="000F4CC1">
            <w:pPr>
              <w:widowControl w:val="0"/>
              <w:spacing w:before="0" w:after="0" w:line="240" w:lineRule="auto"/>
              <w:jc w:val="left"/>
              <w:rPr>
                <w:rFonts w:eastAsiaTheme="majorEastAsia" w:cstheme="majorBidi"/>
                <w:b/>
                <w:bCs/>
                <w:snapToGrid w:val="0"/>
                <w:color w:val="78BE20"/>
                <w:szCs w:val="26"/>
              </w:rPr>
            </w:pPr>
            <w:r>
              <w:rPr>
                <w:rFonts w:ascii="Helvetica" w:hAnsi="Helvetica" w:cs="Helvetica"/>
                <w:b/>
                <w:bCs/>
                <w:color w:val="FFFFFF" w:themeColor="background1"/>
                <w:szCs w:val="20"/>
              </w:rPr>
              <w:t xml:space="preserve">Tabla </w:t>
            </w:r>
            <w:r w:rsidR="00A20210">
              <w:rPr>
                <w:rFonts w:ascii="Helvetica" w:hAnsi="Helvetica" w:cs="Helvetica"/>
                <w:b/>
                <w:bCs/>
                <w:color w:val="FFFFFF" w:themeColor="background1"/>
                <w:szCs w:val="20"/>
              </w:rPr>
              <w:t>14</w:t>
            </w:r>
            <w:r>
              <w:rPr>
                <w:rFonts w:ascii="Helvetica" w:hAnsi="Helvetica" w:cs="Helvetica"/>
                <w:b/>
                <w:bCs/>
                <w:color w:val="FFFFFF" w:themeColor="background1"/>
                <w:szCs w:val="20"/>
              </w:rPr>
              <w:t>. Mediana</w:t>
            </w:r>
            <w:r>
              <w:rPr>
                <w:rStyle w:val="Refdenotaalpie"/>
                <w:rFonts w:ascii="Helvetica" w:hAnsi="Helvetica" w:cs="Helvetica"/>
                <w:b/>
                <w:bCs/>
                <w:color w:val="FFFFFF" w:themeColor="background1"/>
                <w:szCs w:val="20"/>
              </w:rPr>
              <w:footnoteReference w:id="5"/>
            </w:r>
            <w:r>
              <w:rPr>
                <w:rFonts w:ascii="Helvetica" w:hAnsi="Helvetica" w:cs="Helvetica"/>
                <w:b/>
                <w:bCs/>
                <w:color w:val="FFFFFF" w:themeColor="background1"/>
                <w:szCs w:val="20"/>
              </w:rPr>
              <w:t xml:space="preserve"> y brecha de género en las retribuciones efectivas del personal laboral por concepto retributivo</w:t>
            </w:r>
            <w:r w:rsidR="00983982">
              <w:rPr>
                <w:rFonts w:ascii="Helvetica" w:hAnsi="Helvetica" w:cs="Helvetica"/>
                <w:b/>
                <w:bCs/>
                <w:color w:val="FFFFFF" w:themeColor="background1"/>
                <w:szCs w:val="20"/>
              </w:rPr>
              <w:t>, en los conceptos percibidos simultáneamente por mujeres y hombres</w:t>
            </w:r>
          </w:p>
        </w:tc>
      </w:tr>
      <w:tr w:rsidR="001D4369" w14:paraId="5C36D752" w14:textId="77777777" w:rsidTr="00C64B27">
        <w:trPr>
          <w:trHeight w:val="425"/>
        </w:trPr>
        <w:tc>
          <w:tcPr>
            <w:tcW w:w="1975" w:type="pct"/>
            <w:vMerge w:val="restart"/>
            <w:tcBorders>
              <w:top w:val="double" w:sz="4" w:space="0" w:color="auto"/>
              <w:left w:val="double" w:sz="4" w:space="0" w:color="auto"/>
              <w:right w:val="double" w:sz="4" w:space="0" w:color="auto"/>
            </w:tcBorders>
            <w:vAlign w:val="center"/>
          </w:tcPr>
          <w:p w14:paraId="01E641EC" w14:textId="77777777" w:rsidR="001D4369" w:rsidRDefault="001D4369" w:rsidP="000F4CC1">
            <w:pPr>
              <w:spacing w:before="0" w:after="0" w:line="259" w:lineRule="auto"/>
              <w:jc w:val="right"/>
              <w:rPr>
                <w:rFonts w:eastAsiaTheme="majorEastAsia" w:cstheme="majorBidi"/>
                <w:b/>
                <w:bCs/>
                <w:snapToGrid w:val="0"/>
                <w:color w:val="78BE20"/>
                <w:szCs w:val="26"/>
              </w:rPr>
            </w:pPr>
            <w:r>
              <w:rPr>
                <w:rFonts w:eastAsiaTheme="majorEastAsia" w:cstheme="majorBidi"/>
                <w:b/>
                <w:bCs/>
                <w:snapToGrid w:val="0"/>
                <w:color w:val="78BE20"/>
                <w:szCs w:val="26"/>
              </w:rPr>
              <w:t>CONCEPTO</w:t>
            </w:r>
          </w:p>
        </w:tc>
        <w:tc>
          <w:tcPr>
            <w:tcW w:w="2140" w:type="pct"/>
            <w:gridSpan w:val="2"/>
            <w:tcBorders>
              <w:top w:val="double" w:sz="4" w:space="0" w:color="auto"/>
              <w:left w:val="double" w:sz="4" w:space="0" w:color="auto"/>
              <w:right w:val="double" w:sz="4" w:space="0" w:color="auto"/>
            </w:tcBorders>
            <w:vAlign w:val="center"/>
          </w:tcPr>
          <w:p w14:paraId="797BABBD" w14:textId="77777777" w:rsidR="001D4369" w:rsidRDefault="001D4369" w:rsidP="000F4CC1">
            <w:pPr>
              <w:widowControl w:val="0"/>
              <w:spacing w:before="0" w:after="0" w:line="240" w:lineRule="auto"/>
              <w:jc w:val="center"/>
              <w:rPr>
                <w:rFonts w:eastAsiaTheme="majorEastAsia" w:cstheme="majorBidi"/>
                <w:b/>
                <w:bCs/>
                <w:snapToGrid w:val="0"/>
                <w:color w:val="78BE20"/>
                <w:szCs w:val="26"/>
              </w:rPr>
            </w:pPr>
            <w:r>
              <w:rPr>
                <w:rFonts w:eastAsiaTheme="majorEastAsia" w:cstheme="majorBidi"/>
                <w:b/>
                <w:bCs/>
                <w:snapToGrid w:val="0"/>
                <w:color w:val="78BE20"/>
                <w:szCs w:val="26"/>
              </w:rPr>
              <w:t>MEDIANA (€)</w:t>
            </w:r>
          </w:p>
        </w:tc>
        <w:tc>
          <w:tcPr>
            <w:tcW w:w="885" w:type="pct"/>
            <w:vMerge w:val="restart"/>
            <w:tcBorders>
              <w:top w:val="double" w:sz="4" w:space="0" w:color="auto"/>
              <w:left w:val="double" w:sz="4" w:space="0" w:color="auto"/>
              <w:right w:val="double" w:sz="4" w:space="0" w:color="auto"/>
            </w:tcBorders>
            <w:vAlign w:val="center"/>
          </w:tcPr>
          <w:p w14:paraId="18785A8F" w14:textId="77777777" w:rsidR="001D4369" w:rsidRDefault="001D4369" w:rsidP="000F4CC1">
            <w:pPr>
              <w:widowControl w:val="0"/>
              <w:spacing w:before="0" w:after="0" w:line="240" w:lineRule="auto"/>
              <w:jc w:val="center"/>
              <w:rPr>
                <w:rFonts w:eastAsiaTheme="majorEastAsia" w:cstheme="majorBidi"/>
                <w:b/>
                <w:bCs/>
                <w:snapToGrid w:val="0"/>
                <w:color w:val="78BE20"/>
                <w:szCs w:val="26"/>
              </w:rPr>
            </w:pPr>
            <w:r>
              <w:rPr>
                <w:rFonts w:eastAsiaTheme="majorEastAsia" w:cstheme="majorBidi"/>
                <w:b/>
                <w:bCs/>
                <w:snapToGrid w:val="0"/>
                <w:color w:val="78BE20"/>
                <w:szCs w:val="26"/>
              </w:rPr>
              <w:t>BRECHA SALARIAL</w:t>
            </w:r>
          </w:p>
        </w:tc>
      </w:tr>
      <w:tr w:rsidR="001D4369" w14:paraId="153D540E" w14:textId="77777777" w:rsidTr="00C64B27">
        <w:tc>
          <w:tcPr>
            <w:tcW w:w="1975" w:type="pct"/>
            <w:vMerge/>
            <w:tcBorders>
              <w:left w:val="double" w:sz="4" w:space="0" w:color="auto"/>
              <w:bottom w:val="double" w:sz="4" w:space="0" w:color="auto"/>
              <w:right w:val="double" w:sz="4" w:space="0" w:color="auto"/>
            </w:tcBorders>
            <w:vAlign w:val="center"/>
          </w:tcPr>
          <w:p w14:paraId="3EEF478C" w14:textId="77777777" w:rsidR="001D4369" w:rsidRDefault="001D4369" w:rsidP="000F4CC1">
            <w:pPr>
              <w:spacing w:before="0" w:after="0" w:line="259" w:lineRule="auto"/>
              <w:jc w:val="right"/>
              <w:rPr>
                <w:rFonts w:eastAsiaTheme="majorEastAsia" w:cstheme="majorBidi"/>
                <w:b/>
                <w:bCs/>
                <w:snapToGrid w:val="0"/>
                <w:color w:val="78BE20"/>
                <w:szCs w:val="26"/>
              </w:rPr>
            </w:pPr>
          </w:p>
        </w:tc>
        <w:tc>
          <w:tcPr>
            <w:tcW w:w="1070" w:type="pct"/>
            <w:tcBorders>
              <w:left w:val="double" w:sz="4" w:space="0" w:color="auto"/>
              <w:bottom w:val="double" w:sz="4" w:space="0" w:color="auto"/>
            </w:tcBorders>
            <w:vAlign w:val="center"/>
          </w:tcPr>
          <w:p w14:paraId="7C9888C4" w14:textId="77777777" w:rsidR="001D4369" w:rsidRDefault="001D4369" w:rsidP="000F4CC1">
            <w:pPr>
              <w:spacing w:before="0" w:after="0" w:line="259" w:lineRule="auto"/>
              <w:jc w:val="center"/>
              <w:rPr>
                <w:rFonts w:eastAsiaTheme="majorEastAsia" w:cstheme="majorBidi"/>
                <w:b/>
                <w:bCs/>
                <w:snapToGrid w:val="0"/>
                <w:color w:val="78BE20"/>
                <w:szCs w:val="26"/>
              </w:rPr>
            </w:pPr>
            <w:r w:rsidRPr="00401FDD">
              <w:rPr>
                <w:b/>
                <w:bCs/>
                <w:sz w:val="20"/>
                <w:szCs w:val="18"/>
              </w:rPr>
              <w:t>MUJERES</w:t>
            </w:r>
          </w:p>
        </w:tc>
        <w:tc>
          <w:tcPr>
            <w:tcW w:w="1070" w:type="pct"/>
            <w:tcBorders>
              <w:bottom w:val="double" w:sz="4" w:space="0" w:color="auto"/>
              <w:right w:val="double" w:sz="4" w:space="0" w:color="auto"/>
            </w:tcBorders>
            <w:vAlign w:val="center"/>
          </w:tcPr>
          <w:p w14:paraId="02C3CF47" w14:textId="77777777" w:rsidR="001D4369" w:rsidRPr="00A669F0" w:rsidRDefault="001D4369" w:rsidP="000F4CC1">
            <w:pPr>
              <w:spacing w:before="0" w:after="0" w:line="259" w:lineRule="auto"/>
              <w:jc w:val="center"/>
              <w:rPr>
                <w:sz w:val="20"/>
                <w:szCs w:val="18"/>
              </w:rPr>
            </w:pPr>
            <w:r w:rsidRPr="00A669F0">
              <w:rPr>
                <w:b/>
                <w:bCs/>
                <w:sz w:val="20"/>
                <w:szCs w:val="18"/>
              </w:rPr>
              <w:t>HOMBRES</w:t>
            </w:r>
          </w:p>
        </w:tc>
        <w:tc>
          <w:tcPr>
            <w:tcW w:w="885" w:type="pct"/>
            <w:vMerge/>
            <w:tcBorders>
              <w:left w:val="double" w:sz="4" w:space="0" w:color="auto"/>
              <w:bottom w:val="double" w:sz="4" w:space="0" w:color="auto"/>
              <w:right w:val="double" w:sz="4" w:space="0" w:color="auto"/>
            </w:tcBorders>
            <w:vAlign w:val="center"/>
          </w:tcPr>
          <w:p w14:paraId="2CF384E0" w14:textId="77777777" w:rsidR="001D4369" w:rsidRPr="00A669F0" w:rsidRDefault="001D4369" w:rsidP="000F4CC1">
            <w:pPr>
              <w:spacing w:before="0" w:after="0" w:line="259" w:lineRule="auto"/>
              <w:jc w:val="center"/>
              <w:rPr>
                <w:sz w:val="20"/>
                <w:szCs w:val="18"/>
              </w:rPr>
            </w:pPr>
          </w:p>
        </w:tc>
      </w:tr>
      <w:tr w:rsidR="001D4369" w14:paraId="051F3E0A" w14:textId="77777777" w:rsidTr="00C64B27">
        <w:tc>
          <w:tcPr>
            <w:tcW w:w="1975" w:type="pct"/>
            <w:tcBorders>
              <w:top w:val="double" w:sz="4" w:space="0" w:color="auto"/>
              <w:left w:val="double" w:sz="4" w:space="0" w:color="auto"/>
              <w:bottom w:val="single" w:sz="4" w:space="0" w:color="000000"/>
              <w:right w:val="double" w:sz="4" w:space="0" w:color="auto"/>
            </w:tcBorders>
            <w:vAlign w:val="center"/>
          </w:tcPr>
          <w:p w14:paraId="6CCE5CEC" w14:textId="77777777" w:rsidR="001D4369" w:rsidRPr="00124A76" w:rsidRDefault="001D4369" w:rsidP="000F4CC1">
            <w:pPr>
              <w:spacing w:before="0" w:after="0" w:line="259" w:lineRule="auto"/>
              <w:jc w:val="right"/>
              <w:rPr>
                <w:sz w:val="18"/>
                <w:szCs w:val="16"/>
              </w:rPr>
            </w:pPr>
            <w:r w:rsidRPr="00124A76">
              <w:rPr>
                <w:sz w:val="18"/>
                <w:szCs w:val="16"/>
              </w:rPr>
              <w:t>Salario Base</w:t>
            </w:r>
          </w:p>
        </w:tc>
        <w:tc>
          <w:tcPr>
            <w:tcW w:w="1070" w:type="pct"/>
            <w:tcBorders>
              <w:top w:val="double" w:sz="4" w:space="0" w:color="auto"/>
              <w:left w:val="double" w:sz="4" w:space="0" w:color="auto"/>
            </w:tcBorders>
            <w:vAlign w:val="center"/>
          </w:tcPr>
          <w:p w14:paraId="43CFC0A5" w14:textId="77777777" w:rsidR="001D4369" w:rsidRPr="00425BA2" w:rsidRDefault="001D4369" w:rsidP="000F4CC1">
            <w:pPr>
              <w:spacing w:before="0" w:after="0" w:line="259" w:lineRule="auto"/>
              <w:jc w:val="center"/>
              <w:rPr>
                <w:sz w:val="20"/>
                <w:szCs w:val="18"/>
              </w:rPr>
            </w:pPr>
            <w:r>
              <w:rPr>
                <w:sz w:val="20"/>
                <w:szCs w:val="18"/>
              </w:rPr>
              <w:t>3.603</w:t>
            </w:r>
          </w:p>
        </w:tc>
        <w:tc>
          <w:tcPr>
            <w:tcW w:w="1070" w:type="pct"/>
            <w:tcBorders>
              <w:top w:val="double" w:sz="4" w:space="0" w:color="auto"/>
              <w:right w:val="double" w:sz="4" w:space="0" w:color="auto"/>
            </w:tcBorders>
            <w:shd w:val="clear" w:color="auto" w:fill="auto"/>
            <w:vAlign w:val="center"/>
          </w:tcPr>
          <w:p w14:paraId="141E5DF9" w14:textId="77777777" w:rsidR="001D4369" w:rsidRPr="00B25800" w:rsidRDefault="001D4369" w:rsidP="000F4CC1">
            <w:pPr>
              <w:spacing w:before="0" w:after="0" w:line="259" w:lineRule="auto"/>
              <w:jc w:val="center"/>
              <w:rPr>
                <w:sz w:val="20"/>
                <w:szCs w:val="18"/>
              </w:rPr>
            </w:pPr>
            <w:r>
              <w:rPr>
                <w:sz w:val="20"/>
                <w:szCs w:val="18"/>
              </w:rPr>
              <w:t>5.277</w:t>
            </w:r>
          </w:p>
        </w:tc>
        <w:tc>
          <w:tcPr>
            <w:tcW w:w="885" w:type="pct"/>
            <w:tcBorders>
              <w:top w:val="double" w:sz="4" w:space="0" w:color="auto"/>
              <w:left w:val="double" w:sz="4" w:space="0" w:color="auto"/>
              <w:right w:val="double" w:sz="4" w:space="0" w:color="auto"/>
            </w:tcBorders>
            <w:vAlign w:val="center"/>
          </w:tcPr>
          <w:p w14:paraId="6C07DFBD" w14:textId="77777777" w:rsidR="001D4369" w:rsidRPr="00A669F0" w:rsidRDefault="001D4369" w:rsidP="000F4CC1">
            <w:pPr>
              <w:spacing w:before="0" w:after="0" w:line="259" w:lineRule="auto"/>
              <w:jc w:val="center"/>
              <w:rPr>
                <w:sz w:val="20"/>
                <w:szCs w:val="18"/>
              </w:rPr>
            </w:pPr>
            <w:r>
              <w:rPr>
                <w:sz w:val="20"/>
                <w:szCs w:val="18"/>
              </w:rPr>
              <w:t>32%</w:t>
            </w:r>
          </w:p>
        </w:tc>
      </w:tr>
      <w:tr w:rsidR="001D4369" w14:paraId="2F3C79B9"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1A9BBA29" w14:textId="77777777" w:rsidR="001D4369" w:rsidRPr="00124A76" w:rsidRDefault="001D4369" w:rsidP="000F4CC1">
            <w:pPr>
              <w:spacing w:before="0" w:after="0" w:line="259" w:lineRule="auto"/>
              <w:jc w:val="right"/>
              <w:rPr>
                <w:sz w:val="18"/>
                <w:szCs w:val="16"/>
              </w:rPr>
            </w:pPr>
            <w:r w:rsidRPr="00124A76">
              <w:rPr>
                <w:sz w:val="18"/>
                <w:szCs w:val="16"/>
              </w:rPr>
              <w:t>CS Paga Extraordinaria</w:t>
            </w:r>
          </w:p>
        </w:tc>
        <w:tc>
          <w:tcPr>
            <w:tcW w:w="1070" w:type="pct"/>
            <w:tcBorders>
              <w:left w:val="double" w:sz="4" w:space="0" w:color="auto"/>
              <w:bottom w:val="single" w:sz="4" w:space="0" w:color="000000"/>
            </w:tcBorders>
            <w:vAlign w:val="center"/>
          </w:tcPr>
          <w:p w14:paraId="63417708" w14:textId="77777777" w:rsidR="001D4369" w:rsidRPr="00425BA2" w:rsidRDefault="001D4369" w:rsidP="000F4CC1">
            <w:pPr>
              <w:spacing w:before="0" w:after="0" w:line="259" w:lineRule="auto"/>
              <w:jc w:val="center"/>
              <w:rPr>
                <w:sz w:val="20"/>
                <w:szCs w:val="18"/>
              </w:rPr>
            </w:pPr>
            <w:r>
              <w:rPr>
                <w:sz w:val="20"/>
                <w:szCs w:val="18"/>
              </w:rPr>
              <w:t>1.565</w:t>
            </w:r>
          </w:p>
        </w:tc>
        <w:tc>
          <w:tcPr>
            <w:tcW w:w="1070" w:type="pct"/>
            <w:tcBorders>
              <w:right w:val="double" w:sz="4" w:space="0" w:color="auto"/>
            </w:tcBorders>
            <w:shd w:val="clear" w:color="auto" w:fill="auto"/>
            <w:vAlign w:val="center"/>
          </w:tcPr>
          <w:p w14:paraId="61805A53" w14:textId="77777777" w:rsidR="001D4369" w:rsidRPr="00B25800" w:rsidRDefault="001D4369" w:rsidP="000F4CC1">
            <w:pPr>
              <w:spacing w:before="0" w:after="0" w:line="259" w:lineRule="auto"/>
              <w:jc w:val="center"/>
              <w:rPr>
                <w:sz w:val="20"/>
                <w:szCs w:val="18"/>
              </w:rPr>
            </w:pPr>
            <w:r>
              <w:rPr>
                <w:sz w:val="20"/>
                <w:szCs w:val="18"/>
              </w:rPr>
              <w:t>2.397</w:t>
            </w:r>
          </w:p>
        </w:tc>
        <w:tc>
          <w:tcPr>
            <w:tcW w:w="885" w:type="pct"/>
            <w:tcBorders>
              <w:left w:val="double" w:sz="4" w:space="0" w:color="auto"/>
              <w:right w:val="double" w:sz="4" w:space="0" w:color="auto"/>
            </w:tcBorders>
            <w:vAlign w:val="center"/>
          </w:tcPr>
          <w:p w14:paraId="14161BFD" w14:textId="77777777" w:rsidR="001D4369" w:rsidRPr="00A669F0" w:rsidRDefault="001D4369" w:rsidP="000F4CC1">
            <w:pPr>
              <w:spacing w:before="0" w:after="0" w:line="259" w:lineRule="auto"/>
              <w:jc w:val="center"/>
              <w:rPr>
                <w:sz w:val="20"/>
                <w:szCs w:val="18"/>
              </w:rPr>
            </w:pPr>
            <w:r>
              <w:rPr>
                <w:sz w:val="20"/>
                <w:szCs w:val="18"/>
              </w:rPr>
              <w:t>35%</w:t>
            </w:r>
          </w:p>
        </w:tc>
      </w:tr>
      <w:tr w:rsidR="001D4369" w14:paraId="1D499D02"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3E168C9E" w14:textId="77777777" w:rsidR="001D4369" w:rsidRPr="00124A76" w:rsidRDefault="001D4369" w:rsidP="000F4CC1">
            <w:pPr>
              <w:spacing w:before="0" w:after="0" w:line="259" w:lineRule="auto"/>
              <w:jc w:val="right"/>
              <w:rPr>
                <w:sz w:val="18"/>
                <w:szCs w:val="16"/>
              </w:rPr>
            </w:pPr>
            <w:r w:rsidRPr="00124A76">
              <w:rPr>
                <w:sz w:val="18"/>
                <w:szCs w:val="16"/>
              </w:rPr>
              <w:t xml:space="preserve"> CS Antigüedad</w:t>
            </w:r>
          </w:p>
        </w:tc>
        <w:tc>
          <w:tcPr>
            <w:tcW w:w="1070" w:type="pct"/>
            <w:tcBorders>
              <w:top w:val="single" w:sz="4" w:space="0" w:color="000000"/>
              <w:left w:val="double" w:sz="4" w:space="0" w:color="auto"/>
            </w:tcBorders>
            <w:vAlign w:val="center"/>
          </w:tcPr>
          <w:p w14:paraId="021D5E25" w14:textId="77777777" w:rsidR="001D4369" w:rsidRPr="00425BA2" w:rsidRDefault="001D4369" w:rsidP="000F4CC1">
            <w:pPr>
              <w:spacing w:before="0" w:after="0" w:line="259" w:lineRule="auto"/>
              <w:jc w:val="center"/>
              <w:rPr>
                <w:sz w:val="20"/>
                <w:szCs w:val="18"/>
              </w:rPr>
            </w:pPr>
            <w:r>
              <w:rPr>
                <w:sz w:val="20"/>
                <w:szCs w:val="18"/>
              </w:rPr>
              <w:t>236</w:t>
            </w:r>
          </w:p>
        </w:tc>
        <w:tc>
          <w:tcPr>
            <w:tcW w:w="1070" w:type="pct"/>
            <w:tcBorders>
              <w:right w:val="double" w:sz="4" w:space="0" w:color="auto"/>
            </w:tcBorders>
            <w:shd w:val="clear" w:color="auto" w:fill="auto"/>
            <w:vAlign w:val="center"/>
          </w:tcPr>
          <w:p w14:paraId="3BB175A0" w14:textId="77777777" w:rsidR="001D4369" w:rsidRPr="00B25800" w:rsidRDefault="001D4369" w:rsidP="000F4CC1">
            <w:pPr>
              <w:spacing w:before="0" w:after="0" w:line="259" w:lineRule="auto"/>
              <w:jc w:val="center"/>
              <w:rPr>
                <w:sz w:val="20"/>
                <w:szCs w:val="18"/>
              </w:rPr>
            </w:pPr>
            <w:r>
              <w:rPr>
                <w:sz w:val="20"/>
                <w:szCs w:val="18"/>
              </w:rPr>
              <w:t>271</w:t>
            </w:r>
          </w:p>
        </w:tc>
        <w:tc>
          <w:tcPr>
            <w:tcW w:w="885" w:type="pct"/>
            <w:tcBorders>
              <w:left w:val="double" w:sz="4" w:space="0" w:color="auto"/>
              <w:right w:val="double" w:sz="4" w:space="0" w:color="auto"/>
            </w:tcBorders>
            <w:vAlign w:val="center"/>
          </w:tcPr>
          <w:p w14:paraId="21FA6035" w14:textId="77777777" w:rsidR="001D4369" w:rsidRPr="00A669F0" w:rsidRDefault="001D4369" w:rsidP="000F4CC1">
            <w:pPr>
              <w:spacing w:before="0" w:after="0" w:line="259" w:lineRule="auto"/>
              <w:jc w:val="center"/>
              <w:rPr>
                <w:sz w:val="20"/>
                <w:szCs w:val="18"/>
              </w:rPr>
            </w:pPr>
            <w:r>
              <w:rPr>
                <w:sz w:val="20"/>
                <w:szCs w:val="18"/>
              </w:rPr>
              <w:t>13%</w:t>
            </w:r>
          </w:p>
        </w:tc>
      </w:tr>
      <w:tr w:rsidR="001D4369" w14:paraId="4B6BD7D0"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2C1921B5" w14:textId="77777777" w:rsidR="001D4369" w:rsidRPr="00124A76" w:rsidRDefault="001D4369" w:rsidP="000F4CC1">
            <w:pPr>
              <w:spacing w:before="0" w:after="0" w:line="259" w:lineRule="auto"/>
              <w:jc w:val="right"/>
              <w:rPr>
                <w:sz w:val="18"/>
                <w:szCs w:val="16"/>
              </w:rPr>
            </w:pPr>
            <w:r w:rsidRPr="00124A76">
              <w:rPr>
                <w:sz w:val="18"/>
                <w:szCs w:val="16"/>
              </w:rPr>
              <w:t>CS Categoría</w:t>
            </w:r>
          </w:p>
        </w:tc>
        <w:tc>
          <w:tcPr>
            <w:tcW w:w="1070" w:type="pct"/>
            <w:tcBorders>
              <w:left w:val="double" w:sz="4" w:space="0" w:color="auto"/>
            </w:tcBorders>
            <w:vAlign w:val="center"/>
          </w:tcPr>
          <w:p w14:paraId="5B2ED746" w14:textId="77777777" w:rsidR="001D4369" w:rsidRPr="00425BA2" w:rsidRDefault="001D4369" w:rsidP="000F4CC1">
            <w:pPr>
              <w:spacing w:before="0" w:after="0" w:line="259" w:lineRule="auto"/>
              <w:jc w:val="center"/>
              <w:rPr>
                <w:sz w:val="20"/>
                <w:szCs w:val="18"/>
              </w:rPr>
            </w:pPr>
            <w:r>
              <w:rPr>
                <w:sz w:val="20"/>
                <w:szCs w:val="18"/>
              </w:rPr>
              <w:t>2.176</w:t>
            </w:r>
          </w:p>
        </w:tc>
        <w:tc>
          <w:tcPr>
            <w:tcW w:w="1070" w:type="pct"/>
            <w:tcBorders>
              <w:right w:val="double" w:sz="4" w:space="0" w:color="auto"/>
            </w:tcBorders>
            <w:shd w:val="clear" w:color="auto" w:fill="auto"/>
            <w:vAlign w:val="center"/>
          </w:tcPr>
          <w:p w14:paraId="2F056CF3" w14:textId="77777777" w:rsidR="001D4369" w:rsidRPr="00B25800" w:rsidRDefault="001D4369" w:rsidP="000F4CC1">
            <w:pPr>
              <w:spacing w:before="0" w:after="0" w:line="259" w:lineRule="auto"/>
              <w:jc w:val="center"/>
              <w:rPr>
                <w:sz w:val="20"/>
                <w:szCs w:val="18"/>
              </w:rPr>
            </w:pPr>
            <w:r>
              <w:rPr>
                <w:sz w:val="20"/>
                <w:szCs w:val="18"/>
              </w:rPr>
              <w:t>3.171</w:t>
            </w:r>
          </w:p>
        </w:tc>
        <w:tc>
          <w:tcPr>
            <w:tcW w:w="885" w:type="pct"/>
            <w:tcBorders>
              <w:left w:val="double" w:sz="4" w:space="0" w:color="auto"/>
              <w:right w:val="double" w:sz="4" w:space="0" w:color="auto"/>
            </w:tcBorders>
            <w:vAlign w:val="center"/>
          </w:tcPr>
          <w:p w14:paraId="7E317BEB" w14:textId="77777777" w:rsidR="001D4369" w:rsidRPr="00A669F0" w:rsidRDefault="001D4369" w:rsidP="000F4CC1">
            <w:pPr>
              <w:spacing w:before="0" w:after="0" w:line="259" w:lineRule="auto"/>
              <w:jc w:val="center"/>
              <w:rPr>
                <w:sz w:val="20"/>
                <w:szCs w:val="18"/>
              </w:rPr>
            </w:pPr>
            <w:r>
              <w:rPr>
                <w:sz w:val="20"/>
                <w:szCs w:val="18"/>
              </w:rPr>
              <w:t>31%</w:t>
            </w:r>
          </w:p>
        </w:tc>
      </w:tr>
      <w:tr w:rsidR="001D4369" w14:paraId="5281098F" w14:textId="77777777" w:rsidTr="00C64B27">
        <w:tc>
          <w:tcPr>
            <w:tcW w:w="1975" w:type="pct"/>
            <w:tcBorders>
              <w:top w:val="single" w:sz="4" w:space="0" w:color="000000"/>
              <w:left w:val="double" w:sz="4" w:space="0" w:color="auto"/>
              <w:bottom w:val="single" w:sz="4" w:space="0" w:color="000000"/>
              <w:right w:val="double" w:sz="4" w:space="0" w:color="auto"/>
            </w:tcBorders>
            <w:vAlign w:val="center"/>
          </w:tcPr>
          <w:p w14:paraId="034320B5" w14:textId="77777777" w:rsidR="001D4369" w:rsidRPr="00124A76" w:rsidRDefault="001D4369" w:rsidP="000F4CC1">
            <w:pPr>
              <w:spacing w:before="0" w:after="0" w:line="259" w:lineRule="auto"/>
              <w:jc w:val="right"/>
              <w:rPr>
                <w:sz w:val="18"/>
                <w:szCs w:val="16"/>
              </w:rPr>
            </w:pPr>
            <w:r w:rsidRPr="00124A76">
              <w:rPr>
                <w:sz w:val="18"/>
                <w:szCs w:val="16"/>
              </w:rPr>
              <w:t>CS Puesto</w:t>
            </w:r>
          </w:p>
        </w:tc>
        <w:tc>
          <w:tcPr>
            <w:tcW w:w="1070" w:type="pct"/>
            <w:tcBorders>
              <w:left w:val="double" w:sz="4" w:space="0" w:color="auto"/>
            </w:tcBorders>
            <w:vAlign w:val="center"/>
          </w:tcPr>
          <w:p w14:paraId="414A6093" w14:textId="77777777" w:rsidR="001D4369" w:rsidRPr="00425BA2" w:rsidRDefault="001D4369" w:rsidP="000F4CC1">
            <w:pPr>
              <w:spacing w:before="0" w:after="0" w:line="259" w:lineRule="auto"/>
              <w:jc w:val="center"/>
              <w:rPr>
                <w:sz w:val="20"/>
                <w:szCs w:val="18"/>
              </w:rPr>
            </w:pPr>
            <w:r>
              <w:rPr>
                <w:sz w:val="20"/>
                <w:szCs w:val="18"/>
              </w:rPr>
              <w:t>1.882</w:t>
            </w:r>
          </w:p>
        </w:tc>
        <w:tc>
          <w:tcPr>
            <w:tcW w:w="1070" w:type="pct"/>
            <w:tcBorders>
              <w:right w:val="double" w:sz="4" w:space="0" w:color="auto"/>
            </w:tcBorders>
            <w:shd w:val="clear" w:color="auto" w:fill="auto"/>
            <w:vAlign w:val="center"/>
          </w:tcPr>
          <w:p w14:paraId="5D67B04F" w14:textId="77777777" w:rsidR="001D4369" w:rsidRPr="00B25800" w:rsidRDefault="001D4369" w:rsidP="000F4CC1">
            <w:pPr>
              <w:spacing w:before="0" w:after="0" w:line="259" w:lineRule="auto"/>
              <w:jc w:val="center"/>
              <w:rPr>
                <w:sz w:val="20"/>
                <w:szCs w:val="18"/>
              </w:rPr>
            </w:pPr>
            <w:r>
              <w:rPr>
                <w:sz w:val="20"/>
                <w:szCs w:val="18"/>
              </w:rPr>
              <w:t>3.859</w:t>
            </w:r>
          </w:p>
        </w:tc>
        <w:tc>
          <w:tcPr>
            <w:tcW w:w="885" w:type="pct"/>
            <w:tcBorders>
              <w:left w:val="double" w:sz="4" w:space="0" w:color="auto"/>
              <w:right w:val="double" w:sz="4" w:space="0" w:color="auto"/>
            </w:tcBorders>
            <w:vAlign w:val="center"/>
          </w:tcPr>
          <w:p w14:paraId="6DE3AD6C" w14:textId="77777777" w:rsidR="001D4369" w:rsidRPr="00A669F0" w:rsidRDefault="001D4369" w:rsidP="000F4CC1">
            <w:pPr>
              <w:spacing w:before="0" w:after="0" w:line="259" w:lineRule="auto"/>
              <w:jc w:val="center"/>
              <w:rPr>
                <w:sz w:val="20"/>
                <w:szCs w:val="18"/>
              </w:rPr>
            </w:pPr>
            <w:r>
              <w:rPr>
                <w:sz w:val="20"/>
                <w:szCs w:val="18"/>
              </w:rPr>
              <w:t>51%</w:t>
            </w:r>
          </w:p>
        </w:tc>
      </w:tr>
      <w:tr w:rsidR="001D4369" w14:paraId="397D7555" w14:textId="77777777" w:rsidTr="00124A76">
        <w:tc>
          <w:tcPr>
            <w:tcW w:w="1975" w:type="pct"/>
            <w:tcBorders>
              <w:top w:val="single" w:sz="4" w:space="0" w:color="000000"/>
              <w:left w:val="double" w:sz="4" w:space="0" w:color="auto"/>
              <w:bottom w:val="double" w:sz="4" w:space="0" w:color="auto"/>
              <w:right w:val="double" w:sz="4" w:space="0" w:color="auto"/>
            </w:tcBorders>
            <w:vAlign w:val="center"/>
          </w:tcPr>
          <w:p w14:paraId="7D7A3861" w14:textId="77777777" w:rsidR="001D4369" w:rsidRPr="00860ADE" w:rsidRDefault="001D4369" w:rsidP="000F4CC1">
            <w:pPr>
              <w:spacing w:before="0" w:after="0" w:line="259" w:lineRule="auto"/>
              <w:jc w:val="right"/>
              <w:rPr>
                <w:b/>
                <w:bCs/>
                <w:sz w:val="20"/>
                <w:szCs w:val="18"/>
              </w:rPr>
            </w:pPr>
            <w:r>
              <w:rPr>
                <w:b/>
                <w:bCs/>
                <w:sz w:val="20"/>
                <w:szCs w:val="18"/>
              </w:rPr>
              <w:t>TOTAL</w:t>
            </w:r>
          </w:p>
        </w:tc>
        <w:tc>
          <w:tcPr>
            <w:tcW w:w="1070" w:type="pct"/>
            <w:tcBorders>
              <w:left w:val="double" w:sz="4" w:space="0" w:color="auto"/>
              <w:bottom w:val="double" w:sz="4" w:space="0" w:color="auto"/>
            </w:tcBorders>
            <w:vAlign w:val="center"/>
          </w:tcPr>
          <w:p w14:paraId="54D1DF6B" w14:textId="77777777" w:rsidR="001D4369" w:rsidRPr="0090044E" w:rsidRDefault="001D4369" w:rsidP="000F4CC1">
            <w:pPr>
              <w:spacing w:before="0" w:after="0" w:line="259" w:lineRule="auto"/>
              <w:jc w:val="center"/>
              <w:rPr>
                <w:rFonts w:eastAsiaTheme="majorEastAsia" w:cstheme="majorBidi"/>
                <w:b/>
                <w:bCs/>
                <w:snapToGrid w:val="0"/>
                <w:color w:val="78BE20"/>
                <w:szCs w:val="26"/>
              </w:rPr>
            </w:pPr>
            <w:r>
              <w:rPr>
                <w:b/>
                <w:bCs/>
                <w:sz w:val="20"/>
                <w:szCs w:val="18"/>
              </w:rPr>
              <w:t>11.041</w:t>
            </w:r>
          </w:p>
        </w:tc>
        <w:tc>
          <w:tcPr>
            <w:tcW w:w="1070" w:type="pct"/>
            <w:tcBorders>
              <w:bottom w:val="double" w:sz="4" w:space="0" w:color="auto"/>
              <w:right w:val="double" w:sz="4" w:space="0" w:color="auto"/>
            </w:tcBorders>
            <w:shd w:val="clear" w:color="auto" w:fill="auto"/>
            <w:vAlign w:val="center"/>
          </w:tcPr>
          <w:p w14:paraId="1274E138" w14:textId="77777777" w:rsidR="001D4369" w:rsidRPr="0090044E" w:rsidRDefault="001D4369" w:rsidP="000F4CC1">
            <w:pPr>
              <w:spacing w:before="0" w:after="0" w:line="259" w:lineRule="auto"/>
              <w:jc w:val="center"/>
              <w:rPr>
                <w:b/>
                <w:bCs/>
                <w:sz w:val="20"/>
                <w:szCs w:val="18"/>
              </w:rPr>
            </w:pPr>
            <w:r>
              <w:rPr>
                <w:b/>
                <w:bCs/>
                <w:sz w:val="20"/>
                <w:szCs w:val="18"/>
              </w:rPr>
              <w:t>18.508</w:t>
            </w:r>
          </w:p>
        </w:tc>
        <w:tc>
          <w:tcPr>
            <w:tcW w:w="885" w:type="pct"/>
            <w:tcBorders>
              <w:left w:val="double" w:sz="4" w:space="0" w:color="auto"/>
              <w:bottom w:val="double" w:sz="4" w:space="0" w:color="auto"/>
              <w:right w:val="double" w:sz="4" w:space="0" w:color="auto"/>
            </w:tcBorders>
            <w:vAlign w:val="center"/>
          </w:tcPr>
          <w:p w14:paraId="28F0D08D" w14:textId="77777777" w:rsidR="001D4369" w:rsidRPr="0090044E" w:rsidRDefault="001D4369" w:rsidP="000F4CC1">
            <w:pPr>
              <w:spacing w:before="0" w:after="0" w:line="259" w:lineRule="auto"/>
              <w:jc w:val="center"/>
              <w:rPr>
                <w:b/>
                <w:bCs/>
                <w:sz w:val="20"/>
                <w:szCs w:val="18"/>
              </w:rPr>
            </w:pPr>
            <w:r>
              <w:rPr>
                <w:b/>
                <w:bCs/>
                <w:sz w:val="20"/>
                <w:szCs w:val="18"/>
              </w:rPr>
              <w:t>40%</w:t>
            </w:r>
          </w:p>
        </w:tc>
      </w:tr>
    </w:tbl>
    <w:p w14:paraId="1D0B1BFE" w14:textId="7344A42E" w:rsidR="001D4369" w:rsidRDefault="001D4369" w:rsidP="0020763D"/>
    <w:p w14:paraId="7A924DC0" w14:textId="239F3E4C" w:rsidR="001D4369" w:rsidRDefault="001D4369" w:rsidP="001D4369">
      <w:r>
        <w:t xml:space="preserve">Distintas circunstancias pueden ayudar a explicar dicha diferencia. La principal es que, </w:t>
      </w:r>
      <w:r w:rsidRPr="00C167C1">
        <w:t>entre los empleados, los valores retributivos no solo son más altos como conjunto sino que son más homogéneos.</w:t>
      </w:r>
      <w:r>
        <w:t xml:space="preserve"> Por tanto, la distancia entre su promedio en las retribuciones totales anuales (17.074€) y su mediana (18.508€) no es excesivamente alta. Ahora bien, la realidad entre las empleadas es totalmente distinta: sus retribuciones son más heterogéneas, con un pequeño grupo de valores atípicos muy por encima de la media que engrosan el promedio salarial anual (14.576€) pero que no se ven reflejados en las posiciones centrales para el cálculo de la mediana (11.041€). </w:t>
      </w:r>
    </w:p>
    <w:p w14:paraId="6AC47324" w14:textId="77777777" w:rsidR="00983982" w:rsidRDefault="00983982" w:rsidP="001D4369">
      <w:r>
        <w:br w:type="page"/>
      </w:r>
    </w:p>
    <w:p w14:paraId="59BDA7F3" w14:textId="4807B556" w:rsidR="001D4369" w:rsidRDefault="001D4369" w:rsidP="001D4369">
      <w:r>
        <w:t>Otra circunstancia que explica la diferencia entre los dos indicadores es que</w:t>
      </w:r>
      <w:r w:rsidRPr="00C167C1">
        <w:t xml:space="preserve">, entre las empleadas públicas del personal laboral, existe un mayor número de situaciones contractuales para una muestra de empleadas más pequeña, lo cual hace descender la cantidad retributiva de los valores </w:t>
      </w:r>
      <w:r>
        <w:t xml:space="preserve">que se tienen en cuenta en el análisis. Es decir, hay un mayor número de situaciones contractuales entre las mujeres que representan una menor cantidad retributiva porque se asocian a un periodo de tiempo más corto. La posición central de estos valores siempre se corresponderá con una retribución menor en comparación con un número de situaciones contractuales que englobe todo el periodo de referencia. Esto contribuye a explicar la diferencia entre los resultados de brecha del promedio y la mediana. </w:t>
      </w:r>
    </w:p>
    <w:p w14:paraId="5BE0F004" w14:textId="51B3A853" w:rsidR="001D4369" w:rsidRDefault="001D4369" w:rsidP="001D4369">
      <w:r>
        <w:t xml:space="preserve">Finalmente, una tercera explicación tiene que ver con la distribución de mujeres y hombres por Grupo profesional que, como se analizaba en el Apartado correspondiente, pone de manifiesto una situación en la que </w:t>
      </w:r>
      <w:r w:rsidRPr="00C167C1">
        <w:t>las Categorías en los que se exige una formación reglada más alta -y, por ende, reciben una mayor retribución- están masculinizados.</w:t>
      </w:r>
      <w:r w:rsidRPr="006C057A">
        <w:rPr>
          <w:b/>
          <w:bCs/>
        </w:rPr>
        <w:t xml:space="preserve"> </w:t>
      </w:r>
      <w:r>
        <w:t xml:space="preserve">Este tipo de segregación profesional deriva obviamente en el incremento de la brecha salarial y más cuando se identifica la posición central de un amplio grupo de situaciones contractuales. </w:t>
      </w:r>
    </w:p>
    <w:p w14:paraId="744D5C67" w14:textId="77777777" w:rsidR="00983982" w:rsidRDefault="00983982" w:rsidP="001D4369"/>
    <w:p w14:paraId="22633AC5" w14:textId="77777777" w:rsidR="001D4369" w:rsidRDefault="001D4369" w:rsidP="001D4369">
      <w:pPr>
        <w:pStyle w:val="Ttulo4"/>
      </w:pPr>
      <w:r>
        <w:t>Registro retributivo</w:t>
      </w:r>
    </w:p>
    <w:p w14:paraId="4A0AE353" w14:textId="4A904CFC" w:rsidR="001D4369" w:rsidRPr="0010306B" w:rsidRDefault="001D4369" w:rsidP="001D4369">
      <w:r>
        <w:t xml:space="preserve">En el Registro retributivo el acento se pone en el alcance de la brecha salarial de género según </w:t>
      </w:r>
      <w:r w:rsidRPr="0010306B">
        <w:rPr>
          <w:i/>
          <w:iCs/>
        </w:rPr>
        <w:t>cada grupo profesional, categoría profesional, nivel, puesto o cualquier otro sistema de clasificación aplicable</w:t>
      </w:r>
      <w:r>
        <w:rPr>
          <w:i/>
          <w:iCs/>
        </w:rPr>
        <w:t xml:space="preserve"> </w:t>
      </w:r>
      <w:r>
        <w:t xml:space="preserve">(artículo 5.2 del </w:t>
      </w:r>
      <w:r w:rsidRPr="0010306B">
        <w:rPr>
          <w:rStyle w:val="KursivaCar"/>
        </w:rPr>
        <w:t>RD 902/2020</w:t>
      </w:r>
      <w:r>
        <w:t xml:space="preserve">). </w:t>
      </w:r>
      <w:r w:rsidRPr="002A61A4">
        <w:t>Para el caso del personal laboral, se ha seguido la clasificación por grupos a tenor de su función, regulada en el artículo 12</w:t>
      </w:r>
      <w:r w:rsidRPr="00B207FD">
        <w:rPr>
          <w:b/>
          <w:bCs/>
        </w:rPr>
        <w:t xml:space="preserve"> </w:t>
      </w:r>
      <w:r w:rsidRPr="00B207FD">
        <w:t xml:space="preserve">del </w:t>
      </w:r>
      <w:r w:rsidRPr="00B207FD">
        <w:rPr>
          <w:rStyle w:val="KursivaCar"/>
        </w:rPr>
        <w:t>Convenio</w:t>
      </w:r>
      <w:r>
        <w:t xml:space="preserve">. </w:t>
      </w:r>
    </w:p>
    <w:tbl>
      <w:tblPr>
        <w:tblStyle w:val="Tablaconcuadrcula"/>
        <w:tblW w:w="4938" w:type="pct"/>
        <w:tblInd w:w="108" w:type="dxa"/>
        <w:tblLook w:val="04A0" w:firstRow="1" w:lastRow="0" w:firstColumn="1" w:lastColumn="0" w:noHBand="0" w:noVBand="1"/>
      </w:tblPr>
      <w:tblGrid>
        <w:gridCol w:w="2048"/>
        <w:gridCol w:w="2181"/>
        <w:gridCol w:w="2232"/>
        <w:gridCol w:w="2151"/>
      </w:tblGrid>
      <w:tr w:rsidR="001D4369" w14:paraId="583A49A3" w14:textId="77777777" w:rsidTr="000E0DC5">
        <w:trPr>
          <w:trHeight w:val="656"/>
        </w:trPr>
        <w:tc>
          <w:tcPr>
            <w:tcW w:w="5000" w:type="pct"/>
            <w:gridSpan w:val="4"/>
            <w:tcBorders>
              <w:top w:val="double" w:sz="6" w:space="0" w:color="auto"/>
              <w:left w:val="double" w:sz="6" w:space="0" w:color="auto"/>
              <w:bottom w:val="double" w:sz="6" w:space="0" w:color="auto"/>
              <w:right w:val="double" w:sz="6" w:space="0" w:color="auto"/>
            </w:tcBorders>
            <w:shd w:val="clear" w:color="auto" w:fill="78BE20"/>
            <w:vAlign w:val="center"/>
          </w:tcPr>
          <w:p w14:paraId="7937440B" w14:textId="45D1EC7C" w:rsidR="001D4369" w:rsidRDefault="001D4369" w:rsidP="000F4CC1">
            <w:pPr>
              <w:widowControl w:val="0"/>
              <w:spacing w:before="0" w:after="0" w:line="240" w:lineRule="auto"/>
              <w:jc w:val="left"/>
              <w:rPr>
                <w:rFonts w:eastAsiaTheme="majorEastAsia" w:cstheme="majorBidi"/>
                <w:b/>
                <w:bCs/>
                <w:snapToGrid w:val="0"/>
                <w:color w:val="78BE20"/>
                <w:szCs w:val="26"/>
              </w:rPr>
            </w:pPr>
            <w:r>
              <w:br w:type="page"/>
            </w:r>
            <w:r>
              <w:rPr>
                <w:rFonts w:ascii="Helvetica" w:hAnsi="Helvetica" w:cs="Helvetica"/>
                <w:b/>
                <w:bCs/>
                <w:color w:val="FFFFFF" w:themeColor="background1"/>
                <w:szCs w:val="20"/>
              </w:rPr>
              <w:t xml:space="preserve">Tabla </w:t>
            </w:r>
            <w:r w:rsidR="00A20210">
              <w:rPr>
                <w:rFonts w:ascii="Helvetica" w:hAnsi="Helvetica" w:cs="Helvetica"/>
                <w:b/>
                <w:bCs/>
                <w:color w:val="FFFFFF" w:themeColor="background1"/>
                <w:szCs w:val="20"/>
              </w:rPr>
              <w:t>16</w:t>
            </w:r>
            <w:r>
              <w:rPr>
                <w:rFonts w:ascii="Helvetica" w:hAnsi="Helvetica" w:cs="Helvetica"/>
                <w:b/>
                <w:bCs/>
                <w:color w:val="FFFFFF" w:themeColor="background1"/>
                <w:szCs w:val="20"/>
              </w:rPr>
              <w:t>. Promedio y brecha de género en las retribuciones efectivas totales del personal laboral por Grupo profesional</w:t>
            </w:r>
          </w:p>
        </w:tc>
      </w:tr>
      <w:tr w:rsidR="001D4369" w14:paraId="17E12B32" w14:textId="77777777" w:rsidTr="000E0DC5">
        <w:trPr>
          <w:trHeight w:val="425"/>
        </w:trPr>
        <w:tc>
          <w:tcPr>
            <w:tcW w:w="1189" w:type="pct"/>
            <w:vMerge w:val="restart"/>
            <w:tcBorders>
              <w:top w:val="double" w:sz="6" w:space="0" w:color="auto"/>
              <w:left w:val="double" w:sz="6" w:space="0" w:color="auto"/>
              <w:right w:val="double" w:sz="6" w:space="0" w:color="auto"/>
            </w:tcBorders>
            <w:vAlign w:val="center"/>
          </w:tcPr>
          <w:p w14:paraId="4F27E4EE" w14:textId="77777777" w:rsidR="001D4369" w:rsidRDefault="001D4369" w:rsidP="00EF2ED1">
            <w:pPr>
              <w:spacing w:before="0" w:after="0" w:line="259" w:lineRule="auto"/>
              <w:jc w:val="right"/>
              <w:rPr>
                <w:rFonts w:eastAsiaTheme="majorEastAsia" w:cstheme="majorBidi"/>
                <w:b/>
                <w:bCs/>
                <w:snapToGrid w:val="0"/>
                <w:color w:val="78BE20"/>
                <w:szCs w:val="26"/>
              </w:rPr>
            </w:pPr>
            <w:r>
              <w:rPr>
                <w:rFonts w:eastAsiaTheme="majorEastAsia" w:cstheme="majorBidi"/>
                <w:b/>
                <w:bCs/>
                <w:snapToGrid w:val="0"/>
                <w:color w:val="78BE20"/>
                <w:szCs w:val="26"/>
              </w:rPr>
              <w:t>GRUPO PROFESIONAL</w:t>
            </w:r>
          </w:p>
        </w:tc>
        <w:tc>
          <w:tcPr>
            <w:tcW w:w="2562" w:type="pct"/>
            <w:gridSpan w:val="2"/>
            <w:tcBorders>
              <w:top w:val="double" w:sz="6" w:space="0" w:color="auto"/>
              <w:left w:val="double" w:sz="6" w:space="0" w:color="auto"/>
              <w:right w:val="double" w:sz="6" w:space="0" w:color="auto"/>
            </w:tcBorders>
            <w:vAlign w:val="center"/>
          </w:tcPr>
          <w:p w14:paraId="48865BD2" w14:textId="77777777" w:rsidR="001D4369" w:rsidRDefault="001D4369" w:rsidP="000F4CC1">
            <w:pPr>
              <w:widowControl w:val="0"/>
              <w:spacing w:before="0" w:after="0" w:line="240" w:lineRule="auto"/>
              <w:jc w:val="center"/>
              <w:rPr>
                <w:rFonts w:eastAsiaTheme="majorEastAsia" w:cstheme="majorBidi"/>
                <w:b/>
                <w:bCs/>
                <w:snapToGrid w:val="0"/>
                <w:color w:val="78BE20"/>
                <w:szCs w:val="26"/>
              </w:rPr>
            </w:pPr>
            <w:r>
              <w:rPr>
                <w:rFonts w:eastAsiaTheme="majorEastAsia" w:cstheme="majorBidi"/>
                <w:b/>
                <w:bCs/>
                <w:snapToGrid w:val="0"/>
                <w:color w:val="78BE20"/>
                <w:szCs w:val="26"/>
              </w:rPr>
              <w:t>PROMEDIO</w:t>
            </w:r>
          </w:p>
        </w:tc>
        <w:tc>
          <w:tcPr>
            <w:tcW w:w="1249" w:type="pct"/>
            <w:vMerge w:val="restart"/>
            <w:tcBorders>
              <w:top w:val="double" w:sz="6" w:space="0" w:color="auto"/>
              <w:left w:val="double" w:sz="6" w:space="0" w:color="auto"/>
              <w:right w:val="double" w:sz="6" w:space="0" w:color="auto"/>
            </w:tcBorders>
            <w:vAlign w:val="center"/>
          </w:tcPr>
          <w:p w14:paraId="657D6D90" w14:textId="77777777" w:rsidR="001D4369" w:rsidRDefault="001D4369" w:rsidP="000F4CC1">
            <w:pPr>
              <w:widowControl w:val="0"/>
              <w:spacing w:before="0" w:after="0" w:line="240" w:lineRule="auto"/>
              <w:jc w:val="center"/>
              <w:rPr>
                <w:rFonts w:eastAsiaTheme="majorEastAsia" w:cstheme="majorBidi"/>
                <w:b/>
                <w:bCs/>
                <w:snapToGrid w:val="0"/>
                <w:color w:val="78BE20"/>
                <w:szCs w:val="26"/>
              </w:rPr>
            </w:pPr>
            <w:r>
              <w:rPr>
                <w:rFonts w:eastAsiaTheme="majorEastAsia" w:cstheme="majorBidi"/>
                <w:b/>
                <w:bCs/>
                <w:snapToGrid w:val="0"/>
                <w:color w:val="78BE20"/>
                <w:szCs w:val="26"/>
              </w:rPr>
              <w:t>BRECHA SALARIAL</w:t>
            </w:r>
          </w:p>
        </w:tc>
      </w:tr>
      <w:tr w:rsidR="001D4369" w14:paraId="0596051B" w14:textId="77777777" w:rsidTr="000E0DC5">
        <w:tc>
          <w:tcPr>
            <w:tcW w:w="1189" w:type="pct"/>
            <w:vMerge/>
            <w:tcBorders>
              <w:left w:val="double" w:sz="6" w:space="0" w:color="auto"/>
              <w:bottom w:val="double" w:sz="6" w:space="0" w:color="auto"/>
              <w:right w:val="double" w:sz="6" w:space="0" w:color="auto"/>
            </w:tcBorders>
            <w:vAlign w:val="center"/>
          </w:tcPr>
          <w:p w14:paraId="3442D6A3" w14:textId="77777777" w:rsidR="001D4369" w:rsidRDefault="001D4369" w:rsidP="00EF2ED1">
            <w:pPr>
              <w:spacing w:before="0" w:after="0" w:line="259" w:lineRule="auto"/>
              <w:jc w:val="right"/>
              <w:rPr>
                <w:rFonts w:eastAsiaTheme="majorEastAsia" w:cstheme="majorBidi"/>
                <w:b/>
                <w:bCs/>
                <w:snapToGrid w:val="0"/>
                <w:color w:val="78BE20"/>
                <w:szCs w:val="26"/>
              </w:rPr>
            </w:pPr>
          </w:p>
        </w:tc>
        <w:tc>
          <w:tcPr>
            <w:tcW w:w="1266" w:type="pct"/>
            <w:tcBorders>
              <w:left w:val="double" w:sz="6" w:space="0" w:color="auto"/>
              <w:bottom w:val="double" w:sz="6" w:space="0" w:color="auto"/>
            </w:tcBorders>
            <w:vAlign w:val="center"/>
          </w:tcPr>
          <w:p w14:paraId="0330EAE8" w14:textId="77777777" w:rsidR="001D4369" w:rsidRDefault="001D4369" w:rsidP="000F4CC1">
            <w:pPr>
              <w:spacing w:before="0" w:after="0" w:line="259" w:lineRule="auto"/>
              <w:jc w:val="center"/>
              <w:rPr>
                <w:rFonts w:eastAsiaTheme="majorEastAsia" w:cstheme="majorBidi"/>
                <w:b/>
                <w:bCs/>
                <w:snapToGrid w:val="0"/>
                <w:color w:val="78BE20"/>
                <w:szCs w:val="26"/>
              </w:rPr>
            </w:pPr>
            <w:r w:rsidRPr="00401FDD">
              <w:rPr>
                <w:b/>
                <w:bCs/>
                <w:sz w:val="20"/>
                <w:szCs w:val="18"/>
              </w:rPr>
              <w:t>MUJERES</w:t>
            </w:r>
          </w:p>
        </w:tc>
        <w:tc>
          <w:tcPr>
            <w:tcW w:w="1296" w:type="pct"/>
            <w:tcBorders>
              <w:bottom w:val="double" w:sz="6" w:space="0" w:color="auto"/>
              <w:right w:val="double" w:sz="6" w:space="0" w:color="auto"/>
            </w:tcBorders>
            <w:vAlign w:val="center"/>
          </w:tcPr>
          <w:p w14:paraId="06B088E5" w14:textId="77777777" w:rsidR="001D4369" w:rsidRPr="00A669F0" w:rsidRDefault="001D4369" w:rsidP="000F4CC1">
            <w:pPr>
              <w:spacing w:before="0" w:after="0" w:line="259" w:lineRule="auto"/>
              <w:jc w:val="center"/>
              <w:rPr>
                <w:sz w:val="20"/>
                <w:szCs w:val="18"/>
              </w:rPr>
            </w:pPr>
            <w:r w:rsidRPr="00A669F0">
              <w:rPr>
                <w:b/>
                <w:bCs/>
                <w:sz w:val="20"/>
                <w:szCs w:val="18"/>
              </w:rPr>
              <w:t>HOMBRES</w:t>
            </w:r>
          </w:p>
        </w:tc>
        <w:tc>
          <w:tcPr>
            <w:tcW w:w="1249" w:type="pct"/>
            <w:vMerge/>
            <w:tcBorders>
              <w:left w:val="double" w:sz="6" w:space="0" w:color="auto"/>
              <w:bottom w:val="double" w:sz="6" w:space="0" w:color="auto"/>
              <w:right w:val="double" w:sz="6" w:space="0" w:color="auto"/>
            </w:tcBorders>
            <w:vAlign w:val="center"/>
          </w:tcPr>
          <w:p w14:paraId="3D807F07" w14:textId="77777777" w:rsidR="001D4369" w:rsidRPr="00A669F0" w:rsidRDefault="001D4369" w:rsidP="000F4CC1">
            <w:pPr>
              <w:spacing w:before="0" w:after="0" w:line="259" w:lineRule="auto"/>
              <w:jc w:val="center"/>
              <w:rPr>
                <w:sz w:val="20"/>
                <w:szCs w:val="18"/>
              </w:rPr>
            </w:pPr>
          </w:p>
        </w:tc>
      </w:tr>
      <w:tr w:rsidR="001D4369" w14:paraId="10749DF1" w14:textId="77777777" w:rsidTr="000E0DC5">
        <w:tc>
          <w:tcPr>
            <w:tcW w:w="1189" w:type="pct"/>
            <w:tcBorders>
              <w:top w:val="double" w:sz="6" w:space="0" w:color="auto"/>
              <w:left w:val="double" w:sz="6" w:space="0" w:color="auto"/>
              <w:bottom w:val="single" w:sz="4" w:space="0" w:color="000000"/>
              <w:right w:val="double" w:sz="6" w:space="0" w:color="auto"/>
            </w:tcBorders>
            <w:vAlign w:val="center"/>
          </w:tcPr>
          <w:p w14:paraId="674E91A2" w14:textId="77777777" w:rsidR="001D4369" w:rsidRPr="00EF2ED1" w:rsidRDefault="001D4369" w:rsidP="00EF2ED1">
            <w:pPr>
              <w:spacing w:before="0" w:after="0" w:line="259" w:lineRule="auto"/>
              <w:jc w:val="right"/>
              <w:rPr>
                <w:sz w:val="20"/>
                <w:szCs w:val="18"/>
              </w:rPr>
            </w:pPr>
            <w:r w:rsidRPr="00EF2ED1">
              <w:rPr>
                <w:sz w:val="20"/>
                <w:szCs w:val="18"/>
              </w:rPr>
              <w:t>Grupo 1</w:t>
            </w:r>
          </w:p>
        </w:tc>
        <w:tc>
          <w:tcPr>
            <w:tcW w:w="1266" w:type="pct"/>
            <w:tcBorders>
              <w:top w:val="double" w:sz="6" w:space="0" w:color="auto"/>
              <w:left w:val="double" w:sz="6" w:space="0" w:color="auto"/>
            </w:tcBorders>
            <w:vAlign w:val="center"/>
          </w:tcPr>
          <w:p w14:paraId="4C35CFDD" w14:textId="77777777" w:rsidR="001D4369" w:rsidRPr="00425BA2" w:rsidRDefault="001D4369" w:rsidP="000F4CC1">
            <w:pPr>
              <w:spacing w:before="0" w:after="0" w:line="259" w:lineRule="auto"/>
              <w:jc w:val="center"/>
              <w:rPr>
                <w:sz w:val="20"/>
                <w:szCs w:val="18"/>
              </w:rPr>
            </w:pPr>
            <w:r>
              <w:rPr>
                <w:sz w:val="20"/>
                <w:szCs w:val="18"/>
              </w:rPr>
              <w:t>31.370</w:t>
            </w:r>
          </w:p>
        </w:tc>
        <w:tc>
          <w:tcPr>
            <w:tcW w:w="1296" w:type="pct"/>
            <w:tcBorders>
              <w:top w:val="double" w:sz="6" w:space="0" w:color="auto"/>
              <w:right w:val="double" w:sz="6" w:space="0" w:color="auto"/>
            </w:tcBorders>
            <w:shd w:val="clear" w:color="auto" w:fill="auto"/>
            <w:vAlign w:val="center"/>
          </w:tcPr>
          <w:p w14:paraId="47742D39" w14:textId="77777777" w:rsidR="001D4369" w:rsidRPr="00B25800" w:rsidRDefault="001D4369" w:rsidP="000F4CC1">
            <w:pPr>
              <w:spacing w:before="0" w:after="0" w:line="259" w:lineRule="auto"/>
              <w:jc w:val="center"/>
              <w:rPr>
                <w:sz w:val="20"/>
                <w:szCs w:val="18"/>
              </w:rPr>
            </w:pPr>
            <w:r>
              <w:rPr>
                <w:sz w:val="20"/>
                <w:szCs w:val="18"/>
              </w:rPr>
              <w:t>27.709</w:t>
            </w:r>
          </w:p>
        </w:tc>
        <w:tc>
          <w:tcPr>
            <w:tcW w:w="1249" w:type="pct"/>
            <w:tcBorders>
              <w:top w:val="double" w:sz="6" w:space="0" w:color="auto"/>
              <w:left w:val="double" w:sz="6" w:space="0" w:color="auto"/>
              <w:right w:val="double" w:sz="6" w:space="0" w:color="auto"/>
            </w:tcBorders>
            <w:vAlign w:val="center"/>
          </w:tcPr>
          <w:p w14:paraId="4EF7B8AD" w14:textId="77777777" w:rsidR="001D4369" w:rsidRPr="00A669F0" w:rsidRDefault="001D4369" w:rsidP="000F4CC1">
            <w:pPr>
              <w:spacing w:before="0" w:after="0" w:line="259" w:lineRule="auto"/>
              <w:jc w:val="center"/>
              <w:rPr>
                <w:sz w:val="20"/>
                <w:szCs w:val="18"/>
              </w:rPr>
            </w:pPr>
            <w:r>
              <w:rPr>
                <w:sz w:val="20"/>
                <w:szCs w:val="18"/>
              </w:rPr>
              <w:t>-13%</w:t>
            </w:r>
          </w:p>
        </w:tc>
      </w:tr>
      <w:tr w:rsidR="001D4369" w14:paraId="757D80E0" w14:textId="77777777" w:rsidTr="000E0DC5">
        <w:tc>
          <w:tcPr>
            <w:tcW w:w="1189" w:type="pct"/>
            <w:tcBorders>
              <w:top w:val="single" w:sz="4" w:space="0" w:color="000000"/>
              <w:left w:val="double" w:sz="6" w:space="0" w:color="auto"/>
              <w:bottom w:val="single" w:sz="4" w:space="0" w:color="000000"/>
              <w:right w:val="double" w:sz="6" w:space="0" w:color="auto"/>
            </w:tcBorders>
            <w:vAlign w:val="center"/>
          </w:tcPr>
          <w:p w14:paraId="64DBD8E7" w14:textId="77777777" w:rsidR="001D4369" w:rsidRPr="00EF2ED1" w:rsidRDefault="001D4369" w:rsidP="00EF2ED1">
            <w:pPr>
              <w:spacing w:before="0" w:after="0" w:line="259" w:lineRule="auto"/>
              <w:jc w:val="right"/>
              <w:rPr>
                <w:sz w:val="20"/>
                <w:szCs w:val="18"/>
              </w:rPr>
            </w:pPr>
            <w:r w:rsidRPr="00EF2ED1">
              <w:rPr>
                <w:sz w:val="20"/>
                <w:szCs w:val="18"/>
              </w:rPr>
              <w:t>Grupo 2</w:t>
            </w:r>
          </w:p>
        </w:tc>
        <w:tc>
          <w:tcPr>
            <w:tcW w:w="1266" w:type="pct"/>
            <w:tcBorders>
              <w:left w:val="double" w:sz="6" w:space="0" w:color="auto"/>
              <w:bottom w:val="single" w:sz="4" w:space="0" w:color="000000"/>
            </w:tcBorders>
            <w:vAlign w:val="center"/>
          </w:tcPr>
          <w:p w14:paraId="611CF227" w14:textId="77777777" w:rsidR="001D4369" w:rsidRPr="00425BA2" w:rsidRDefault="001D4369" w:rsidP="000F4CC1">
            <w:pPr>
              <w:spacing w:before="0" w:after="0" w:line="259" w:lineRule="auto"/>
              <w:jc w:val="center"/>
              <w:rPr>
                <w:sz w:val="20"/>
                <w:szCs w:val="18"/>
              </w:rPr>
            </w:pPr>
            <w:r>
              <w:rPr>
                <w:sz w:val="20"/>
                <w:szCs w:val="18"/>
              </w:rPr>
              <w:t>18.110</w:t>
            </w:r>
          </w:p>
        </w:tc>
        <w:tc>
          <w:tcPr>
            <w:tcW w:w="1296" w:type="pct"/>
            <w:tcBorders>
              <w:right w:val="double" w:sz="6" w:space="0" w:color="auto"/>
            </w:tcBorders>
            <w:shd w:val="clear" w:color="auto" w:fill="auto"/>
            <w:vAlign w:val="center"/>
          </w:tcPr>
          <w:p w14:paraId="2E82B303" w14:textId="77777777" w:rsidR="001D4369" w:rsidRPr="00B25800" w:rsidRDefault="001D4369" w:rsidP="000F4CC1">
            <w:pPr>
              <w:spacing w:before="0" w:after="0" w:line="259" w:lineRule="auto"/>
              <w:jc w:val="center"/>
              <w:rPr>
                <w:sz w:val="20"/>
                <w:szCs w:val="18"/>
              </w:rPr>
            </w:pPr>
            <w:r>
              <w:rPr>
                <w:sz w:val="20"/>
                <w:szCs w:val="18"/>
              </w:rPr>
              <w:t>19.831</w:t>
            </w:r>
          </w:p>
        </w:tc>
        <w:tc>
          <w:tcPr>
            <w:tcW w:w="1249" w:type="pct"/>
            <w:tcBorders>
              <w:left w:val="double" w:sz="6" w:space="0" w:color="auto"/>
              <w:right w:val="double" w:sz="6" w:space="0" w:color="auto"/>
            </w:tcBorders>
            <w:vAlign w:val="center"/>
          </w:tcPr>
          <w:p w14:paraId="671A42B1" w14:textId="77777777" w:rsidR="001D4369" w:rsidRPr="00A669F0" w:rsidRDefault="001D4369" w:rsidP="000F4CC1">
            <w:pPr>
              <w:spacing w:before="0" w:after="0" w:line="259" w:lineRule="auto"/>
              <w:jc w:val="center"/>
              <w:rPr>
                <w:sz w:val="20"/>
                <w:szCs w:val="18"/>
              </w:rPr>
            </w:pPr>
            <w:r>
              <w:rPr>
                <w:sz w:val="20"/>
                <w:szCs w:val="18"/>
              </w:rPr>
              <w:t>9%</w:t>
            </w:r>
          </w:p>
        </w:tc>
      </w:tr>
      <w:tr w:rsidR="001D4369" w14:paraId="412AB10E" w14:textId="77777777" w:rsidTr="000E0DC5">
        <w:tc>
          <w:tcPr>
            <w:tcW w:w="1189" w:type="pct"/>
            <w:tcBorders>
              <w:top w:val="single" w:sz="4" w:space="0" w:color="000000"/>
              <w:left w:val="double" w:sz="6" w:space="0" w:color="auto"/>
              <w:bottom w:val="single" w:sz="4" w:space="0" w:color="000000"/>
              <w:right w:val="double" w:sz="6" w:space="0" w:color="auto"/>
            </w:tcBorders>
            <w:vAlign w:val="center"/>
          </w:tcPr>
          <w:p w14:paraId="6AC605E3" w14:textId="77777777" w:rsidR="001D4369" w:rsidRPr="00EF2ED1" w:rsidRDefault="001D4369" w:rsidP="00EF2ED1">
            <w:pPr>
              <w:spacing w:before="0" w:after="0" w:line="259" w:lineRule="auto"/>
              <w:jc w:val="right"/>
              <w:rPr>
                <w:sz w:val="20"/>
                <w:szCs w:val="18"/>
              </w:rPr>
            </w:pPr>
            <w:r w:rsidRPr="00EF2ED1">
              <w:rPr>
                <w:sz w:val="20"/>
                <w:szCs w:val="18"/>
              </w:rPr>
              <w:t>Grupo 3</w:t>
            </w:r>
          </w:p>
        </w:tc>
        <w:tc>
          <w:tcPr>
            <w:tcW w:w="1266" w:type="pct"/>
            <w:tcBorders>
              <w:top w:val="single" w:sz="4" w:space="0" w:color="000000"/>
              <w:left w:val="double" w:sz="6" w:space="0" w:color="auto"/>
            </w:tcBorders>
            <w:vAlign w:val="center"/>
          </w:tcPr>
          <w:p w14:paraId="49DCC0B0" w14:textId="77777777" w:rsidR="001D4369" w:rsidRPr="00425BA2" w:rsidRDefault="001D4369" w:rsidP="000F4CC1">
            <w:pPr>
              <w:spacing w:before="0" w:after="0" w:line="259" w:lineRule="auto"/>
              <w:jc w:val="center"/>
              <w:rPr>
                <w:sz w:val="20"/>
                <w:szCs w:val="18"/>
              </w:rPr>
            </w:pPr>
            <w:r>
              <w:rPr>
                <w:sz w:val="20"/>
                <w:szCs w:val="18"/>
              </w:rPr>
              <w:t>19.601</w:t>
            </w:r>
          </w:p>
        </w:tc>
        <w:tc>
          <w:tcPr>
            <w:tcW w:w="1296" w:type="pct"/>
            <w:tcBorders>
              <w:right w:val="double" w:sz="6" w:space="0" w:color="auto"/>
            </w:tcBorders>
            <w:shd w:val="clear" w:color="auto" w:fill="auto"/>
            <w:vAlign w:val="center"/>
          </w:tcPr>
          <w:p w14:paraId="34D8F715" w14:textId="77777777" w:rsidR="001D4369" w:rsidRPr="00B25800" w:rsidRDefault="001D4369" w:rsidP="000F4CC1">
            <w:pPr>
              <w:spacing w:before="0" w:after="0" w:line="259" w:lineRule="auto"/>
              <w:jc w:val="center"/>
              <w:rPr>
                <w:sz w:val="20"/>
                <w:szCs w:val="18"/>
              </w:rPr>
            </w:pPr>
            <w:r>
              <w:rPr>
                <w:sz w:val="20"/>
                <w:szCs w:val="18"/>
              </w:rPr>
              <w:t>26.355</w:t>
            </w:r>
          </w:p>
        </w:tc>
        <w:tc>
          <w:tcPr>
            <w:tcW w:w="1249" w:type="pct"/>
            <w:tcBorders>
              <w:left w:val="double" w:sz="6" w:space="0" w:color="auto"/>
              <w:right w:val="double" w:sz="6" w:space="0" w:color="auto"/>
            </w:tcBorders>
            <w:vAlign w:val="center"/>
          </w:tcPr>
          <w:p w14:paraId="028B9DA0" w14:textId="77777777" w:rsidR="001D4369" w:rsidRPr="00A669F0" w:rsidRDefault="001D4369" w:rsidP="000F4CC1">
            <w:pPr>
              <w:spacing w:before="0" w:after="0" w:line="259" w:lineRule="auto"/>
              <w:jc w:val="center"/>
              <w:rPr>
                <w:sz w:val="20"/>
                <w:szCs w:val="18"/>
              </w:rPr>
            </w:pPr>
            <w:r>
              <w:rPr>
                <w:sz w:val="20"/>
                <w:szCs w:val="18"/>
              </w:rPr>
              <w:t>26%</w:t>
            </w:r>
          </w:p>
        </w:tc>
      </w:tr>
      <w:tr w:rsidR="001D4369" w14:paraId="4DA0F0BF" w14:textId="77777777" w:rsidTr="000E0DC5">
        <w:tc>
          <w:tcPr>
            <w:tcW w:w="1189" w:type="pct"/>
            <w:tcBorders>
              <w:top w:val="single" w:sz="4" w:space="0" w:color="000000"/>
              <w:left w:val="double" w:sz="6" w:space="0" w:color="auto"/>
              <w:bottom w:val="single" w:sz="4" w:space="0" w:color="000000"/>
              <w:right w:val="double" w:sz="6" w:space="0" w:color="auto"/>
            </w:tcBorders>
            <w:vAlign w:val="center"/>
          </w:tcPr>
          <w:p w14:paraId="1DD74D31" w14:textId="77777777" w:rsidR="001D4369" w:rsidRPr="00EF2ED1" w:rsidRDefault="001D4369" w:rsidP="00EF2ED1">
            <w:pPr>
              <w:spacing w:before="0" w:after="0" w:line="259" w:lineRule="auto"/>
              <w:jc w:val="right"/>
              <w:rPr>
                <w:sz w:val="20"/>
                <w:szCs w:val="18"/>
              </w:rPr>
            </w:pPr>
            <w:r w:rsidRPr="00EF2ED1">
              <w:rPr>
                <w:sz w:val="20"/>
                <w:szCs w:val="18"/>
              </w:rPr>
              <w:t>Grupo 4</w:t>
            </w:r>
          </w:p>
        </w:tc>
        <w:tc>
          <w:tcPr>
            <w:tcW w:w="1266" w:type="pct"/>
            <w:tcBorders>
              <w:left w:val="double" w:sz="6" w:space="0" w:color="auto"/>
            </w:tcBorders>
            <w:vAlign w:val="center"/>
          </w:tcPr>
          <w:p w14:paraId="67B918E1" w14:textId="77777777" w:rsidR="001D4369" w:rsidRPr="00425BA2" w:rsidRDefault="001D4369" w:rsidP="000F4CC1">
            <w:pPr>
              <w:spacing w:before="0" w:after="0" w:line="259" w:lineRule="auto"/>
              <w:jc w:val="center"/>
              <w:rPr>
                <w:sz w:val="20"/>
                <w:szCs w:val="18"/>
              </w:rPr>
            </w:pPr>
            <w:r>
              <w:rPr>
                <w:sz w:val="20"/>
                <w:szCs w:val="18"/>
              </w:rPr>
              <w:t>12.211</w:t>
            </w:r>
          </w:p>
        </w:tc>
        <w:tc>
          <w:tcPr>
            <w:tcW w:w="1296" w:type="pct"/>
            <w:tcBorders>
              <w:right w:val="double" w:sz="6" w:space="0" w:color="auto"/>
            </w:tcBorders>
            <w:shd w:val="clear" w:color="auto" w:fill="auto"/>
            <w:vAlign w:val="center"/>
          </w:tcPr>
          <w:p w14:paraId="42FC65E6" w14:textId="77777777" w:rsidR="001D4369" w:rsidRPr="00B25800" w:rsidRDefault="001D4369" w:rsidP="000F4CC1">
            <w:pPr>
              <w:spacing w:before="0" w:after="0" w:line="259" w:lineRule="auto"/>
              <w:jc w:val="center"/>
              <w:rPr>
                <w:sz w:val="20"/>
                <w:szCs w:val="18"/>
              </w:rPr>
            </w:pPr>
            <w:r>
              <w:rPr>
                <w:sz w:val="20"/>
                <w:szCs w:val="18"/>
              </w:rPr>
              <w:t>17.695</w:t>
            </w:r>
          </w:p>
        </w:tc>
        <w:tc>
          <w:tcPr>
            <w:tcW w:w="1249" w:type="pct"/>
            <w:tcBorders>
              <w:left w:val="double" w:sz="6" w:space="0" w:color="auto"/>
              <w:right w:val="double" w:sz="6" w:space="0" w:color="auto"/>
            </w:tcBorders>
            <w:vAlign w:val="center"/>
          </w:tcPr>
          <w:p w14:paraId="67DE138D" w14:textId="77777777" w:rsidR="001D4369" w:rsidRPr="00A669F0" w:rsidRDefault="001D4369" w:rsidP="000F4CC1">
            <w:pPr>
              <w:spacing w:before="0" w:after="0" w:line="259" w:lineRule="auto"/>
              <w:jc w:val="center"/>
              <w:rPr>
                <w:sz w:val="20"/>
                <w:szCs w:val="18"/>
              </w:rPr>
            </w:pPr>
            <w:r>
              <w:rPr>
                <w:sz w:val="20"/>
                <w:szCs w:val="18"/>
              </w:rPr>
              <w:t>31%</w:t>
            </w:r>
          </w:p>
        </w:tc>
      </w:tr>
      <w:tr w:rsidR="001D4369" w14:paraId="067C377C" w14:textId="77777777" w:rsidTr="000E0DC5">
        <w:tc>
          <w:tcPr>
            <w:tcW w:w="1189" w:type="pct"/>
            <w:tcBorders>
              <w:top w:val="single" w:sz="4" w:space="0" w:color="000000"/>
              <w:left w:val="double" w:sz="6" w:space="0" w:color="auto"/>
              <w:bottom w:val="double" w:sz="6" w:space="0" w:color="auto"/>
              <w:right w:val="double" w:sz="6" w:space="0" w:color="auto"/>
            </w:tcBorders>
            <w:vAlign w:val="center"/>
          </w:tcPr>
          <w:p w14:paraId="3240B823" w14:textId="77777777" w:rsidR="001D4369" w:rsidRPr="00EF2ED1" w:rsidRDefault="001D4369" w:rsidP="00EF2ED1">
            <w:pPr>
              <w:spacing w:before="0" w:after="0" w:line="259" w:lineRule="auto"/>
              <w:jc w:val="right"/>
              <w:rPr>
                <w:sz w:val="20"/>
                <w:szCs w:val="18"/>
              </w:rPr>
            </w:pPr>
            <w:r w:rsidRPr="00EF2ED1">
              <w:rPr>
                <w:sz w:val="20"/>
                <w:szCs w:val="18"/>
              </w:rPr>
              <w:t>Grupo 5</w:t>
            </w:r>
          </w:p>
        </w:tc>
        <w:tc>
          <w:tcPr>
            <w:tcW w:w="1266" w:type="pct"/>
            <w:tcBorders>
              <w:left w:val="double" w:sz="6" w:space="0" w:color="auto"/>
              <w:bottom w:val="double" w:sz="6" w:space="0" w:color="auto"/>
            </w:tcBorders>
            <w:vAlign w:val="center"/>
          </w:tcPr>
          <w:p w14:paraId="77E4EE01" w14:textId="77777777" w:rsidR="001D4369" w:rsidRPr="00425BA2" w:rsidRDefault="001D4369" w:rsidP="000F4CC1">
            <w:pPr>
              <w:spacing w:before="0" w:after="0" w:line="259" w:lineRule="auto"/>
              <w:jc w:val="center"/>
              <w:rPr>
                <w:sz w:val="20"/>
                <w:szCs w:val="18"/>
              </w:rPr>
            </w:pPr>
            <w:r>
              <w:rPr>
                <w:sz w:val="20"/>
                <w:szCs w:val="18"/>
              </w:rPr>
              <w:t>10.099</w:t>
            </w:r>
          </w:p>
        </w:tc>
        <w:tc>
          <w:tcPr>
            <w:tcW w:w="1296" w:type="pct"/>
            <w:tcBorders>
              <w:bottom w:val="double" w:sz="6" w:space="0" w:color="auto"/>
              <w:right w:val="double" w:sz="6" w:space="0" w:color="auto"/>
            </w:tcBorders>
            <w:shd w:val="clear" w:color="auto" w:fill="auto"/>
            <w:vAlign w:val="center"/>
          </w:tcPr>
          <w:p w14:paraId="248B8DA8" w14:textId="77777777" w:rsidR="001D4369" w:rsidRPr="00B25800" w:rsidRDefault="001D4369" w:rsidP="000F4CC1">
            <w:pPr>
              <w:spacing w:before="0" w:after="0" w:line="259" w:lineRule="auto"/>
              <w:jc w:val="center"/>
              <w:rPr>
                <w:sz w:val="20"/>
                <w:szCs w:val="18"/>
              </w:rPr>
            </w:pPr>
            <w:r>
              <w:rPr>
                <w:sz w:val="20"/>
                <w:szCs w:val="18"/>
              </w:rPr>
              <w:t>14.244</w:t>
            </w:r>
          </w:p>
        </w:tc>
        <w:tc>
          <w:tcPr>
            <w:tcW w:w="1249" w:type="pct"/>
            <w:tcBorders>
              <w:left w:val="double" w:sz="6" w:space="0" w:color="auto"/>
              <w:bottom w:val="double" w:sz="6" w:space="0" w:color="auto"/>
              <w:right w:val="double" w:sz="6" w:space="0" w:color="auto"/>
            </w:tcBorders>
            <w:vAlign w:val="center"/>
          </w:tcPr>
          <w:p w14:paraId="18C63216" w14:textId="77777777" w:rsidR="001D4369" w:rsidRPr="00A669F0" w:rsidRDefault="001D4369" w:rsidP="000F4CC1">
            <w:pPr>
              <w:spacing w:before="0" w:after="0" w:line="259" w:lineRule="auto"/>
              <w:jc w:val="center"/>
              <w:rPr>
                <w:sz w:val="20"/>
                <w:szCs w:val="18"/>
              </w:rPr>
            </w:pPr>
            <w:r>
              <w:rPr>
                <w:sz w:val="20"/>
                <w:szCs w:val="18"/>
              </w:rPr>
              <w:t>29%</w:t>
            </w:r>
          </w:p>
        </w:tc>
      </w:tr>
    </w:tbl>
    <w:p w14:paraId="66693A14" w14:textId="56DEDCF8" w:rsidR="0020763D" w:rsidRDefault="0020763D" w:rsidP="001D4369"/>
    <w:p w14:paraId="3ECFF22E" w14:textId="45CCCB3F" w:rsidR="00983982" w:rsidRDefault="00983982" w:rsidP="001D4369">
      <w:r>
        <w:br w:type="page"/>
      </w:r>
    </w:p>
    <w:tbl>
      <w:tblPr>
        <w:tblStyle w:val="Tablaconcuadrcula"/>
        <w:tblW w:w="4938" w:type="pct"/>
        <w:tblInd w:w="108" w:type="dxa"/>
        <w:tblLook w:val="04A0" w:firstRow="1" w:lastRow="0" w:firstColumn="1" w:lastColumn="0" w:noHBand="0" w:noVBand="1"/>
      </w:tblPr>
      <w:tblGrid>
        <w:gridCol w:w="2048"/>
        <w:gridCol w:w="2181"/>
        <w:gridCol w:w="2232"/>
        <w:gridCol w:w="2151"/>
      </w:tblGrid>
      <w:tr w:rsidR="001D4369" w14:paraId="2DA660DD" w14:textId="77777777" w:rsidTr="000E0DC5">
        <w:trPr>
          <w:trHeight w:val="656"/>
        </w:trPr>
        <w:tc>
          <w:tcPr>
            <w:tcW w:w="5000" w:type="pct"/>
            <w:gridSpan w:val="4"/>
            <w:tcBorders>
              <w:top w:val="double" w:sz="6" w:space="0" w:color="auto"/>
              <w:left w:val="double" w:sz="6" w:space="0" w:color="auto"/>
              <w:bottom w:val="double" w:sz="4" w:space="0" w:color="auto"/>
              <w:right w:val="double" w:sz="4" w:space="0" w:color="auto"/>
            </w:tcBorders>
            <w:shd w:val="clear" w:color="auto" w:fill="78BE20"/>
            <w:vAlign w:val="center"/>
          </w:tcPr>
          <w:p w14:paraId="6DE60DA5" w14:textId="6937F1A1" w:rsidR="001D4369" w:rsidRDefault="001D4369" w:rsidP="000F4CC1">
            <w:pPr>
              <w:widowControl w:val="0"/>
              <w:spacing w:before="0" w:after="0" w:line="240" w:lineRule="auto"/>
              <w:jc w:val="left"/>
              <w:rPr>
                <w:rFonts w:eastAsiaTheme="majorEastAsia" w:cstheme="majorBidi"/>
                <w:b/>
                <w:bCs/>
                <w:snapToGrid w:val="0"/>
                <w:color w:val="78BE20"/>
                <w:szCs w:val="26"/>
              </w:rPr>
            </w:pPr>
            <w:r>
              <w:br w:type="page"/>
            </w:r>
            <w:r>
              <w:rPr>
                <w:rFonts w:ascii="Helvetica" w:hAnsi="Helvetica" w:cs="Helvetica"/>
                <w:b/>
                <w:bCs/>
                <w:color w:val="FFFFFF" w:themeColor="background1"/>
                <w:szCs w:val="20"/>
              </w:rPr>
              <w:t xml:space="preserve">Tabla </w:t>
            </w:r>
            <w:r w:rsidR="00A20210">
              <w:rPr>
                <w:rFonts w:ascii="Helvetica" w:hAnsi="Helvetica" w:cs="Helvetica"/>
                <w:b/>
                <w:bCs/>
                <w:color w:val="FFFFFF" w:themeColor="background1"/>
                <w:szCs w:val="20"/>
              </w:rPr>
              <w:t>15</w:t>
            </w:r>
            <w:r>
              <w:rPr>
                <w:rFonts w:ascii="Helvetica" w:hAnsi="Helvetica" w:cs="Helvetica"/>
                <w:b/>
                <w:bCs/>
                <w:color w:val="FFFFFF" w:themeColor="background1"/>
                <w:szCs w:val="20"/>
              </w:rPr>
              <w:t>. Mediana y brecha de género en las retribuciones efectivas totales del personal laboral por Grupo profesional</w:t>
            </w:r>
          </w:p>
        </w:tc>
      </w:tr>
      <w:tr w:rsidR="001D4369" w14:paraId="7EAB3D12" w14:textId="77777777" w:rsidTr="000E0DC5">
        <w:trPr>
          <w:trHeight w:val="425"/>
        </w:trPr>
        <w:tc>
          <w:tcPr>
            <w:tcW w:w="1189" w:type="pct"/>
            <w:vMerge w:val="restart"/>
            <w:tcBorders>
              <w:top w:val="double" w:sz="4" w:space="0" w:color="auto"/>
              <w:left w:val="double" w:sz="6" w:space="0" w:color="auto"/>
              <w:right w:val="double" w:sz="6" w:space="0" w:color="auto"/>
            </w:tcBorders>
            <w:vAlign w:val="center"/>
          </w:tcPr>
          <w:p w14:paraId="62DEC3BE" w14:textId="77777777" w:rsidR="001D4369" w:rsidRDefault="001D4369" w:rsidP="00EF2ED1">
            <w:pPr>
              <w:spacing w:before="0" w:after="0" w:line="259" w:lineRule="auto"/>
              <w:jc w:val="right"/>
              <w:rPr>
                <w:rFonts w:eastAsiaTheme="majorEastAsia" w:cstheme="majorBidi"/>
                <w:b/>
                <w:bCs/>
                <w:snapToGrid w:val="0"/>
                <w:color w:val="78BE20"/>
                <w:szCs w:val="26"/>
              </w:rPr>
            </w:pPr>
            <w:r>
              <w:rPr>
                <w:rFonts w:eastAsiaTheme="majorEastAsia" w:cstheme="majorBidi"/>
                <w:b/>
                <w:bCs/>
                <w:snapToGrid w:val="0"/>
                <w:color w:val="78BE20"/>
                <w:szCs w:val="26"/>
              </w:rPr>
              <w:t>GRUPO PROFESIONAL</w:t>
            </w:r>
          </w:p>
        </w:tc>
        <w:tc>
          <w:tcPr>
            <w:tcW w:w="2562" w:type="pct"/>
            <w:gridSpan w:val="2"/>
            <w:tcBorders>
              <w:top w:val="double" w:sz="4" w:space="0" w:color="auto"/>
              <w:left w:val="double" w:sz="6" w:space="0" w:color="auto"/>
              <w:right w:val="double" w:sz="6" w:space="0" w:color="auto"/>
            </w:tcBorders>
            <w:vAlign w:val="center"/>
          </w:tcPr>
          <w:p w14:paraId="1708387A" w14:textId="77777777" w:rsidR="001D4369" w:rsidRDefault="001D4369" w:rsidP="000F4CC1">
            <w:pPr>
              <w:widowControl w:val="0"/>
              <w:spacing w:before="0" w:after="0" w:line="240" w:lineRule="auto"/>
              <w:jc w:val="center"/>
              <w:rPr>
                <w:rFonts w:eastAsiaTheme="majorEastAsia" w:cstheme="majorBidi"/>
                <w:b/>
                <w:bCs/>
                <w:snapToGrid w:val="0"/>
                <w:color w:val="78BE20"/>
                <w:szCs w:val="26"/>
              </w:rPr>
            </w:pPr>
            <w:r>
              <w:rPr>
                <w:rFonts w:eastAsiaTheme="majorEastAsia" w:cstheme="majorBidi"/>
                <w:b/>
                <w:bCs/>
                <w:snapToGrid w:val="0"/>
                <w:color w:val="78BE20"/>
                <w:szCs w:val="26"/>
              </w:rPr>
              <w:t>MEDIANA</w:t>
            </w:r>
          </w:p>
        </w:tc>
        <w:tc>
          <w:tcPr>
            <w:tcW w:w="1249" w:type="pct"/>
            <w:vMerge w:val="restart"/>
            <w:tcBorders>
              <w:top w:val="double" w:sz="4" w:space="0" w:color="auto"/>
              <w:left w:val="double" w:sz="6" w:space="0" w:color="auto"/>
              <w:right w:val="double" w:sz="4" w:space="0" w:color="auto"/>
            </w:tcBorders>
            <w:vAlign w:val="center"/>
          </w:tcPr>
          <w:p w14:paraId="316B5BBD" w14:textId="77777777" w:rsidR="001D4369" w:rsidRDefault="001D4369" w:rsidP="000F4CC1">
            <w:pPr>
              <w:widowControl w:val="0"/>
              <w:spacing w:before="0" w:after="0" w:line="240" w:lineRule="auto"/>
              <w:jc w:val="center"/>
              <w:rPr>
                <w:rFonts w:eastAsiaTheme="majorEastAsia" w:cstheme="majorBidi"/>
                <w:b/>
                <w:bCs/>
                <w:snapToGrid w:val="0"/>
                <w:color w:val="78BE20"/>
                <w:szCs w:val="26"/>
              </w:rPr>
            </w:pPr>
            <w:r>
              <w:rPr>
                <w:rFonts w:eastAsiaTheme="majorEastAsia" w:cstheme="majorBidi"/>
                <w:b/>
                <w:bCs/>
                <w:snapToGrid w:val="0"/>
                <w:color w:val="78BE20"/>
                <w:szCs w:val="26"/>
              </w:rPr>
              <w:t>BRECHA SALARIAL</w:t>
            </w:r>
          </w:p>
        </w:tc>
      </w:tr>
      <w:tr w:rsidR="001D4369" w14:paraId="4643D7BE" w14:textId="77777777" w:rsidTr="00A62069">
        <w:tc>
          <w:tcPr>
            <w:tcW w:w="1189" w:type="pct"/>
            <w:vMerge/>
            <w:tcBorders>
              <w:left w:val="double" w:sz="6" w:space="0" w:color="auto"/>
              <w:bottom w:val="double" w:sz="6" w:space="0" w:color="auto"/>
              <w:right w:val="double" w:sz="6" w:space="0" w:color="auto"/>
            </w:tcBorders>
            <w:vAlign w:val="center"/>
          </w:tcPr>
          <w:p w14:paraId="0A52CC76" w14:textId="77777777" w:rsidR="001D4369" w:rsidRDefault="001D4369" w:rsidP="000F4CC1">
            <w:pPr>
              <w:spacing w:before="0" w:after="0" w:line="259" w:lineRule="auto"/>
              <w:jc w:val="center"/>
              <w:rPr>
                <w:rFonts w:eastAsiaTheme="majorEastAsia" w:cstheme="majorBidi"/>
                <w:b/>
                <w:bCs/>
                <w:snapToGrid w:val="0"/>
                <w:color w:val="78BE20"/>
                <w:szCs w:val="26"/>
              </w:rPr>
            </w:pPr>
          </w:p>
        </w:tc>
        <w:tc>
          <w:tcPr>
            <w:tcW w:w="1266" w:type="pct"/>
            <w:tcBorders>
              <w:top w:val="single" w:sz="4" w:space="0" w:color="auto"/>
              <w:left w:val="double" w:sz="6" w:space="0" w:color="auto"/>
              <w:bottom w:val="double" w:sz="6" w:space="0" w:color="auto"/>
            </w:tcBorders>
            <w:vAlign w:val="center"/>
          </w:tcPr>
          <w:p w14:paraId="257A7428" w14:textId="77777777" w:rsidR="001D4369" w:rsidRDefault="001D4369" w:rsidP="000F4CC1">
            <w:pPr>
              <w:spacing w:before="0" w:after="0" w:line="259" w:lineRule="auto"/>
              <w:jc w:val="center"/>
              <w:rPr>
                <w:rFonts w:eastAsiaTheme="majorEastAsia" w:cstheme="majorBidi"/>
                <w:b/>
                <w:bCs/>
                <w:snapToGrid w:val="0"/>
                <w:color w:val="78BE20"/>
                <w:szCs w:val="26"/>
              </w:rPr>
            </w:pPr>
            <w:r w:rsidRPr="00401FDD">
              <w:rPr>
                <w:b/>
                <w:bCs/>
                <w:sz w:val="20"/>
                <w:szCs w:val="18"/>
              </w:rPr>
              <w:t>MUJERES</w:t>
            </w:r>
          </w:p>
        </w:tc>
        <w:tc>
          <w:tcPr>
            <w:tcW w:w="1296" w:type="pct"/>
            <w:tcBorders>
              <w:top w:val="single" w:sz="4" w:space="0" w:color="auto"/>
              <w:bottom w:val="double" w:sz="6" w:space="0" w:color="auto"/>
              <w:right w:val="double" w:sz="6" w:space="0" w:color="auto"/>
            </w:tcBorders>
            <w:vAlign w:val="center"/>
          </w:tcPr>
          <w:p w14:paraId="65C6D93A" w14:textId="77777777" w:rsidR="001D4369" w:rsidRPr="00A669F0" w:rsidRDefault="001D4369" w:rsidP="000F4CC1">
            <w:pPr>
              <w:spacing w:before="0" w:after="0" w:line="259" w:lineRule="auto"/>
              <w:jc w:val="center"/>
              <w:rPr>
                <w:sz w:val="20"/>
                <w:szCs w:val="18"/>
              </w:rPr>
            </w:pPr>
            <w:r w:rsidRPr="00A669F0">
              <w:rPr>
                <w:b/>
                <w:bCs/>
                <w:sz w:val="20"/>
                <w:szCs w:val="18"/>
              </w:rPr>
              <w:t>HOMBRES</w:t>
            </w:r>
          </w:p>
        </w:tc>
        <w:tc>
          <w:tcPr>
            <w:tcW w:w="1249" w:type="pct"/>
            <w:vMerge/>
            <w:tcBorders>
              <w:left w:val="double" w:sz="6" w:space="0" w:color="auto"/>
              <w:bottom w:val="double" w:sz="6" w:space="0" w:color="auto"/>
              <w:right w:val="double" w:sz="4" w:space="0" w:color="auto"/>
            </w:tcBorders>
            <w:vAlign w:val="center"/>
          </w:tcPr>
          <w:p w14:paraId="188876D7" w14:textId="77777777" w:rsidR="001D4369" w:rsidRPr="00A669F0" w:rsidRDefault="001D4369" w:rsidP="000F4CC1">
            <w:pPr>
              <w:spacing w:before="0" w:after="0" w:line="259" w:lineRule="auto"/>
              <w:jc w:val="center"/>
              <w:rPr>
                <w:sz w:val="20"/>
                <w:szCs w:val="18"/>
              </w:rPr>
            </w:pPr>
          </w:p>
        </w:tc>
      </w:tr>
      <w:tr w:rsidR="001D4369" w14:paraId="7DEC6543" w14:textId="77777777" w:rsidTr="000E0DC5">
        <w:tc>
          <w:tcPr>
            <w:tcW w:w="1189" w:type="pct"/>
            <w:tcBorders>
              <w:top w:val="double" w:sz="6" w:space="0" w:color="auto"/>
              <w:left w:val="double" w:sz="6" w:space="0" w:color="auto"/>
              <w:bottom w:val="single" w:sz="4" w:space="0" w:color="000000"/>
              <w:right w:val="double" w:sz="6" w:space="0" w:color="auto"/>
            </w:tcBorders>
            <w:vAlign w:val="center"/>
          </w:tcPr>
          <w:p w14:paraId="33B8725C" w14:textId="77777777" w:rsidR="001D4369" w:rsidRPr="00EF2ED1" w:rsidRDefault="001D4369" w:rsidP="00EF2ED1">
            <w:pPr>
              <w:spacing w:before="0" w:after="0" w:line="259" w:lineRule="auto"/>
              <w:jc w:val="right"/>
              <w:rPr>
                <w:sz w:val="20"/>
                <w:szCs w:val="18"/>
              </w:rPr>
            </w:pPr>
            <w:r w:rsidRPr="00EF2ED1">
              <w:rPr>
                <w:sz w:val="20"/>
                <w:szCs w:val="18"/>
              </w:rPr>
              <w:t>Grupo 1</w:t>
            </w:r>
          </w:p>
        </w:tc>
        <w:tc>
          <w:tcPr>
            <w:tcW w:w="1266" w:type="pct"/>
            <w:tcBorders>
              <w:top w:val="double" w:sz="6" w:space="0" w:color="auto"/>
              <w:left w:val="double" w:sz="6" w:space="0" w:color="auto"/>
            </w:tcBorders>
            <w:vAlign w:val="center"/>
          </w:tcPr>
          <w:p w14:paraId="46080133" w14:textId="77777777" w:rsidR="001D4369" w:rsidRPr="00425BA2" w:rsidRDefault="001D4369" w:rsidP="000F4CC1">
            <w:pPr>
              <w:spacing w:before="0" w:after="0" w:line="259" w:lineRule="auto"/>
              <w:jc w:val="center"/>
              <w:rPr>
                <w:sz w:val="20"/>
                <w:szCs w:val="18"/>
              </w:rPr>
            </w:pPr>
            <w:r>
              <w:rPr>
                <w:sz w:val="20"/>
                <w:szCs w:val="18"/>
              </w:rPr>
              <w:t>39.684</w:t>
            </w:r>
          </w:p>
        </w:tc>
        <w:tc>
          <w:tcPr>
            <w:tcW w:w="1296" w:type="pct"/>
            <w:tcBorders>
              <w:top w:val="double" w:sz="6" w:space="0" w:color="auto"/>
              <w:right w:val="double" w:sz="6" w:space="0" w:color="auto"/>
            </w:tcBorders>
            <w:shd w:val="clear" w:color="auto" w:fill="auto"/>
            <w:vAlign w:val="center"/>
          </w:tcPr>
          <w:p w14:paraId="3C22C9D5" w14:textId="77777777" w:rsidR="001D4369" w:rsidRPr="00B25800" w:rsidRDefault="001D4369" w:rsidP="000F4CC1">
            <w:pPr>
              <w:spacing w:before="0" w:after="0" w:line="259" w:lineRule="auto"/>
              <w:jc w:val="center"/>
              <w:rPr>
                <w:sz w:val="20"/>
                <w:szCs w:val="18"/>
              </w:rPr>
            </w:pPr>
            <w:r>
              <w:rPr>
                <w:sz w:val="20"/>
                <w:szCs w:val="18"/>
              </w:rPr>
              <w:t>38.756</w:t>
            </w:r>
          </w:p>
        </w:tc>
        <w:tc>
          <w:tcPr>
            <w:tcW w:w="1249" w:type="pct"/>
            <w:tcBorders>
              <w:top w:val="double" w:sz="6" w:space="0" w:color="auto"/>
              <w:left w:val="double" w:sz="6" w:space="0" w:color="auto"/>
              <w:right w:val="double" w:sz="4" w:space="0" w:color="auto"/>
            </w:tcBorders>
            <w:vAlign w:val="center"/>
          </w:tcPr>
          <w:p w14:paraId="1DA5D516" w14:textId="77777777" w:rsidR="001D4369" w:rsidRPr="00A669F0" w:rsidRDefault="001D4369" w:rsidP="000F4CC1">
            <w:pPr>
              <w:spacing w:before="0" w:after="0" w:line="259" w:lineRule="auto"/>
              <w:jc w:val="center"/>
              <w:rPr>
                <w:sz w:val="20"/>
                <w:szCs w:val="18"/>
              </w:rPr>
            </w:pPr>
            <w:r>
              <w:rPr>
                <w:sz w:val="20"/>
                <w:szCs w:val="18"/>
              </w:rPr>
              <w:t>-2%</w:t>
            </w:r>
          </w:p>
        </w:tc>
      </w:tr>
      <w:tr w:rsidR="001D4369" w14:paraId="2009288F" w14:textId="77777777" w:rsidTr="000E0DC5">
        <w:tc>
          <w:tcPr>
            <w:tcW w:w="1189" w:type="pct"/>
            <w:tcBorders>
              <w:top w:val="single" w:sz="4" w:space="0" w:color="000000"/>
              <w:left w:val="double" w:sz="6" w:space="0" w:color="auto"/>
              <w:bottom w:val="single" w:sz="4" w:space="0" w:color="000000"/>
              <w:right w:val="double" w:sz="6" w:space="0" w:color="auto"/>
            </w:tcBorders>
            <w:vAlign w:val="center"/>
          </w:tcPr>
          <w:p w14:paraId="70F5A4FC" w14:textId="77777777" w:rsidR="001D4369" w:rsidRPr="00EF2ED1" w:rsidRDefault="001D4369" w:rsidP="00EF2ED1">
            <w:pPr>
              <w:spacing w:before="0" w:after="0" w:line="259" w:lineRule="auto"/>
              <w:jc w:val="right"/>
              <w:rPr>
                <w:sz w:val="20"/>
                <w:szCs w:val="18"/>
              </w:rPr>
            </w:pPr>
            <w:r w:rsidRPr="00EF2ED1">
              <w:rPr>
                <w:sz w:val="20"/>
                <w:szCs w:val="18"/>
              </w:rPr>
              <w:t>Grupo 2</w:t>
            </w:r>
          </w:p>
        </w:tc>
        <w:tc>
          <w:tcPr>
            <w:tcW w:w="1266" w:type="pct"/>
            <w:tcBorders>
              <w:left w:val="double" w:sz="6" w:space="0" w:color="auto"/>
              <w:bottom w:val="single" w:sz="4" w:space="0" w:color="000000"/>
            </w:tcBorders>
            <w:vAlign w:val="center"/>
          </w:tcPr>
          <w:p w14:paraId="1AC75C3F" w14:textId="77777777" w:rsidR="001D4369" w:rsidRPr="00425BA2" w:rsidRDefault="001D4369" w:rsidP="000F4CC1">
            <w:pPr>
              <w:spacing w:before="0" w:after="0" w:line="259" w:lineRule="auto"/>
              <w:jc w:val="center"/>
              <w:rPr>
                <w:sz w:val="20"/>
                <w:szCs w:val="18"/>
              </w:rPr>
            </w:pPr>
            <w:r>
              <w:rPr>
                <w:sz w:val="20"/>
                <w:szCs w:val="18"/>
              </w:rPr>
              <w:t>13.707</w:t>
            </w:r>
          </w:p>
        </w:tc>
        <w:tc>
          <w:tcPr>
            <w:tcW w:w="1296" w:type="pct"/>
            <w:tcBorders>
              <w:right w:val="double" w:sz="6" w:space="0" w:color="auto"/>
            </w:tcBorders>
            <w:shd w:val="clear" w:color="auto" w:fill="auto"/>
            <w:vAlign w:val="center"/>
          </w:tcPr>
          <w:p w14:paraId="6D2AAABC" w14:textId="77777777" w:rsidR="001D4369" w:rsidRPr="00B25800" w:rsidRDefault="001D4369" w:rsidP="000F4CC1">
            <w:pPr>
              <w:spacing w:before="0" w:after="0" w:line="259" w:lineRule="auto"/>
              <w:jc w:val="center"/>
              <w:rPr>
                <w:sz w:val="20"/>
                <w:szCs w:val="18"/>
              </w:rPr>
            </w:pPr>
            <w:r>
              <w:rPr>
                <w:sz w:val="20"/>
                <w:szCs w:val="18"/>
              </w:rPr>
              <w:t>16.448</w:t>
            </w:r>
          </w:p>
        </w:tc>
        <w:tc>
          <w:tcPr>
            <w:tcW w:w="1249" w:type="pct"/>
            <w:tcBorders>
              <w:left w:val="double" w:sz="6" w:space="0" w:color="auto"/>
              <w:right w:val="double" w:sz="4" w:space="0" w:color="auto"/>
            </w:tcBorders>
            <w:vAlign w:val="center"/>
          </w:tcPr>
          <w:p w14:paraId="18E4E3F0" w14:textId="77777777" w:rsidR="001D4369" w:rsidRPr="00A669F0" w:rsidRDefault="001D4369" w:rsidP="000F4CC1">
            <w:pPr>
              <w:spacing w:before="0" w:after="0" w:line="259" w:lineRule="auto"/>
              <w:jc w:val="center"/>
              <w:rPr>
                <w:sz w:val="20"/>
                <w:szCs w:val="18"/>
              </w:rPr>
            </w:pPr>
            <w:r>
              <w:rPr>
                <w:sz w:val="20"/>
                <w:szCs w:val="18"/>
              </w:rPr>
              <w:t>17%</w:t>
            </w:r>
          </w:p>
        </w:tc>
      </w:tr>
      <w:tr w:rsidR="001D4369" w14:paraId="4AD502DB" w14:textId="77777777" w:rsidTr="000E0DC5">
        <w:tc>
          <w:tcPr>
            <w:tcW w:w="1189" w:type="pct"/>
            <w:tcBorders>
              <w:top w:val="single" w:sz="4" w:space="0" w:color="000000"/>
              <w:left w:val="double" w:sz="6" w:space="0" w:color="auto"/>
              <w:bottom w:val="single" w:sz="4" w:space="0" w:color="000000"/>
              <w:right w:val="double" w:sz="6" w:space="0" w:color="auto"/>
            </w:tcBorders>
            <w:vAlign w:val="center"/>
          </w:tcPr>
          <w:p w14:paraId="1A65BC89" w14:textId="77777777" w:rsidR="001D4369" w:rsidRPr="00EF2ED1" w:rsidRDefault="001D4369" w:rsidP="00EF2ED1">
            <w:pPr>
              <w:spacing w:before="0" w:after="0" w:line="259" w:lineRule="auto"/>
              <w:jc w:val="right"/>
              <w:rPr>
                <w:sz w:val="20"/>
                <w:szCs w:val="18"/>
              </w:rPr>
            </w:pPr>
            <w:r w:rsidRPr="00EF2ED1">
              <w:rPr>
                <w:sz w:val="20"/>
                <w:szCs w:val="18"/>
              </w:rPr>
              <w:t>Grupo 3</w:t>
            </w:r>
          </w:p>
        </w:tc>
        <w:tc>
          <w:tcPr>
            <w:tcW w:w="1266" w:type="pct"/>
            <w:tcBorders>
              <w:top w:val="single" w:sz="4" w:space="0" w:color="000000"/>
              <w:left w:val="double" w:sz="6" w:space="0" w:color="auto"/>
            </w:tcBorders>
            <w:vAlign w:val="center"/>
          </w:tcPr>
          <w:p w14:paraId="4BFE8B4A" w14:textId="77777777" w:rsidR="001D4369" w:rsidRPr="00425BA2" w:rsidRDefault="001D4369" w:rsidP="000F4CC1">
            <w:pPr>
              <w:spacing w:before="0" w:after="0" w:line="259" w:lineRule="auto"/>
              <w:jc w:val="center"/>
              <w:rPr>
                <w:sz w:val="20"/>
                <w:szCs w:val="18"/>
              </w:rPr>
            </w:pPr>
            <w:r>
              <w:rPr>
                <w:sz w:val="20"/>
                <w:szCs w:val="18"/>
              </w:rPr>
              <w:t>26.680</w:t>
            </w:r>
          </w:p>
        </w:tc>
        <w:tc>
          <w:tcPr>
            <w:tcW w:w="1296" w:type="pct"/>
            <w:tcBorders>
              <w:right w:val="double" w:sz="6" w:space="0" w:color="auto"/>
            </w:tcBorders>
            <w:shd w:val="clear" w:color="auto" w:fill="auto"/>
            <w:vAlign w:val="center"/>
          </w:tcPr>
          <w:p w14:paraId="7F328692" w14:textId="77777777" w:rsidR="001D4369" w:rsidRPr="00B25800" w:rsidRDefault="001D4369" w:rsidP="000F4CC1">
            <w:pPr>
              <w:spacing w:before="0" w:after="0" w:line="259" w:lineRule="auto"/>
              <w:jc w:val="center"/>
              <w:rPr>
                <w:sz w:val="20"/>
                <w:szCs w:val="18"/>
              </w:rPr>
            </w:pPr>
            <w:r>
              <w:rPr>
                <w:sz w:val="20"/>
                <w:szCs w:val="18"/>
              </w:rPr>
              <w:t>27.532</w:t>
            </w:r>
          </w:p>
        </w:tc>
        <w:tc>
          <w:tcPr>
            <w:tcW w:w="1249" w:type="pct"/>
            <w:tcBorders>
              <w:left w:val="double" w:sz="6" w:space="0" w:color="auto"/>
              <w:right w:val="double" w:sz="4" w:space="0" w:color="auto"/>
            </w:tcBorders>
            <w:vAlign w:val="center"/>
          </w:tcPr>
          <w:p w14:paraId="5061966F" w14:textId="77777777" w:rsidR="001D4369" w:rsidRPr="00A669F0" w:rsidRDefault="001D4369" w:rsidP="000F4CC1">
            <w:pPr>
              <w:spacing w:before="0" w:after="0" w:line="259" w:lineRule="auto"/>
              <w:jc w:val="center"/>
              <w:rPr>
                <w:sz w:val="20"/>
                <w:szCs w:val="18"/>
              </w:rPr>
            </w:pPr>
            <w:r>
              <w:rPr>
                <w:sz w:val="20"/>
                <w:szCs w:val="18"/>
              </w:rPr>
              <w:t>3%</w:t>
            </w:r>
          </w:p>
        </w:tc>
      </w:tr>
      <w:tr w:rsidR="001D4369" w14:paraId="0D20B70A" w14:textId="77777777" w:rsidTr="000E0DC5">
        <w:tc>
          <w:tcPr>
            <w:tcW w:w="1189" w:type="pct"/>
            <w:tcBorders>
              <w:top w:val="single" w:sz="4" w:space="0" w:color="000000"/>
              <w:left w:val="double" w:sz="6" w:space="0" w:color="auto"/>
              <w:bottom w:val="single" w:sz="4" w:space="0" w:color="000000"/>
              <w:right w:val="double" w:sz="6" w:space="0" w:color="auto"/>
            </w:tcBorders>
            <w:vAlign w:val="center"/>
          </w:tcPr>
          <w:p w14:paraId="68DB5FED" w14:textId="77777777" w:rsidR="001D4369" w:rsidRPr="00EF2ED1" w:rsidRDefault="001D4369" w:rsidP="00EF2ED1">
            <w:pPr>
              <w:spacing w:before="0" w:after="0" w:line="259" w:lineRule="auto"/>
              <w:jc w:val="right"/>
              <w:rPr>
                <w:sz w:val="20"/>
                <w:szCs w:val="18"/>
              </w:rPr>
            </w:pPr>
            <w:r w:rsidRPr="00EF2ED1">
              <w:rPr>
                <w:sz w:val="20"/>
                <w:szCs w:val="18"/>
              </w:rPr>
              <w:t>Grupo 4</w:t>
            </w:r>
          </w:p>
        </w:tc>
        <w:tc>
          <w:tcPr>
            <w:tcW w:w="1266" w:type="pct"/>
            <w:tcBorders>
              <w:left w:val="double" w:sz="6" w:space="0" w:color="auto"/>
            </w:tcBorders>
            <w:vAlign w:val="center"/>
          </w:tcPr>
          <w:p w14:paraId="42FBF52B" w14:textId="77777777" w:rsidR="001D4369" w:rsidRPr="00425BA2" w:rsidRDefault="001D4369" w:rsidP="000F4CC1">
            <w:pPr>
              <w:spacing w:before="0" w:after="0" w:line="259" w:lineRule="auto"/>
              <w:jc w:val="center"/>
              <w:rPr>
                <w:sz w:val="20"/>
                <w:szCs w:val="18"/>
              </w:rPr>
            </w:pPr>
            <w:r>
              <w:rPr>
                <w:sz w:val="20"/>
                <w:szCs w:val="18"/>
              </w:rPr>
              <w:t>11.000</w:t>
            </w:r>
          </w:p>
        </w:tc>
        <w:tc>
          <w:tcPr>
            <w:tcW w:w="1296" w:type="pct"/>
            <w:tcBorders>
              <w:right w:val="double" w:sz="6" w:space="0" w:color="auto"/>
            </w:tcBorders>
            <w:shd w:val="clear" w:color="auto" w:fill="auto"/>
            <w:vAlign w:val="center"/>
          </w:tcPr>
          <w:p w14:paraId="56F945F1" w14:textId="77777777" w:rsidR="001D4369" w:rsidRPr="00B25800" w:rsidRDefault="001D4369" w:rsidP="000F4CC1">
            <w:pPr>
              <w:spacing w:before="0" w:after="0" w:line="259" w:lineRule="auto"/>
              <w:jc w:val="center"/>
              <w:rPr>
                <w:sz w:val="20"/>
                <w:szCs w:val="18"/>
              </w:rPr>
            </w:pPr>
            <w:r>
              <w:rPr>
                <w:sz w:val="20"/>
                <w:szCs w:val="18"/>
              </w:rPr>
              <w:t>21.520</w:t>
            </w:r>
          </w:p>
        </w:tc>
        <w:tc>
          <w:tcPr>
            <w:tcW w:w="1249" w:type="pct"/>
            <w:tcBorders>
              <w:left w:val="double" w:sz="6" w:space="0" w:color="auto"/>
              <w:right w:val="double" w:sz="4" w:space="0" w:color="auto"/>
            </w:tcBorders>
            <w:vAlign w:val="center"/>
          </w:tcPr>
          <w:p w14:paraId="33FD07CB" w14:textId="77777777" w:rsidR="001D4369" w:rsidRPr="00A669F0" w:rsidRDefault="001D4369" w:rsidP="000F4CC1">
            <w:pPr>
              <w:spacing w:before="0" w:after="0" w:line="259" w:lineRule="auto"/>
              <w:jc w:val="center"/>
              <w:rPr>
                <w:sz w:val="20"/>
                <w:szCs w:val="18"/>
              </w:rPr>
            </w:pPr>
            <w:r>
              <w:rPr>
                <w:sz w:val="20"/>
                <w:szCs w:val="18"/>
              </w:rPr>
              <w:t>49%</w:t>
            </w:r>
          </w:p>
        </w:tc>
      </w:tr>
      <w:tr w:rsidR="001D4369" w14:paraId="09A818C7" w14:textId="77777777" w:rsidTr="000E0DC5">
        <w:tc>
          <w:tcPr>
            <w:tcW w:w="1189" w:type="pct"/>
            <w:tcBorders>
              <w:top w:val="single" w:sz="4" w:space="0" w:color="000000"/>
              <w:left w:val="double" w:sz="6" w:space="0" w:color="auto"/>
              <w:bottom w:val="double" w:sz="6" w:space="0" w:color="auto"/>
              <w:right w:val="double" w:sz="6" w:space="0" w:color="auto"/>
            </w:tcBorders>
            <w:vAlign w:val="center"/>
          </w:tcPr>
          <w:p w14:paraId="3B1AA844" w14:textId="77777777" w:rsidR="001D4369" w:rsidRPr="00EF2ED1" w:rsidRDefault="001D4369" w:rsidP="00EF2ED1">
            <w:pPr>
              <w:spacing w:before="0" w:after="0" w:line="259" w:lineRule="auto"/>
              <w:jc w:val="right"/>
              <w:rPr>
                <w:sz w:val="20"/>
                <w:szCs w:val="18"/>
              </w:rPr>
            </w:pPr>
            <w:r w:rsidRPr="00EF2ED1">
              <w:rPr>
                <w:sz w:val="20"/>
                <w:szCs w:val="18"/>
              </w:rPr>
              <w:t>Grupo 5</w:t>
            </w:r>
          </w:p>
        </w:tc>
        <w:tc>
          <w:tcPr>
            <w:tcW w:w="1266" w:type="pct"/>
            <w:tcBorders>
              <w:left w:val="double" w:sz="6" w:space="0" w:color="auto"/>
              <w:bottom w:val="double" w:sz="6" w:space="0" w:color="auto"/>
            </w:tcBorders>
            <w:vAlign w:val="center"/>
          </w:tcPr>
          <w:p w14:paraId="08B603EF" w14:textId="77777777" w:rsidR="001D4369" w:rsidRPr="00425BA2" w:rsidRDefault="001D4369" w:rsidP="000F4CC1">
            <w:pPr>
              <w:spacing w:before="0" w:after="0" w:line="259" w:lineRule="auto"/>
              <w:jc w:val="center"/>
              <w:rPr>
                <w:sz w:val="20"/>
                <w:szCs w:val="18"/>
              </w:rPr>
            </w:pPr>
            <w:r>
              <w:rPr>
                <w:sz w:val="20"/>
                <w:szCs w:val="18"/>
              </w:rPr>
              <w:t>8.030</w:t>
            </w:r>
          </w:p>
        </w:tc>
        <w:tc>
          <w:tcPr>
            <w:tcW w:w="1296" w:type="pct"/>
            <w:tcBorders>
              <w:bottom w:val="double" w:sz="6" w:space="0" w:color="auto"/>
              <w:right w:val="double" w:sz="6" w:space="0" w:color="auto"/>
            </w:tcBorders>
            <w:shd w:val="clear" w:color="auto" w:fill="auto"/>
            <w:vAlign w:val="center"/>
          </w:tcPr>
          <w:p w14:paraId="49C1A963" w14:textId="77777777" w:rsidR="001D4369" w:rsidRPr="00B25800" w:rsidRDefault="001D4369" w:rsidP="000F4CC1">
            <w:pPr>
              <w:spacing w:before="0" w:after="0" w:line="259" w:lineRule="auto"/>
              <w:jc w:val="center"/>
              <w:rPr>
                <w:sz w:val="20"/>
                <w:szCs w:val="18"/>
              </w:rPr>
            </w:pPr>
            <w:r>
              <w:rPr>
                <w:sz w:val="20"/>
                <w:szCs w:val="18"/>
              </w:rPr>
              <w:t>14.145</w:t>
            </w:r>
          </w:p>
        </w:tc>
        <w:tc>
          <w:tcPr>
            <w:tcW w:w="1249" w:type="pct"/>
            <w:tcBorders>
              <w:left w:val="double" w:sz="6" w:space="0" w:color="auto"/>
              <w:bottom w:val="double" w:sz="6" w:space="0" w:color="auto"/>
              <w:right w:val="double" w:sz="4" w:space="0" w:color="auto"/>
            </w:tcBorders>
            <w:vAlign w:val="center"/>
          </w:tcPr>
          <w:p w14:paraId="258C1255" w14:textId="77777777" w:rsidR="001D4369" w:rsidRPr="00A669F0" w:rsidRDefault="001D4369" w:rsidP="000F4CC1">
            <w:pPr>
              <w:spacing w:before="0" w:after="0" w:line="259" w:lineRule="auto"/>
              <w:jc w:val="center"/>
              <w:rPr>
                <w:sz w:val="20"/>
                <w:szCs w:val="18"/>
              </w:rPr>
            </w:pPr>
            <w:r>
              <w:rPr>
                <w:sz w:val="20"/>
                <w:szCs w:val="18"/>
              </w:rPr>
              <w:t>43%</w:t>
            </w:r>
          </w:p>
        </w:tc>
      </w:tr>
    </w:tbl>
    <w:p w14:paraId="10CB523A" w14:textId="706A34AA" w:rsidR="001D4369" w:rsidRDefault="001D4369" w:rsidP="0020763D"/>
    <w:p w14:paraId="631E3CEE" w14:textId="7BF85C81" w:rsidR="001D4369" w:rsidRDefault="001D4369" w:rsidP="001D4369">
      <w:r w:rsidRPr="00E829CC">
        <w:rPr>
          <w:b/>
          <w:bCs/>
        </w:rPr>
        <w:t>De los datos anteriores, quizá lo más relevante a destacar sea que en el Grupo 1 (equivalente al Grupo A) la brecha salarial de género es favorable a las mujeres</w:t>
      </w:r>
      <w:r>
        <w:t xml:space="preserve">. El indicador de la mediana informa, por otro lado, que la posición central de los salarios es muy similar entre mujeres y hombres, con una brecha de apenas el -2%. </w:t>
      </w:r>
    </w:p>
    <w:p w14:paraId="1A1469B4" w14:textId="77777777" w:rsidR="001D4369" w:rsidRDefault="001D4369" w:rsidP="001D4369">
      <w:r>
        <w:t xml:space="preserve">La comparativa entre los dos indicadores sugiere que en el Grupo 1 existe un número muy reducido de mujeres que perciben una retribución efectiva anual por encima de la masculina que, además, se reparte ente un número menor de situaciones contractuales. </w:t>
      </w:r>
    </w:p>
    <w:p w14:paraId="1C27DFCE" w14:textId="32408FC8" w:rsidR="001D4369" w:rsidRDefault="002A61A4" w:rsidP="001D4369">
      <w:r>
        <w:rPr>
          <w:b/>
          <w:bCs/>
        </w:rPr>
        <w:t>Hay que</w:t>
      </w:r>
      <w:r w:rsidR="001D4369" w:rsidRPr="00E829CC">
        <w:rPr>
          <w:b/>
          <w:bCs/>
        </w:rPr>
        <w:t xml:space="preserve"> destacar también la realidad de los Grupos 4 y 5, con una brecha de género muy por encima del 25%</w:t>
      </w:r>
      <w:r w:rsidR="001D4369">
        <w:rPr>
          <w:b/>
          <w:bCs/>
        </w:rPr>
        <w:t>, en este caso favorable a los hombres</w:t>
      </w:r>
      <w:r w:rsidR="001D4369" w:rsidRPr="00E829CC">
        <w:rPr>
          <w:b/>
          <w:bCs/>
        </w:rPr>
        <w:t>.</w:t>
      </w:r>
      <w:r w:rsidR="001D4369">
        <w:t xml:space="preserve"> Todo apunta a que las causas directas de esta brecha se originan en masculinización de determinadas Categorías profesionales que tienen asociados un elevado número de complementos salariales específicos (Reservas, Alerta invernal, Guardias, Viveros y Choperas, Servicio de extinción y nieve…). Al no existir mujeres en estas categorías la masa salarial derivada de estos complementos se concentra exclusivamente en los empleados. </w:t>
      </w:r>
    </w:p>
    <w:p w14:paraId="40C1AB44" w14:textId="1BEF743C" w:rsidR="001D4369" w:rsidRDefault="001D4369" w:rsidP="001D4369">
      <w:r>
        <w:t xml:space="preserve">Todas las medidas encaminadas a reequilibrar la balanza en la composición de mujeres y hombres en los Grupos y Categorías profesionales contribuirán a reducir paulatinamente la brecha salarial de género. Estas medidas </w:t>
      </w:r>
      <w:r w:rsidR="00CF68DE">
        <w:t xml:space="preserve">persiguen el objetivo de </w:t>
      </w:r>
      <w:r>
        <w:t xml:space="preserve">superar el impacto de </w:t>
      </w:r>
      <w:r w:rsidR="00CF68DE">
        <w:t xml:space="preserve">los </w:t>
      </w:r>
      <w:r>
        <w:t xml:space="preserve">factores que </w:t>
      </w:r>
      <w:r w:rsidR="00CF68DE">
        <w:t>denominados</w:t>
      </w:r>
      <w:r>
        <w:t xml:space="preserve"> en las teorías feministas como segregación ocupacional o estereotipos y expectativas de género. Buena parte de </w:t>
      </w:r>
      <w:r w:rsidR="00CF68DE">
        <w:t>las</w:t>
      </w:r>
      <w:r>
        <w:t xml:space="preserve"> </w:t>
      </w:r>
      <w:r w:rsidR="00CF68DE">
        <w:t>medidas</w:t>
      </w:r>
      <w:r>
        <w:t xml:space="preserve"> del Plan de Igualdad irá</w:t>
      </w:r>
      <w:r w:rsidR="00CF68DE">
        <w:t>n</w:t>
      </w:r>
      <w:r>
        <w:t xml:space="preserve"> encaminada</w:t>
      </w:r>
      <w:r w:rsidR="00CF68DE">
        <w:t>s</w:t>
      </w:r>
      <w:r>
        <w:t xml:space="preserve"> en esta dirección. </w:t>
      </w:r>
    </w:p>
    <w:p w14:paraId="60D429D7" w14:textId="35D996E4" w:rsidR="0020763D" w:rsidRDefault="0020763D" w:rsidP="001D4369"/>
    <w:p w14:paraId="777E7075" w14:textId="365FE0C8" w:rsidR="00983982" w:rsidRDefault="00983982" w:rsidP="001D4369">
      <w:r>
        <w:br w:type="page"/>
      </w:r>
    </w:p>
    <w:p w14:paraId="46560AA7" w14:textId="77777777" w:rsidR="001D4369" w:rsidRDefault="001D4369" w:rsidP="001D4369">
      <w:pPr>
        <w:pStyle w:val="Ttulo4"/>
      </w:pPr>
      <w:r>
        <w:t>Auditoría retributiva</w:t>
      </w:r>
    </w:p>
    <w:p w14:paraId="795B8A50" w14:textId="4BDD97F3" w:rsidR="001D4369" w:rsidRDefault="001D4369" w:rsidP="001D4369">
      <w:r>
        <w:t xml:space="preserve">A partir de </w:t>
      </w:r>
      <w:r w:rsidR="002A61A4">
        <w:t>las orientaciones normativas vinculantes,</w:t>
      </w:r>
      <w:r>
        <w:t xml:space="preserve"> se ha seguido lo estipulado en el artículo 12 del </w:t>
      </w:r>
      <w:r w:rsidRPr="00240108">
        <w:rPr>
          <w:rStyle w:val="KursivaCar"/>
        </w:rPr>
        <w:t>Convenio colectivo</w:t>
      </w:r>
      <w:r>
        <w:t xml:space="preserve"> del personal laboral, así como en el apartado 2 de la Disposición Adicional tercera y en el Anexo II. Atendiendo a estos criterios se han agrupado </w:t>
      </w:r>
      <w:r w:rsidR="008C7E28">
        <w:t>l</w:t>
      </w:r>
      <w:r>
        <w:t xml:space="preserve">as diferentes Categorías profesionales en un baremo de 30 Escalas de puestos de igual valor, cuya exacta correspondencia puede apreciarse en las tablas del Anexo correspondiente. </w:t>
      </w:r>
    </w:p>
    <w:tbl>
      <w:tblPr>
        <w:tblStyle w:val="Tablaconcuadrcula"/>
        <w:tblW w:w="4938" w:type="pct"/>
        <w:tblInd w:w="108" w:type="dxa"/>
        <w:tblLook w:val="04A0" w:firstRow="1" w:lastRow="0" w:firstColumn="1" w:lastColumn="0" w:noHBand="0" w:noVBand="1"/>
      </w:tblPr>
      <w:tblGrid>
        <w:gridCol w:w="871"/>
        <w:gridCol w:w="3807"/>
        <w:gridCol w:w="1276"/>
        <w:gridCol w:w="1290"/>
        <w:gridCol w:w="1368"/>
      </w:tblGrid>
      <w:tr w:rsidR="001D4369" w14:paraId="7E4FA3E7" w14:textId="77777777" w:rsidTr="000E0DC5">
        <w:trPr>
          <w:trHeight w:val="656"/>
        </w:trPr>
        <w:tc>
          <w:tcPr>
            <w:tcW w:w="5000" w:type="pct"/>
            <w:gridSpan w:val="5"/>
            <w:tcBorders>
              <w:top w:val="double" w:sz="6" w:space="0" w:color="auto"/>
              <w:left w:val="double" w:sz="6" w:space="0" w:color="auto"/>
              <w:right w:val="double" w:sz="6" w:space="0" w:color="auto"/>
            </w:tcBorders>
            <w:shd w:val="clear" w:color="auto" w:fill="78BE20"/>
          </w:tcPr>
          <w:p w14:paraId="78E82E93" w14:textId="03C31843" w:rsidR="001D4369" w:rsidRDefault="001D4369" w:rsidP="000F4CC1">
            <w:pPr>
              <w:widowControl w:val="0"/>
              <w:spacing w:before="0" w:after="0" w:line="240" w:lineRule="auto"/>
              <w:jc w:val="left"/>
              <w:rPr>
                <w:rFonts w:eastAsiaTheme="majorEastAsia" w:cstheme="majorBidi"/>
                <w:b/>
                <w:bCs/>
                <w:snapToGrid w:val="0"/>
                <w:color w:val="78BE20"/>
                <w:szCs w:val="26"/>
              </w:rPr>
            </w:pPr>
            <w:r>
              <w:rPr>
                <w:rFonts w:ascii="Helvetica" w:hAnsi="Helvetica" w:cs="Helvetica"/>
                <w:b/>
                <w:bCs/>
                <w:color w:val="FFFFFF" w:themeColor="background1"/>
                <w:szCs w:val="20"/>
              </w:rPr>
              <w:t xml:space="preserve">Tabla </w:t>
            </w:r>
            <w:r w:rsidR="00A20210">
              <w:rPr>
                <w:rFonts w:ascii="Helvetica" w:hAnsi="Helvetica" w:cs="Helvetica"/>
                <w:b/>
                <w:bCs/>
                <w:color w:val="FFFFFF" w:themeColor="background1"/>
                <w:szCs w:val="20"/>
              </w:rPr>
              <w:t>17</w:t>
            </w:r>
            <w:r>
              <w:rPr>
                <w:rFonts w:ascii="Helvetica" w:hAnsi="Helvetica" w:cs="Helvetica"/>
                <w:b/>
                <w:bCs/>
                <w:color w:val="FFFFFF" w:themeColor="background1"/>
                <w:szCs w:val="20"/>
              </w:rPr>
              <w:t>. Promedio y brecha de género en las retribuciones efectivas del personal laboral por Escala</w:t>
            </w:r>
          </w:p>
        </w:tc>
      </w:tr>
      <w:tr w:rsidR="001D4369" w14:paraId="6A5D5190" w14:textId="77777777" w:rsidTr="000E0DC5">
        <w:trPr>
          <w:trHeight w:val="425"/>
        </w:trPr>
        <w:tc>
          <w:tcPr>
            <w:tcW w:w="2716" w:type="pct"/>
            <w:gridSpan w:val="2"/>
            <w:tcBorders>
              <w:top w:val="double" w:sz="6" w:space="0" w:color="auto"/>
              <w:left w:val="double" w:sz="6" w:space="0" w:color="auto"/>
              <w:right w:val="double" w:sz="6" w:space="0" w:color="auto"/>
            </w:tcBorders>
            <w:vAlign w:val="center"/>
          </w:tcPr>
          <w:p w14:paraId="504FC157" w14:textId="77777777" w:rsidR="001D4369" w:rsidRDefault="001D4369" w:rsidP="00EF2ED1">
            <w:pPr>
              <w:spacing w:before="0" w:after="0" w:line="259" w:lineRule="auto"/>
              <w:jc w:val="right"/>
              <w:rPr>
                <w:rFonts w:eastAsiaTheme="majorEastAsia" w:cstheme="majorBidi"/>
                <w:b/>
                <w:bCs/>
                <w:snapToGrid w:val="0"/>
                <w:color w:val="78BE20"/>
                <w:szCs w:val="26"/>
              </w:rPr>
            </w:pPr>
            <w:r>
              <w:rPr>
                <w:rFonts w:eastAsiaTheme="majorEastAsia" w:cstheme="majorBidi"/>
                <w:b/>
                <w:bCs/>
                <w:snapToGrid w:val="0"/>
                <w:color w:val="78BE20"/>
                <w:szCs w:val="26"/>
              </w:rPr>
              <w:t>ESCALA</w:t>
            </w:r>
          </w:p>
        </w:tc>
        <w:tc>
          <w:tcPr>
            <w:tcW w:w="1490" w:type="pct"/>
            <w:gridSpan w:val="2"/>
            <w:tcBorders>
              <w:top w:val="double" w:sz="6" w:space="0" w:color="auto"/>
              <w:left w:val="double" w:sz="6" w:space="0" w:color="auto"/>
              <w:right w:val="double" w:sz="6" w:space="0" w:color="auto"/>
            </w:tcBorders>
            <w:vAlign w:val="center"/>
          </w:tcPr>
          <w:p w14:paraId="1EB8FA27" w14:textId="77777777" w:rsidR="001D4369" w:rsidRDefault="001D4369" w:rsidP="000F4CC1">
            <w:pPr>
              <w:widowControl w:val="0"/>
              <w:spacing w:before="0" w:after="0" w:line="240" w:lineRule="auto"/>
              <w:jc w:val="center"/>
              <w:rPr>
                <w:rFonts w:eastAsiaTheme="majorEastAsia" w:cstheme="majorBidi"/>
                <w:b/>
                <w:bCs/>
                <w:snapToGrid w:val="0"/>
                <w:color w:val="78BE20"/>
                <w:szCs w:val="26"/>
              </w:rPr>
            </w:pPr>
            <w:r>
              <w:rPr>
                <w:rFonts w:eastAsiaTheme="majorEastAsia" w:cstheme="majorBidi"/>
                <w:b/>
                <w:bCs/>
                <w:snapToGrid w:val="0"/>
                <w:color w:val="78BE20"/>
                <w:szCs w:val="26"/>
              </w:rPr>
              <w:t>PROMEDIO</w:t>
            </w:r>
          </w:p>
        </w:tc>
        <w:tc>
          <w:tcPr>
            <w:tcW w:w="794" w:type="pct"/>
            <w:vMerge w:val="restart"/>
            <w:tcBorders>
              <w:left w:val="double" w:sz="6" w:space="0" w:color="auto"/>
              <w:right w:val="double" w:sz="6" w:space="0" w:color="auto"/>
            </w:tcBorders>
            <w:vAlign w:val="center"/>
          </w:tcPr>
          <w:p w14:paraId="396171F3" w14:textId="77777777" w:rsidR="001D4369" w:rsidRDefault="001D4369" w:rsidP="000F4CC1">
            <w:pPr>
              <w:widowControl w:val="0"/>
              <w:spacing w:before="0" w:after="0" w:line="240" w:lineRule="auto"/>
              <w:jc w:val="center"/>
              <w:rPr>
                <w:rFonts w:eastAsiaTheme="majorEastAsia" w:cstheme="majorBidi"/>
                <w:b/>
                <w:bCs/>
                <w:snapToGrid w:val="0"/>
                <w:color w:val="78BE20"/>
                <w:szCs w:val="26"/>
              </w:rPr>
            </w:pPr>
            <w:r>
              <w:rPr>
                <w:rFonts w:eastAsiaTheme="majorEastAsia" w:cstheme="majorBidi"/>
                <w:b/>
                <w:bCs/>
                <w:snapToGrid w:val="0"/>
                <w:color w:val="78BE20"/>
                <w:szCs w:val="26"/>
              </w:rPr>
              <w:t>BRECHA SALARIAL</w:t>
            </w:r>
          </w:p>
        </w:tc>
      </w:tr>
      <w:tr w:rsidR="001D4369" w14:paraId="2C77A8E3" w14:textId="77777777" w:rsidTr="000E0DC5">
        <w:tc>
          <w:tcPr>
            <w:tcW w:w="506" w:type="pct"/>
            <w:tcBorders>
              <w:top w:val="double" w:sz="6" w:space="0" w:color="auto"/>
              <w:left w:val="double" w:sz="6" w:space="0" w:color="auto"/>
              <w:bottom w:val="double" w:sz="6" w:space="0" w:color="auto"/>
            </w:tcBorders>
          </w:tcPr>
          <w:p w14:paraId="190EFCCC" w14:textId="77777777" w:rsidR="001D4369" w:rsidRPr="00561249" w:rsidRDefault="001D4369" w:rsidP="00EF2ED1">
            <w:pPr>
              <w:spacing w:before="0" w:after="0" w:line="259" w:lineRule="auto"/>
              <w:jc w:val="right"/>
              <w:rPr>
                <w:b/>
                <w:bCs/>
                <w:sz w:val="20"/>
                <w:szCs w:val="18"/>
              </w:rPr>
            </w:pPr>
            <w:r>
              <w:rPr>
                <w:b/>
                <w:bCs/>
                <w:sz w:val="20"/>
                <w:szCs w:val="18"/>
              </w:rPr>
              <w:t>Nº</w:t>
            </w:r>
          </w:p>
        </w:tc>
        <w:tc>
          <w:tcPr>
            <w:tcW w:w="2210" w:type="pct"/>
            <w:tcBorders>
              <w:top w:val="double" w:sz="6" w:space="0" w:color="auto"/>
              <w:bottom w:val="double" w:sz="6" w:space="0" w:color="auto"/>
              <w:right w:val="double" w:sz="6" w:space="0" w:color="auto"/>
            </w:tcBorders>
            <w:vAlign w:val="center"/>
          </w:tcPr>
          <w:p w14:paraId="6F04DEC5" w14:textId="10B0C61A" w:rsidR="001D4369" w:rsidRPr="00561249" w:rsidRDefault="001D4369" w:rsidP="00EF2ED1">
            <w:pPr>
              <w:spacing w:before="0" w:after="0" w:line="259" w:lineRule="auto"/>
              <w:jc w:val="right"/>
              <w:rPr>
                <w:b/>
                <w:bCs/>
                <w:sz w:val="20"/>
                <w:szCs w:val="18"/>
              </w:rPr>
            </w:pPr>
            <w:r w:rsidRPr="00561249">
              <w:rPr>
                <w:b/>
                <w:bCs/>
                <w:sz w:val="20"/>
                <w:szCs w:val="18"/>
              </w:rPr>
              <w:t>N</w:t>
            </w:r>
            <w:r>
              <w:rPr>
                <w:b/>
                <w:bCs/>
                <w:sz w:val="20"/>
                <w:szCs w:val="18"/>
              </w:rPr>
              <w:t>o</w:t>
            </w:r>
            <w:r w:rsidRPr="00561249">
              <w:rPr>
                <w:b/>
                <w:bCs/>
                <w:sz w:val="20"/>
                <w:szCs w:val="18"/>
              </w:rPr>
              <w:t>mbre</w:t>
            </w:r>
            <w:r>
              <w:rPr>
                <w:b/>
                <w:bCs/>
                <w:sz w:val="20"/>
                <w:szCs w:val="18"/>
              </w:rPr>
              <w:t xml:space="preserve"> de Personal</w:t>
            </w:r>
          </w:p>
        </w:tc>
        <w:tc>
          <w:tcPr>
            <w:tcW w:w="741" w:type="pct"/>
            <w:tcBorders>
              <w:left w:val="double" w:sz="6" w:space="0" w:color="auto"/>
              <w:bottom w:val="double" w:sz="6" w:space="0" w:color="auto"/>
            </w:tcBorders>
            <w:vAlign w:val="center"/>
          </w:tcPr>
          <w:p w14:paraId="28E32268" w14:textId="77777777" w:rsidR="001D4369" w:rsidRDefault="001D4369" w:rsidP="000F4CC1">
            <w:pPr>
              <w:spacing w:before="0" w:after="0" w:line="259" w:lineRule="auto"/>
              <w:jc w:val="center"/>
              <w:rPr>
                <w:rFonts w:eastAsiaTheme="majorEastAsia" w:cstheme="majorBidi"/>
                <w:b/>
                <w:bCs/>
                <w:snapToGrid w:val="0"/>
                <w:color w:val="78BE20"/>
                <w:szCs w:val="26"/>
              </w:rPr>
            </w:pPr>
            <w:r w:rsidRPr="00401FDD">
              <w:rPr>
                <w:b/>
                <w:bCs/>
                <w:sz w:val="20"/>
                <w:szCs w:val="18"/>
              </w:rPr>
              <w:t>MUJERES</w:t>
            </w:r>
          </w:p>
        </w:tc>
        <w:tc>
          <w:tcPr>
            <w:tcW w:w="749" w:type="pct"/>
            <w:tcBorders>
              <w:bottom w:val="double" w:sz="6" w:space="0" w:color="auto"/>
              <w:right w:val="double" w:sz="6" w:space="0" w:color="auto"/>
            </w:tcBorders>
            <w:vAlign w:val="center"/>
          </w:tcPr>
          <w:p w14:paraId="2CABA68E" w14:textId="77777777" w:rsidR="001D4369" w:rsidRPr="00A669F0" w:rsidRDefault="001D4369" w:rsidP="000F4CC1">
            <w:pPr>
              <w:spacing w:before="0" w:after="0" w:line="259" w:lineRule="auto"/>
              <w:jc w:val="center"/>
              <w:rPr>
                <w:sz w:val="20"/>
                <w:szCs w:val="18"/>
              </w:rPr>
            </w:pPr>
            <w:r w:rsidRPr="00A669F0">
              <w:rPr>
                <w:b/>
                <w:bCs/>
                <w:sz w:val="20"/>
                <w:szCs w:val="18"/>
              </w:rPr>
              <w:t>HOMBRES</w:t>
            </w:r>
          </w:p>
        </w:tc>
        <w:tc>
          <w:tcPr>
            <w:tcW w:w="794" w:type="pct"/>
            <w:vMerge/>
            <w:tcBorders>
              <w:left w:val="double" w:sz="6" w:space="0" w:color="auto"/>
              <w:bottom w:val="double" w:sz="6" w:space="0" w:color="auto"/>
              <w:right w:val="double" w:sz="6" w:space="0" w:color="auto"/>
            </w:tcBorders>
            <w:vAlign w:val="center"/>
          </w:tcPr>
          <w:p w14:paraId="502166F5" w14:textId="77777777" w:rsidR="001D4369" w:rsidRPr="00A669F0" w:rsidRDefault="001D4369" w:rsidP="000F4CC1">
            <w:pPr>
              <w:spacing w:before="0" w:after="0" w:line="259" w:lineRule="auto"/>
              <w:jc w:val="center"/>
              <w:rPr>
                <w:sz w:val="20"/>
                <w:szCs w:val="18"/>
              </w:rPr>
            </w:pPr>
          </w:p>
        </w:tc>
      </w:tr>
      <w:tr w:rsidR="001D4369" w14:paraId="47A87FE8" w14:textId="77777777" w:rsidTr="000E0DC5">
        <w:tc>
          <w:tcPr>
            <w:tcW w:w="506" w:type="pct"/>
            <w:tcBorders>
              <w:top w:val="double" w:sz="6" w:space="0" w:color="auto"/>
              <w:left w:val="double" w:sz="6" w:space="0" w:color="auto"/>
              <w:bottom w:val="single" w:sz="4" w:space="0" w:color="000000"/>
            </w:tcBorders>
            <w:vAlign w:val="center"/>
          </w:tcPr>
          <w:p w14:paraId="0596C4D1" w14:textId="77777777" w:rsidR="001D4369" w:rsidRDefault="001D4369" w:rsidP="00EF2ED1">
            <w:pPr>
              <w:spacing w:before="0" w:after="0" w:line="259" w:lineRule="auto"/>
              <w:jc w:val="right"/>
              <w:rPr>
                <w:b/>
                <w:bCs/>
                <w:sz w:val="20"/>
                <w:szCs w:val="18"/>
              </w:rPr>
            </w:pPr>
            <w:r>
              <w:rPr>
                <w:b/>
                <w:bCs/>
                <w:sz w:val="20"/>
                <w:szCs w:val="18"/>
              </w:rPr>
              <w:t>1</w:t>
            </w:r>
          </w:p>
        </w:tc>
        <w:tc>
          <w:tcPr>
            <w:tcW w:w="2210" w:type="pct"/>
            <w:tcBorders>
              <w:top w:val="double" w:sz="6" w:space="0" w:color="auto"/>
              <w:bottom w:val="single" w:sz="4" w:space="0" w:color="000000"/>
              <w:right w:val="double" w:sz="6" w:space="0" w:color="auto"/>
            </w:tcBorders>
            <w:vAlign w:val="center"/>
          </w:tcPr>
          <w:p w14:paraId="040929D2" w14:textId="77777777" w:rsidR="001D4369" w:rsidRPr="00883DC1" w:rsidRDefault="001D4369" w:rsidP="00EF2ED1">
            <w:pPr>
              <w:spacing w:before="0" w:after="0" w:line="259" w:lineRule="auto"/>
              <w:jc w:val="right"/>
              <w:rPr>
                <w:sz w:val="20"/>
                <w:szCs w:val="18"/>
              </w:rPr>
            </w:pPr>
            <w:r w:rsidRPr="00883DC1">
              <w:rPr>
                <w:sz w:val="20"/>
                <w:szCs w:val="18"/>
              </w:rPr>
              <w:t>Subalterno</w:t>
            </w:r>
          </w:p>
        </w:tc>
        <w:tc>
          <w:tcPr>
            <w:tcW w:w="741" w:type="pct"/>
            <w:tcBorders>
              <w:top w:val="double" w:sz="6" w:space="0" w:color="auto"/>
              <w:left w:val="double" w:sz="6" w:space="0" w:color="auto"/>
            </w:tcBorders>
            <w:vAlign w:val="center"/>
          </w:tcPr>
          <w:p w14:paraId="6E9610FD"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top w:val="double" w:sz="6" w:space="0" w:color="auto"/>
              <w:right w:val="double" w:sz="6" w:space="0" w:color="auto"/>
            </w:tcBorders>
            <w:shd w:val="clear" w:color="auto" w:fill="auto"/>
            <w:vAlign w:val="center"/>
          </w:tcPr>
          <w:p w14:paraId="0E16A07E" w14:textId="77777777" w:rsidR="001D4369" w:rsidRPr="00B25800" w:rsidRDefault="001D4369" w:rsidP="000F4CC1">
            <w:pPr>
              <w:spacing w:before="0" w:after="0" w:line="259" w:lineRule="auto"/>
              <w:jc w:val="center"/>
              <w:rPr>
                <w:sz w:val="20"/>
                <w:szCs w:val="18"/>
              </w:rPr>
            </w:pPr>
            <w:r>
              <w:rPr>
                <w:sz w:val="20"/>
                <w:szCs w:val="18"/>
              </w:rPr>
              <w:t>20.349</w:t>
            </w:r>
          </w:p>
        </w:tc>
        <w:tc>
          <w:tcPr>
            <w:tcW w:w="794" w:type="pct"/>
            <w:tcBorders>
              <w:top w:val="double" w:sz="6" w:space="0" w:color="auto"/>
              <w:left w:val="double" w:sz="6" w:space="0" w:color="auto"/>
              <w:right w:val="double" w:sz="6" w:space="0" w:color="auto"/>
            </w:tcBorders>
            <w:vAlign w:val="center"/>
          </w:tcPr>
          <w:p w14:paraId="1517A884" w14:textId="77777777" w:rsidR="001D4369" w:rsidRPr="00A669F0" w:rsidRDefault="001D4369" w:rsidP="000F4CC1">
            <w:pPr>
              <w:spacing w:before="0" w:after="0" w:line="259" w:lineRule="auto"/>
              <w:jc w:val="center"/>
              <w:rPr>
                <w:sz w:val="20"/>
                <w:szCs w:val="18"/>
              </w:rPr>
            </w:pPr>
            <w:r>
              <w:rPr>
                <w:sz w:val="20"/>
                <w:szCs w:val="18"/>
              </w:rPr>
              <w:t>100%</w:t>
            </w:r>
          </w:p>
        </w:tc>
      </w:tr>
      <w:tr w:rsidR="001D4369" w14:paraId="5BAE609E" w14:textId="77777777" w:rsidTr="000E0DC5">
        <w:tc>
          <w:tcPr>
            <w:tcW w:w="506" w:type="pct"/>
            <w:tcBorders>
              <w:top w:val="single" w:sz="4" w:space="0" w:color="000000"/>
              <w:left w:val="double" w:sz="6" w:space="0" w:color="auto"/>
              <w:bottom w:val="single" w:sz="4" w:space="0" w:color="000000"/>
            </w:tcBorders>
            <w:vAlign w:val="center"/>
          </w:tcPr>
          <w:p w14:paraId="263FCAB7" w14:textId="77777777" w:rsidR="001D4369" w:rsidRDefault="001D4369" w:rsidP="00EF2ED1">
            <w:pPr>
              <w:spacing w:before="0" w:after="0" w:line="259" w:lineRule="auto"/>
              <w:jc w:val="right"/>
              <w:rPr>
                <w:b/>
                <w:bCs/>
                <w:sz w:val="20"/>
                <w:szCs w:val="18"/>
              </w:rPr>
            </w:pPr>
            <w:r>
              <w:rPr>
                <w:b/>
                <w:bCs/>
                <w:sz w:val="20"/>
                <w:szCs w:val="18"/>
              </w:rPr>
              <w:t>2</w:t>
            </w:r>
          </w:p>
        </w:tc>
        <w:tc>
          <w:tcPr>
            <w:tcW w:w="2210" w:type="pct"/>
            <w:tcBorders>
              <w:top w:val="single" w:sz="4" w:space="0" w:color="000000"/>
              <w:bottom w:val="single" w:sz="4" w:space="0" w:color="000000"/>
              <w:right w:val="double" w:sz="6" w:space="0" w:color="auto"/>
            </w:tcBorders>
            <w:vAlign w:val="center"/>
          </w:tcPr>
          <w:p w14:paraId="78508360" w14:textId="77777777" w:rsidR="001D4369" w:rsidRPr="00883DC1" w:rsidRDefault="001D4369" w:rsidP="00EF2ED1">
            <w:pPr>
              <w:spacing w:before="0" w:after="0" w:line="259" w:lineRule="auto"/>
              <w:jc w:val="right"/>
              <w:rPr>
                <w:sz w:val="20"/>
                <w:szCs w:val="18"/>
              </w:rPr>
            </w:pPr>
            <w:r>
              <w:rPr>
                <w:sz w:val="20"/>
                <w:szCs w:val="18"/>
              </w:rPr>
              <w:t>Sereno</w:t>
            </w:r>
          </w:p>
        </w:tc>
        <w:tc>
          <w:tcPr>
            <w:tcW w:w="741" w:type="pct"/>
            <w:tcBorders>
              <w:left w:val="double" w:sz="6" w:space="0" w:color="auto"/>
              <w:bottom w:val="single" w:sz="4" w:space="0" w:color="000000"/>
            </w:tcBorders>
            <w:vAlign w:val="center"/>
          </w:tcPr>
          <w:p w14:paraId="43CD0338"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right w:val="double" w:sz="6" w:space="0" w:color="auto"/>
            </w:tcBorders>
            <w:shd w:val="clear" w:color="auto" w:fill="auto"/>
            <w:vAlign w:val="center"/>
          </w:tcPr>
          <w:p w14:paraId="2B01533C" w14:textId="77777777" w:rsidR="001D4369" w:rsidRPr="00B25800" w:rsidRDefault="001D4369" w:rsidP="000F4CC1">
            <w:pPr>
              <w:spacing w:before="0" w:after="0" w:line="259" w:lineRule="auto"/>
              <w:jc w:val="center"/>
              <w:rPr>
                <w:sz w:val="20"/>
                <w:szCs w:val="18"/>
              </w:rPr>
            </w:pPr>
            <w:r>
              <w:rPr>
                <w:sz w:val="20"/>
                <w:szCs w:val="18"/>
              </w:rPr>
              <w:t>-</w:t>
            </w:r>
          </w:p>
        </w:tc>
        <w:tc>
          <w:tcPr>
            <w:tcW w:w="794" w:type="pct"/>
            <w:tcBorders>
              <w:left w:val="double" w:sz="6" w:space="0" w:color="auto"/>
              <w:right w:val="double" w:sz="6" w:space="0" w:color="auto"/>
            </w:tcBorders>
            <w:vAlign w:val="center"/>
          </w:tcPr>
          <w:p w14:paraId="6CE3011B" w14:textId="77777777" w:rsidR="001D4369" w:rsidRPr="00A669F0" w:rsidRDefault="001D4369" w:rsidP="000F4CC1">
            <w:pPr>
              <w:spacing w:before="0" w:after="0" w:line="259" w:lineRule="auto"/>
              <w:jc w:val="center"/>
              <w:rPr>
                <w:sz w:val="20"/>
                <w:szCs w:val="18"/>
              </w:rPr>
            </w:pPr>
            <w:r>
              <w:rPr>
                <w:sz w:val="20"/>
                <w:szCs w:val="18"/>
              </w:rPr>
              <w:t>-</w:t>
            </w:r>
          </w:p>
        </w:tc>
      </w:tr>
      <w:tr w:rsidR="001D4369" w14:paraId="370EEB26" w14:textId="77777777" w:rsidTr="000E0DC5">
        <w:tc>
          <w:tcPr>
            <w:tcW w:w="506" w:type="pct"/>
            <w:tcBorders>
              <w:top w:val="single" w:sz="4" w:space="0" w:color="000000"/>
              <w:left w:val="double" w:sz="6" w:space="0" w:color="auto"/>
              <w:bottom w:val="single" w:sz="4" w:space="0" w:color="000000"/>
            </w:tcBorders>
            <w:vAlign w:val="center"/>
          </w:tcPr>
          <w:p w14:paraId="4BBD7852" w14:textId="77777777" w:rsidR="001D4369" w:rsidRDefault="001D4369" w:rsidP="00EF2ED1">
            <w:pPr>
              <w:spacing w:before="0" w:after="0" w:line="259" w:lineRule="auto"/>
              <w:jc w:val="right"/>
              <w:rPr>
                <w:b/>
                <w:bCs/>
                <w:sz w:val="20"/>
                <w:szCs w:val="18"/>
              </w:rPr>
            </w:pPr>
            <w:r>
              <w:rPr>
                <w:b/>
                <w:bCs/>
                <w:sz w:val="20"/>
                <w:szCs w:val="18"/>
              </w:rPr>
              <w:t>3</w:t>
            </w:r>
          </w:p>
        </w:tc>
        <w:tc>
          <w:tcPr>
            <w:tcW w:w="2210" w:type="pct"/>
            <w:tcBorders>
              <w:top w:val="single" w:sz="4" w:space="0" w:color="000000"/>
              <w:bottom w:val="single" w:sz="4" w:space="0" w:color="000000"/>
              <w:right w:val="double" w:sz="6" w:space="0" w:color="auto"/>
            </w:tcBorders>
            <w:vAlign w:val="center"/>
          </w:tcPr>
          <w:p w14:paraId="3EBDC359" w14:textId="77777777" w:rsidR="001D4369" w:rsidRPr="00883DC1" w:rsidRDefault="001D4369" w:rsidP="00EF2ED1">
            <w:pPr>
              <w:spacing w:before="0" w:after="0" w:line="259" w:lineRule="auto"/>
              <w:jc w:val="right"/>
              <w:rPr>
                <w:sz w:val="20"/>
                <w:szCs w:val="18"/>
              </w:rPr>
            </w:pPr>
            <w:r>
              <w:rPr>
                <w:sz w:val="20"/>
                <w:szCs w:val="18"/>
              </w:rPr>
              <w:t>Telefonista</w:t>
            </w:r>
          </w:p>
        </w:tc>
        <w:tc>
          <w:tcPr>
            <w:tcW w:w="741" w:type="pct"/>
            <w:tcBorders>
              <w:top w:val="single" w:sz="4" w:space="0" w:color="000000"/>
              <w:left w:val="double" w:sz="6" w:space="0" w:color="auto"/>
            </w:tcBorders>
            <w:vAlign w:val="center"/>
          </w:tcPr>
          <w:p w14:paraId="10FBF3D8"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right w:val="double" w:sz="6" w:space="0" w:color="auto"/>
            </w:tcBorders>
            <w:shd w:val="clear" w:color="auto" w:fill="auto"/>
            <w:vAlign w:val="center"/>
          </w:tcPr>
          <w:p w14:paraId="2CC65606" w14:textId="77777777" w:rsidR="001D4369" w:rsidRPr="00B25800" w:rsidRDefault="001D4369" w:rsidP="000F4CC1">
            <w:pPr>
              <w:spacing w:before="0" w:after="0" w:line="259" w:lineRule="auto"/>
              <w:jc w:val="center"/>
              <w:rPr>
                <w:sz w:val="20"/>
                <w:szCs w:val="18"/>
              </w:rPr>
            </w:pPr>
            <w:r>
              <w:rPr>
                <w:sz w:val="20"/>
                <w:szCs w:val="18"/>
              </w:rPr>
              <w:t>-</w:t>
            </w:r>
          </w:p>
        </w:tc>
        <w:tc>
          <w:tcPr>
            <w:tcW w:w="794" w:type="pct"/>
            <w:tcBorders>
              <w:left w:val="double" w:sz="6" w:space="0" w:color="auto"/>
              <w:right w:val="double" w:sz="6" w:space="0" w:color="auto"/>
            </w:tcBorders>
            <w:vAlign w:val="center"/>
          </w:tcPr>
          <w:p w14:paraId="4FDEF2A1" w14:textId="77777777" w:rsidR="001D4369" w:rsidRPr="00A669F0" w:rsidRDefault="001D4369" w:rsidP="000F4CC1">
            <w:pPr>
              <w:spacing w:before="0" w:after="0" w:line="259" w:lineRule="auto"/>
              <w:jc w:val="center"/>
              <w:rPr>
                <w:sz w:val="20"/>
                <w:szCs w:val="18"/>
              </w:rPr>
            </w:pPr>
            <w:r>
              <w:rPr>
                <w:sz w:val="20"/>
                <w:szCs w:val="18"/>
              </w:rPr>
              <w:t>-</w:t>
            </w:r>
          </w:p>
        </w:tc>
      </w:tr>
      <w:tr w:rsidR="001D4369" w14:paraId="75CFE281" w14:textId="77777777" w:rsidTr="000E0DC5">
        <w:tc>
          <w:tcPr>
            <w:tcW w:w="506" w:type="pct"/>
            <w:tcBorders>
              <w:top w:val="single" w:sz="4" w:space="0" w:color="000000"/>
              <w:left w:val="double" w:sz="6" w:space="0" w:color="auto"/>
              <w:bottom w:val="single" w:sz="4" w:space="0" w:color="000000"/>
            </w:tcBorders>
            <w:vAlign w:val="center"/>
          </w:tcPr>
          <w:p w14:paraId="525FD06B" w14:textId="77777777" w:rsidR="001D4369" w:rsidRDefault="001D4369" w:rsidP="00EF2ED1">
            <w:pPr>
              <w:spacing w:before="0" w:after="0" w:line="259" w:lineRule="auto"/>
              <w:jc w:val="right"/>
              <w:rPr>
                <w:b/>
                <w:bCs/>
                <w:sz w:val="20"/>
                <w:szCs w:val="18"/>
              </w:rPr>
            </w:pPr>
            <w:r>
              <w:rPr>
                <w:b/>
                <w:bCs/>
                <w:sz w:val="20"/>
                <w:szCs w:val="18"/>
              </w:rPr>
              <w:t>4</w:t>
            </w:r>
          </w:p>
        </w:tc>
        <w:tc>
          <w:tcPr>
            <w:tcW w:w="2210" w:type="pct"/>
            <w:tcBorders>
              <w:top w:val="single" w:sz="4" w:space="0" w:color="000000"/>
              <w:bottom w:val="single" w:sz="4" w:space="0" w:color="000000"/>
              <w:right w:val="double" w:sz="6" w:space="0" w:color="auto"/>
            </w:tcBorders>
            <w:vAlign w:val="center"/>
          </w:tcPr>
          <w:p w14:paraId="40CB7AE1" w14:textId="77777777" w:rsidR="001D4369" w:rsidRPr="00883DC1" w:rsidRDefault="001D4369" w:rsidP="00EF2ED1">
            <w:pPr>
              <w:spacing w:before="0" w:after="0" w:line="259" w:lineRule="auto"/>
              <w:jc w:val="right"/>
              <w:rPr>
                <w:sz w:val="20"/>
                <w:szCs w:val="18"/>
              </w:rPr>
            </w:pPr>
            <w:r>
              <w:rPr>
                <w:sz w:val="20"/>
                <w:szCs w:val="18"/>
              </w:rPr>
              <w:t>Pastor</w:t>
            </w:r>
          </w:p>
        </w:tc>
        <w:tc>
          <w:tcPr>
            <w:tcW w:w="741" w:type="pct"/>
            <w:tcBorders>
              <w:left w:val="double" w:sz="6" w:space="0" w:color="auto"/>
            </w:tcBorders>
            <w:vAlign w:val="center"/>
          </w:tcPr>
          <w:p w14:paraId="5935D3B1"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right w:val="double" w:sz="6" w:space="0" w:color="auto"/>
            </w:tcBorders>
            <w:shd w:val="clear" w:color="auto" w:fill="auto"/>
            <w:vAlign w:val="center"/>
          </w:tcPr>
          <w:p w14:paraId="010711DC" w14:textId="77777777" w:rsidR="001D4369" w:rsidRPr="00B25800" w:rsidRDefault="001D4369" w:rsidP="000F4CC1">
            <w:pPr>
              <w:spacing w:before="0" w:after="0" w:line="259" w:lineRule="auto"/>
              <w:jc w:val="center"/>
              <w:rPr>
                <w:sz w:val="20"/>
                <w:szCs w:val="18"/>
              </w:rPr>
            </w:pPr>
            <w:r>
              <w:rPr>
                <w:sz w:val="20"/>
                <w:szCs w:val="18"/>
              </w:rPr>
              <w:t>23.309</w:t>
            </w:r>
          </w:p>
        </w:tc>
        <w:tc>
          <w:tcPr>
            <w:tcW w:w="794" w:type="pct"/>
            <w:tcBorders>
              <w:left w:val="double" w:sz="6" w:space="0" w:color="auto"/>
              <w:right w:val="double" w:sz="6" w:space="0" w:color="auto"/>
            </w:tcBorders>
            <w:vAlign w:val="center"/>
          </w:tcPr>
          <w:p w14:paraId="0744CF43" w14:textId="77777777" w:rsidR="001D4369" w:rsidRPr="00A669F0" w:rsidRDefault="001D4369" w:rsidP="000F4CC1">
            <w:pPr>
              <w:spacing w:before="0" w:after="0" w:line="259" w:lineRule="auto"/>
              <w:jc w:val="center"/>
              <w:rPr>
                <w:sz w:val="20"/>
                <w:szCs w:val="18"/>
              </w:rPr>
            </w:pPr>
            <w:r>
              <w:rPr>
                <w:sz w:val="20"/>
                <w:szCs w:val="18"/>
              </w:rPr>
              <w:t>100%</w:t>
            </w:r>
          </w:p>
        </w:tc>
      </w:tr>
      <w:tr w:rsidR="001D4369" w14:paraId="68276058" w14:textId="77777777" w:rsidTr="000E0DC5">
        <w:tc>
          <w:tcPr>
            <w:tcW w:w="506" w:type="pct"/>
            <w:tcBorders>
              <w:top w:val="single" w:sz="4" w:space="0" w:color="000000"/>
              <w:left w:val="double" w:sz="6" w:space="0" w:color="auto"/>
              <w:bottom w:val="single" w:sz="4" w:space="0" w:color="000000"/>
            </w:tcBorders>
            <w:vAlign w:val="center"/>
          </w:tcPr>
          <w:p w14:paraId="433157CD" w14:textId="77777777" w:rsidR="001D4369" w:rsidRDefault="001D4369" w:rsidP="00EF2ED1">
            <w:pPr>
              <w:spacing w:before="0" w:after="0" w:line="259" w:lineRule="auto"/>
              <w:jc w:val="right"/>
              <w:rPr>
                <w:b/>
                <w:bCs/>
                <w:sz w:val="20"/>
                <w:szCs w:val="18"/>
              </w:rPr>
            </w:pPr>
            <w:r>
              <w:rPr>
                <w:b/>
                <w:bCs/>
                <w:sz w:val="20"/>
                <w:szCs w:val="18"/>
              </w:rPr>
              <w:t>5</w:t>
            </w:r>
          </w:p>
        </w:tc>
        <w:tc>
          <w:tcPr>
            <w:tcW w:w="2210" w:type="pct"/>
            <w:tcBorders>
              <w:top w:val="single" w:sz="4" w:space="0" w:color="000000"/>
              <w:bottom w:val="single" w:sz="4" w:space="0" w:color="000000"/>
              <w:right w:val="double" w:sz="6" w:space="0" w:color="auto"/>
            </w:tcBorders>
            <w:vAlign w:val="center"/>
          </w:tcPr>
          <w:p w14:paraId="5702291D" w14:textId="77777777" w:rsidR="001D4369" w:rsidRPr="00883DC1" w:rsidRDefault="001D4369" w:rsidP="00EF2ED1">
            <w:pPr>
              <w:spacing w:before="0" w:after="0" w:line="259" w:lineRule="auto"/>
              <w:jc w:val="right"/>
              <w:rPr>
                <w:sz w:val="20"/>
                <w:szCs w:val="18"/>
              </w:rPr>
            </w:pPr>
            <w:r>
              <w:rPr>
                <w:sz w:val="20"/>
                <w:szCs w:val="18"/>
              </w:rPr>
              <w:t>Operario</w:t>
            </w:r>
          </w:p>
        </w:tc>
        <w:tc>
          <w:tcPr>
            <w:tcW w:w="741" w:type="pct"/>
            <w:tcBorders>
              <w:left w:val="double" w:sz="6" w:space="0" w:color="auto"/>
            </w:tcBorders>
            <w:vAlign w:val="center"/>
          </w:tcPr>
          <w:p w14:paraId="08F02EFB" w14:textId="77777777" w:rsidR="001D4369" w:rsidRPr="00425BA2" w:rsidRDefault="001D4369" w:rsidP="000F4CC1">
            <w:pPr>
              <w:spacing w:before="0" w:after="0" w:line="259" w:lineRule="auto"/>
              <w:jc w:val="center"/>
              <w:rPr>
                <w:sz w:val="20"/>
                <w:szCs w:val="18"/>
              </w:rPr>
            </w:pPr>
            <w:r>
              <w:rPr>
                <w:sz w:val="20"/>
                <w:szCs w:val="18"/>
              </w:rPr>
              <w:t>10.414</w:t>
            </w:r>
          </w:p>
        </w:tc>
        <w:tc>
          <w:tcPr>
            <w:tcW w:w="749" w:type="pct"/>
            <w:tcBorders>
              <w:right w:val="double" w:sz="6" w:space="0" w:color="auto"/>
            </w:tcBorders>
            <w:shd w:val="clear" w:color="auto" w:fill="auto"/>
            <w:vAlign w:val="center"/>
          </w:tcPr>
          <w:p w14:paraId="014706D0" w14:textId="77777777" w:rsidR="001D4369" w:rsidRPr="00B25800" w:rsidRDefault="001D4369" w:rsidP="000F4CC1">
            <w:pPr>
              <w:spacing w:before="0" w:after="0" w:line="259" w:lineRule="auto"/>
              <w:jc w:val="center"/>
              <w:rPr>
                <w:sz w:val="20"/>
                <w:szCs w:val="18"/>
              </w:rPr>
            </w:pPr>
            <w:r>
              <w:rPr>
                <w:sz w:val="20"/>
                <w:szCs w:val="18"/>
              </w:rPr>
              <w:t>10.925</w:t>
            </w:r>
          </w:p>
        </w:tc>
        <w:tc>
          <w:tcPr>
            <w:tcW w:w="794" w:type="pct"/>
            <w:tcBorders>
              <w:left w:val="double" w:sz="6" w:space="0" w:color="auto"/>
              <w:right w:val="double" w:sz="6" w:space="0" w:color="auto"/>
            </w:tcBorders>
            <w:vAlign w:val="center"/>
          </w:tcPr>
          <w:p w14:paraId="1CDD12CF" w14:textId="77777777" w:rsidR="001D4369" w:rsidRPr="00A669F0" w:rsidRDefault="001D4369" w:rsidP="000F4CC1">
            <w:pPr>
              <w:spacing w:before="0" w:after="0" w:line="259" w:lineRule="auto"/>
              <w:jc w:val="center"/>
              <w:rPr>
                <w:sz w:val="20"/>
                <w:szCs w:val="18"/>
              </w:rPr>
            </w:pPr>
            <w:r>
              <w:rPr>
                <w:sz w:val="20"/>
                <w:szCs w:val="18"/>
              </w:rPr>
              <w:t>5%</w:t>
            </w:r>
          </w:p>
        </w:tc>
      </w:tr>
      <w:tr w:rsidR="001D4369" w14:paraId="07D00AC3" w14:textId="77777777" w:rsidTr="000E0DC5">
        <w:tc>
          <w:tcPr>
            <w:tcW w:w="506" w:type="pct"/>
            <w:tcBorders>
              <w:top w:val="single" w:sz="4" w:space="0" w:color="000000"/>
              <w:left w:val="double" w:sz="6" w:space="0" w:color="auto"/>
              <w:bottom w:val="single" w:sz="4" w:space="0" w:color="000000"/>
            </w:tcBorders>
            <w:vAlign w:val="center"/>
          </w:tcPr>
          <w:p w14:paraId="49A810CF" w14:textId="77777777" w:rsidR="001D4369" w:rsidRDefault="001D4369" w:rsidP="00EF2ED1">
            <w:pPr>
              <w:spacing w:before="0" w:after="0" w:line="259" w:lineRule="auto"/>
              <w:jc w:val="right"/>
              <w:rPr>
                <w:b/>
                <w:bCs/>
                <w:sz w:val="20"/>
                <w:szCs w:val="18"/>
              </w:rPr>
            </w:pPr>
            <w:r>
              <w:rPr>
                <w:b/>
                <w:bCs/>
                <w:sz w:val="20"/>
                <w:szCs w:val="18"/>
              </w:rPr>
              <w:t>6</w:t>
            </w:r>
          </w:p>
        </w:tc>
        <w:tc>
          <w:tcPr>
            <w:tcW w:w="2210" w:type="pct"/>
            <w:tcBorders>
              <w:top w:val="single" w:sz="4" w:space="0" w:color="000000"/>
              <w:bottom w:val="single" w:sz="4" w:space="0" w:color="000000"/>
              <w:right w:val="double" w:sz="6" w:space="0" w:color="auto"/>
            </w:tcBorders>
            <w:vAlign w:val="center"/>
          </w:tcPr>
          <w:p w14:paraId="4F99A885" w14:textId="77777777" w:rsidR="001D4369" w:rsidRPr="00883DC1" w:rsidRDefault="001D4369" w:rsidP="00EF2ED1">
            <w:pPr>
              <w:spacing w:before="0" w:after="0" w:line="259" w:lineRule="auto"/>
              <w:jc w:val="right"/>
              <w:rPr>
                <w:sz w:val="20"/>
                <w:szCs w:val="18"/>
              </w:rPr>
            </w:pPr>
            <w:r>
              <w:rPr>
                <w:sz w:val="20"/>
                <w:szCs w:val="18"/>
              </w:rPr>
              <w:t>Operario especializado</w:t>
            </w:r>
          </w:p>
        </w:tc>
        <w:tc>
          <w:tcPr>
            <w:tcW w:w="741" w:type="pct"/>
            <w:tcBorders>
              <w:left w:val="double" w:sz="6" w:space="0" w:color="auto"/>
            </w:tcBorders>
            <w:vAlign w:val="center"/>
          </w:tcPr>
          <w:p w14:paraId="54E2CF8E" w14:textId="77777777" w:rsidR="001D4369" w:rsidRPr="00425BA2" w:rsidRDefault="001D4369" w:rsidP="000F4CC1">
            <w:pPr>
              <w:spacing w:before="0" w:after="0" w:line="259" w:lineRule="auto"/>
              <w:jc w:val="center"/>
              <w:rPr>
                <w:sz w:val="20"/>
                <w:szCs w:val="18"/>
              </w:rPr>
            </w:pPr>
            <w:r>
              <w:rPr>
                <w:sz w:val="20"/>
                <w:szCs w:val="18"/>
              </w:rPr>
              <w:t>8.204</w:t>
            </w:r>
          </w:p>
        </w:tc>
        <w:tc>
          <w:tcPr>
            <w:tcW w:w="749" w:type="pct"/>
            <w:tcBorders>
              <w:right w:val="double" w:sz="6" w:space="0" w:color="auto"/>
            </w:tcBorders>
            <w:shd w:val="clear" w:color="auto" w:fill="auto"/>
            <w:vAlign w:val="center"/>
          </w:tcPr>
          <w:p w14:paraId="1C41613D" w14:textId="77777777" w:rsidR="001D4369" w:rsidRPr="00B25800" w:rsidRDefault="001D4369" w:rsidP="000F4CC1">
            <w:pPr>
              <w:spacing w:before="0" w:after="0" w:line="259" w:lineRule="auto"/>
              <w:jc w:val="center"/>
              <w:rPr>
                <w:sz w:val="20"/>
                <w:szCs w:val="18"/>
              </w:rPr>
            </w:pPr>
            <w:r>
              <w:rPr>
                <w:sz w:val="20"/>
                <w:szCs w:val="18"/>
              </w:rPr>
              <w:t>16.500</w:t>
            </w:r>
          </w:p>
        </w:tc>
        <w:tc>
          <w:tcPr>
            <w:tcW w:w="794" w:type="pct"/>
            <w:tcBorders>
              <w:left w:val="double" w:sz="6" w:space="0" w:color="auto"/>
              <w:right w:val="double" w:sz="6" w:space="0" w:color="auto"/>
            </w:tcBorders>
            <w:vAlign w:val="center"/>
          </w:tcPr>
          <w:p w14:paraId="133C3528" w14:textId="77777777" w:rsidR="001D4369" w:rsidRPr="00A669F0" w:rsidRDefault="001D4369" w:rsidP="000F4CC1">
            <w:pPr>
              <w:spacing w:before="0" w:after="0" w:line="259" w:lineRule="auto"/>
              <w:jc w:val="center"/>
              <w:rPr>
                <w:sz w:val="20"/>
                <w:szCs w:val="18"/>
              </w:rPr>
            </w:pPr>
            <w:r>
              <w:rPr>
                <w:sz w:val="20"/>
                <w:szCs w:val="18"/>
              </w:rPr>
              <w:t>50%</w:t>
            </w:r>
          </w:p>
        </w:tc>
      </w:tr>
      <w:tr w:rsidR="001D4369" w14:paraId="254F547B" w14:textId="77777777" w:rsidTr="000E0DC5">
        <w:tc>
          <w:tcPr>
            <w:tcW w:w="506" w:type="pct"/>
            <w:tcBorders>
              <w:top w:val="single" w:sz="4" w:space="0" w:color="000000"/>
              <w:left w:val="double" w:sz="6" w:space="0" w:color="auto"/>
              <w:bottom w:val="single" w:sz="4" w:space="0" w:color="000000"/>
            </w:tcBorders>
            <w:vAlign w:val="center"/>
          </w:tcPr>
          <w:p w14:paraId="53399C67" w14:textId="77777777" w:rsidR="001D4369" w:rsidRDefault="001D4369" w:rsidP="00EF2ED1">
            <w:pPr>
              <w:spacing w:before="0" w:after="0" w:line="259" w:lineRule="auto"/>
              <w:jc w:val="right"/>
              <w:rPr>
                <w:b/>
                <w:bCs/>
                <w:sz w:val="20"/>
                <w:szCs w:val="18"/>
              </w:rPr>
            </w:pPr>
            <w:r>
              <w:rPr>
                <w:b/>
                <w:bCs/>
                <w:sz w:val="20"/>
                <w:szCs w:val="18"/>
              </w:rPr>
              <w:t>7</w:t>
            </w:r>
          </w:p>
        </w:tc>
        <w:tc>
          <w:tcPr>
            <w:tcW w:w="2210" w:type="pct"/>
            <w:tcBorders>
              <w:top w:val="single" w:sz="4" w:space="0" w:color="000000"/>
              <w:bottom w:val="single" w:sz="4" w:space="0" w:color="000000"/>
              <w:right w:val="double" w:sz="6" w:space="0" w:color="auto"/>
            </w:tcBorders>
            <w:vAlign w:val="center"/>
          </w:tcPr>
          <w:p w14:paraId="6431F2C8" w14:textId="77777777" w:rsidR="001D4369" w:rsidRPr="00883DC1" w:rsidRDefault="001D4369" w:rsidP="00EF2ED1">
            <w:pPr>
              <w:spacing w:before="0" w:after="0" w:line="259" w:lineRule="auto"/>
              <w:jc w:val="right"/>
              <w:rPr>
                <w:sz w:val="20"/>
                <w:szCs w:val="18"/>
              </w:rPr>
            </w:pPr>
            <w:r>
              <w:rPr>
                <w:sz w:val="20"/>
                <w:szCs w:val="18"/>
              </w:rPr>
              <w:t>Auxiliar</w:t>
            </w:r>
          </w:p>
        </w:tc>
        <w:tc>
          <w:tcPr>
            <w:tcW w:w="741" w:type="pct"/>
            <w:tcBorders>
              <w:left w:val="double" w:sz="6" w:space="0" w:color="auto"/>
            </w:tcBorders>
            <w:vAlign w:val="center"/>
          </w:tcPr>
          <w:p w14:paraId="6B3BDAEA" w14:textId="77777777" w:rsidR="001D4369" w:rsidRPr="00425BA2" w:rsidRDefault="001D4369" w:rsidP="000F4CC1">
            <w:pPr>
              <w:spacing w:before="0" w:after="0" w:line="259" w:lineRule="auto"/>
              <w:jc w:val="center"/>
              <w:rPr>
                <w:sz w:val="20"/>
                <w:szCs w:val="18"/>
              </w:rPr>
            </w:pPr>
            <w:r>
              <w:rPr>
                <w:sz w:val="20"/>
                <w:szCs w:val="18"/>
              </w:rPr>
              <w:t>15.600</w:t>
            </w:r>
          </w:p>
        </w:tc>
        <w:tc>
          <w:tcPr>
            <w:tcW w:w="749" w:type="pct"/>
            <w:tcBorders>
              <w:right w:val="double" w:sz="6" w:space="0" w:color="auto"/>
            </w:tcBorders>
            <w:shd w:val="clear" w:color="auto" w:fill="auto"/>
            <w:vAlign w:val="center"/>
          </w:tcPr>
          <w:p w14:paraId="724A314D" w14:textId="77777777" w:rsidR="001D4369" w:rsidRPr="00B25800" w:rsidRDefault="001D4369" w:rsidP="000F4CC1">
            <w:pPr>
              <w:spacing w:before="0" w:after="0" w:line="259" w:lineRule="auto"/>
              <w:jc w:val="center"/>
              <w:rPr>
                <w:sz w:val="20"/>
                <w:szCs w:val="18"/>
              </w:rPr>
            </w:pPr>
            <w:r>
              <w:rPr>
                <w:sz w:val="20"/>
                <w:szCs w:val="18"/>
              </w:rPr>
              <w:t>23.669</w:t>
            </w:r>
          </w:p>
        </w:tc>
        <w:tc>
          <w:tcPr>
            <w:tcW w:w="794" w:type="pct"/>
            <w:tcBorders>
              <w:left w:val="double" w:sz="6" w:space="0" w:color="auto"/>
              <w:right w:val="double" w:sz="6" w:space="0" w:color="auto"/>
            </w:tcBorders>
            <w:vAlign w:val="center"/>
          </w:tcPr>
          <w:p w14:paraId="23523F33" w14:textId="77777777" w:rsidR="001D4369" w:rsidRPr="00A669F0" w:rsidRDefault="001D4369" w:rsidP="000F4CC1">
            <w:pPr>
              <w:spacing w:before="0" w:after="0" w:line="259" w:lineRule="auto"/>
              <w:jc w:val="center"/>
              <w:rPr>
                <w:sz w:val="20"/>
                <w:szCs w:val="18"/>
              </w:rPr>
            </w:pPr>
            <w:r>
              <w:rPr>
                <w:sz w:val="20"/>
                <w:szCs w:val="18"/>
              </w:rPr>
              <w:t>34%</w:t>
            </w:r>
          </w:p>
        </w:tc>
      </w:tr>
      <w:tr w:rsidR="001D4369" w14:paraId="1EE12010" w14:textId="77777777" w:rsidTr="000E0DC5">
        <w:tc>
          <w:tcPr>
            <w:tcW w:w="506" w:type="pct"/>
            <w:tcBorders>
              <w:top w:val="single" w:sz="4" w:space="0" w:color="000000"/>
              <w:left w:val="double" w:sz="6" w:space="0" w:color="auto"/>
              <w:bottom w:val="single" w:sz="4" w:space="0" w:color="000000"/>
            </w:tcBorders>
            <w:vAlign w:val="center"/>
          </w:tcPr>
          <w:p w14:paraId="6F68BB10" w14:textId="77777777" w:rsidR="001D4369" w:rsidRDefault="001D4369" w:rsidP="00EF2ED1">
            <w:pPr>
              <w:spacing w:before="0" w:after="0" w:line="259" w:lineRule="auto"/>
              <w:jc w:val="right"/>
              <w:rPr>
                <w:b/>
                <w:bCs/>
                <w:sz w:val="20"/>
                <w:szCs w:val="18"/>
              </w:rPr>
            </w:pPr>
            <w:r>
              <w:rPr>
                <w:b/>
                <w:bCs/>
                <w:sz w:val="20"/>
                <w:szCs w:val="18"/>
              </w:rPr>
              <w:t>8</w:t>
            </w:r>
          </w:p>
        </w:tc>
        <w:tc>
          <w:tcPr>
            <w:tcW w:w="2210" w:type="pct"/>
            <w:tcBorders>
              <w:top w:val="single" w:sz="4" w:space="0" w:color="000000"/>
              <w:bottom w:val="single" w:sz="4" w:space="0" w:color="000000"/>
              <w:right w:val="double" w:sz="6" w:space="0" w:color="auto"/>
            </w:tcBorders>
            <w:vAlign w:val="center"/>
          </w:tcPr>
          <w:p w14:paraId="1FDD407D" w14:textId="77777777" w:rsidR="001D4369" w:rsidRPr="00883DC1" w:rsidRDefault="001D4369" w:rsidP="00EF2ED1">
            <w:pPr>
              <w:spacing w:before="0" w:after="0" w:line="259" w:lineRule="auto"/>
              <w:jc w:val="right"/>
              <w:rPr>
                <w:sz w:val="20"/>
                <w:szCs w:val="18"/>
              </w:rPr>
            </w:pPr>
            <w:r>
              <w:rPr>
                <w:sz w:val="20"/>
                <w:szCs w:val="18"/>
              </w:rPr>
              <w:t>Auxiliar informático</w:t>
            </w:r>
          </w:p>
        </w:tc>
        <w:tc>
          <w:tcPr>
            <w:tcW w:w="741" w:type="pct"/>
            <w:tcBorders>
              <w:left w:val="double" w:sz="6" w:space="0" w:color="auto"/>
            </w:tcBorders>
            <w:vAlign w:val="center"/>
          </w:tcPr>
          <w:p w14:paraId="05FFAFA4" w14:textId="77777777" w:rsidR="001D4369" w:rsidRPr="00425BA2" w:rsidRDefault="001D4369" w:rsidP="000F4CC1">
            <w:pPr>
              <w:spacing w:before="0" w:after="0" w:line="259" w:lineRule="auto"/>
              <w:jc w:val="center"/>
              <w:rPr>
                <w:sz w:val="20"/>
                <w:szCs w:val="18"/>
              </w:rPr>
            </w:pPr>
            <w:r>
              <w:rPr>
                <w:sz w:val="20"/>
                <w:szCs w:val="18"/>
              </w:rPr>
              <w:t>23.596</w:t>
            </w:r>
          </w:p>
        </w:tc>
        <w:tc>
          <w:tcPr>
            <w:tcW w:w="749" w:type="pct"/>
            <w:tcBorders>
              <w:right w:val="double" w:sz="6" w:space="0" w:color="auto"/>
            </w:tcBorders>
            <w:shd w:val="clear" w:color="auto" w:fill="auto"/>
            <w:vAlign w:val="center"/>
          </w:tcPr>
          <w:p w14:paraId="3D01CAD8" w14:textId="77777777" w:rsidR="001D4369" w:rsidRPr="00B25800" w:rsidRDefault="001D4369" w:rsidP="000F4CC1">
            <w:pPr>
              <w:spacing w:before="0" w:after="0" w:line="259" w:lineRule="auto"/>
              <w:jc w:val="center"/>
              <w:rPr>
                <w:sz w:val="20"/>
                <w:szCs w:val="18"/>
              </w:rPr>
            </w:pPr>
            <w:r>
              <w:rPr>
                <w:sz w:val="20"/>
                <w:szCs w:val="18"/>
              </w:rPr>
              <w:t>25.052</w:t>
            </w:r>
          </w:p>
        </w:tc>
        <w:tc>
          <w:tcPr>
            <w:tcW w:w="794" w:type="pct"/>
            <w:tcBorders>
              <w:left w:val="double" w:sz="6" w:space="0" w:color="auto"/>
              <w:right w:val="double" w:sz="6" w:space="0" w:color="auto"/>
            </w:tcBorders>
            <w:vAlign w:val="center"/>
          </w:tcPr>
          <w:p w14:paraId="08CF9704" w14:textId="77777777" w:rsidR="001D4369" w:rsidRPr="00A669F0" w:rsidRDefault="001D4369" w:rsidP="000F4CC1">
            <w:pPr>
              <w:spacing w:before="0" w:after="0" w:line="259" w:lineRule="auto"/>
              <w:jc w:val="center"/>
              <w:rPr>
                <w:sz w:val="20"/>
                <w:szCs w:val="18"/>
              </w:rPr>
            </w:pPr>
            <w:r>
              <w:rPr>
                <w:sz w:val="20"/>
                <w:szCs w:val="18"/>
              </w:rPr>
              <w:t>4%</w:t>
            </w:r>
          </w:p>
        </w:tc>
      </w:tr>
      <w:tr w:rsidR="001D4369" w14:paraId="0B647E59" w14:textId="77777777" w:rsidTr="000E0DC5">
        <w:tc>
          <w:tcPr>
            <w:tcW w:w="506" w:type="pct"/>
            <w:tcBorders>
              <w:top w:val="single" w:sz="4" w:space="0" w:color="000000"/>
              <w:left w:val="double" w:sz="6" w:space="0" w:color="auto"/>
              <w:bottom w:val="single" w:sz="4" w:space="0" w:color="000000"/>
            </w:tcBorders>
            <w:vAlign w:val="center"/>
          </w:tcPr>
          <w:p w14:paraId="3D97D4B6" w14:textId="77777777" w:rsidR="001D4369" w:rsidRDefault="001D4369" w:rsidP="00EF2ED1">
            <w:pPr>
              <w:spacing w:before="0" w:after="0" w:line="259" w:lineRule="auto"/>
              <w:jc w:val="right"/>
              <w:rPr>
                <w:b/>
                <w:bCs/>
                <w:sz w:val="20"/>
                <w:szCs w:val="18"/>
              </w:rPr>
            </w:pPr>
            <w:r>
              <w:rPr>
                <w:b/>
                <w:bCs/>
                <w:sz w:val="20"/>
                <w:szCs w:val="18"/>
              </w:rPr>
              <w:t>9</w:t>
            </w:r>
          </w:p>
        </w:tc>
        <w:tc>
          <w:tcPr>
            <w:tcW w:w="2210" w:type="pct"/>
            <w:tcBorders>
              <w:top w:val="single" w:sz="4" w:space="0" w:color="000000"/>
              <w:bottom w:val="single" w:sz="4" w:space="0" w:color="000000"/>
              <w:right w:val="double" w:sz="6" w:space="0" w:color="auto"/>
            </w:tcBorders>
            <w:vAlign w:val="center"/>
          </w:tcPr>
          <w:p w14:paraId="04C82E3A" w14:textId="77777777" w:rsidR="001D4369" w:rsidRPr="00883DC1" w:rsidRDefault="001D4369" w:rsidP="00EF2ED1">
            <w:pPr>
              <w:spacing w:before="0" w:after="0" w:line="259" w:lineRule="auto"/>
              <w:jc w:val="right"/>
              <w:rPr>
                <w:sz w:val="20"/>
                <w:szCs w:val="18"/>
              </w:rPr>
            </w:pPr>
            <w:r>
              <w:rPr>
                <w:sz w:val="20"/>
                <w:szCs w:val="18"/>
              </w:rPr>
              <w:t>Oficial 2ª Oficio</w:t>
            </w:r>
          </w:p>
        </w:tc>
        <w:tc>
          <w:tcPr>
            <w:tcW w:w="741" w:type="pct"/>
            <w:tcBorders>
              <w:left w:val="double" w:sz="6" w:space="0" w:color="auto"/>
            </w:tcBorders>
            <w:vAlign w:val="center"/>
          </w:tcPr>
          <w:p w14:paraId="0EA20DF6"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right w:val="double" w:sz="6" w:space="0" w:color="auto"/>
            </w:tcBorders>
            <w:shd w:val="clear" w:color="auto" w:fill="auto"/>
            <w:vAlign w:val="center"/>
          </w:tcPr>
          <w:p w14:paraId="79FE5441" w14:textId="77777777" w:rsidR="001D4369" w:rsidRPr="00B25800" w:rsidRDefault="001D4369" w:rsidP="000F4CC1">
            <w:pPr>
              <w:spacing w:before="0" w:after="0" w:line="259" w:lineRule="auto"/>
              <w:jc w:val="center"/>
              <w:rPr>
                <w:sz w:val="20"/>
                <w:szCs w:val="18"/>
              </w:rPr>
            </w:pPr>
            <w:r>
              <w:rPr>
                <w:sz w:val="20"/>
                <w:szCs w:val="18"/>
              </w:rPr>
              <w:t>-</w:t>
            </w:r>
          </w:p>
        </w:tc>
        <w:tc>
          <w:tcPr>
            <w:tcW w:w="794" w:type="pct"/>
            <w:tcBorders>
              <w:left w:val="double" w:sz="6" w:space="0" w:color="auto"/>
              <w:right w:val="double" w:sz="6" w:space="0" w:color="auto"/>
            </w:tcBorders>
            <w:vAlign w:val="center"/>
          </w:tcPr>
          <w:p w14:paraId="2CF3432A" w14:textId="77777777" w:rsidR="001D4369" w:rsidRPr="00A669F0" w:rsidRDefault="001D4369" w:rsidP="000F4CC1">
            <w:pPr>
              <w:spacing w:before="0" w:after="0" w:line="259" w:lineRule="auto"/>
              <w:jc w:val="center"/>
              <w:rPr>
                <w:sz w:val="20"/>
                <w:szCs w:val="18"/>
              </w:rPr>
            </w:pPr>
            <w:r>
              <w:rPr>
                <w:sz w:val="20"/>
                <w:szCs w:val="18"/>
              </w:rPr>
              <w:t>-</w:t>
            </w:r>
          </w:p>
        </w:tc>
      </w:tr>
      <w:tr w:rsidR="001D4369" w14:paraId="1B6FCF1B" w14:textId="77777777" w:rsidTr="000E0DC5">
        <w:tc>
          <w:tcPr>
            <w:tcW w:w="506" w:type="pct"/>
            <w:tcBorders>
              <w:top w:val="single" w:sz="4" w:space="0" w:color="000000"/>
              <w:left w:val="double" w:sz="6" w:space="0" w:color="auto"/>
              <w:bottom w:val="single" w:sz="4" w:space="0" w:color="000000"/>
            </w:tcBorders>
            <w:vAlign w:val="center"/>
          </w:tcPr>
          <w:p w14:paraId="294FD8E0" w14:textId="77777777" w:rsidR="001D4369" w:rsidRDefault="001D4369" w:rsidP="00EF2ED1">
            <w:pPr>
              <w:spacing w:before="0" w:after="0" w:line="259" w:lineRule="auto"/>
              <w:jc w:val="right"/>
              <w:rPr>
                <w:b/>
                <w:bCs/>
                <w:sz w:val="20"/>
                <w:szCs w:val="18"/>
              </w:rPr>
            </w:pPr>
            <w:r>
              <w:rPr>
                <w:b/>
                <w:bCs/>
                <w:sz w:val="20"/>
                <w:szCs w:val="18"/>
              </w:rPr>
              <w:t>10</w:t>
            </w:r>
          </w:p>
        </w:tc>
        <w:tc>
          <w:tcPr>
            <w:tcW w:w="2210" w:type="pct"/>
            <w:tcBorders>
              <w:top w:val="single" w:sz="4" w:space="0" w:color="000000"/>
              <w:bottom w:val="single" w:sz="4" w:space="0" w:color="000000"/>
              <w:right w:val="double" w:sz="6" w:space="0" w:color="auto"/>
            </w:tcBorders>
            <w:vAlign w:val="center"/>
          </w:tcPr>
          <w:p w14:paraId="773FDA38" w14:textId="77777777" w:rsidR="001D4369" w:rsidRPr="00883DC1" w:rsidRDefault="001D4369" w:rsidP="00EF2ED1">
            <w:pPr>
              <w:spacing w:before="0" w:after="0" w:line="259" w:lineRule="auto"/>
              <w:jc w:val="right"/>
              <w:rPr>
                <w:sz w:val="20"/>
                <w:szCs w:val="18"/>
              </w:rPr>
            </w:pPr>
            <w:r>
              <w:rPr>
                <w:sz w:val="20"/>
                <w:szCs w:val="18"/>
              </w:rPr>
              <w:t>Auxiliar de apoyo</w:t>
            </w:r>
          </w:p>
        </w:tc>
        <w:tc>
          <w:tcPr>
            <w:tcW w:w="741" w:type="pct"/>
            <w:tcBorders>
              <w:left w:val="double" w:sz="6" w:space="0" w:color="auto"/>
            </w:tcBorders>
            <w:vAlign w:val="center"/>
          </w:tcPr>
          <w:p w14:paraId="67A3962B"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right w:val="double" w:sz="6" w:space="0" w:color="auto"/>
            </w:tcBorders>
            <w:shd w:val="clear" w:color="auto" w:fill="auto"/>
            <w:vAlign w:val="center"/>
          </w:tcPr>
          <w:p w14:paraId="09C4EB55" w14:textId="77777777" w:rsidR="001D4369" w:rsidRPr="00B25800" w:rsidRDefault="001D4369" w:rsidP="000F4CC1">
            <w:pPr>
              <w:spacing w:before="0" w:after="0" w:line="259" w:lineRule="auto"/>
              <w:jc w:val="center"/>
              <w:rPr>
                <w:sz w:val="20"/>
                <w:szCs w:val="18"/>
              </w:rPr>
            </w:pPr>
            <w:r>
              <w:rPr>
                <w:sz w:val="20"/>
                <w:szCs w:val="18"/>
              </w:rPr>
              <w:t>-</w:t>
            </w:r>
          </w:p>
        </w:tc>
        <w:tc>
          <w:tcPr>
            <w:tcW w:w="794" w:type="pct"/>
            <w:tcBorders>
              <w:left w:val="double" w:sz="6" w:space="0" w:color="auto"/>
              <w:right w:val="double" w:sz="6" w:space="0" w:color="auto"/>
            </w:tcBorders>
            <w:vAlign w:val="center"/>
          </w:tcPr>
          <w:p w14:paraId="6284CB15" w14:textId="77777777" w:rsidR="001D4369" w:rsidRPr="00A669F0" w:rsidRDefault="001D4369" w:rsidP="000F4CC1">
            <w:pPr>
              <w:spacing w:before="0" w:after="0" w:line="259" w:lineRule="auto"/>
              <w:jc w:val="center"/>
              <w:rPr>
                <w:sz w:val="20"/>
                <w:szCs w:val="18"/>
              </w:rPr>
            </w:pPr>
            <w:r>
              <w:rPr>
                <w:sz w:val="20"/>
                <w:szCs w:val="18"/>
              </w:rPr>
              <w:t>-</w:t>
            </w:r>
          </w:p>
        </w:tc>
      </w:tr>
      <w:tr w:rsidR="001D4369" w14:paraId="51619809" w14:textId="77777777" w:rsidTr="000E0DC5">
        <w:tc>
          <w:tcPr>
            <w:tcW w:w="506" w:type="pct"/>
            <w:tcBorders>
              <w:top w:val="single" w:sz="4" w:space="0" w:color="000000"/>
              <w:left w:val="double" w:sz="6" w:space="0" w:color="auto"/>
              <w:bottom w:val="single" w:sz="4" w:space="0" w:color="000000"/>
            </w:tcBorders>
            <w:vAlign w:val="center"/>
          </w:tcPr>
          <w:p w14:paraId="2B68F68F" w14:textId="77777777" w:rsidR="001D4369" w:rsidRDefault="001D4369" w:rsidP="00EF2ED1">
            <w:pPr>
              <w:spacing w:before="0" w:after="0" w:line="259" w:lineRule="auto"/>
              <w:jc w:val="right"/>
              <w:rPr>
                <w:b/>
                <w:bCs/>
                <w:sz w:val="20"/>
                <w:szCs w:val="18"/>
              </w:rPr>
            </w:pPr>
            <w:r>
              <w:rPr>
                <w:b/>
                <w:bCs/>
                <w:sz w:val="20"/>
                <w:szCs w:val="18"/>
              </w:rPr>
              <w:t>11</w:t>
            </w:r>
          </w:p>
        </w:tc>
        <w:tc>
          <w:tcPr>
            <w:tcW w:w="2210" w:type="pct"/>
            <w:tcBorders>
              <w:top w:val="single" w:sz="4" w:space="0" w:color="000000"/>
              <w:bottom w:val="single" w:sz="4" w:space="0" w:color="000000"/>
              <w:right w:val="double" w:sz="6" w:space="0" w:color="auto"/>
            </w:tcBorders>
            <w:vAlign w:val="center"/>
          </w:tcPr>
          <w:p w14:paraId="74C784D1" w14:textId="77777777" w:rsidR="001D4369" w:rsidRPr="00883DC1" w:rsidRDefault="001D4369" w:rsidP="00EF2ED1">
            <w:pPr>
              <w:spacing w:before="0" w:after="0" w:line="259" w:lineRule="auto"/>
              <w:jc w:val="right"/>
              <w:rPr>
                <w:sz w:val="20"/>
                <w:szCs w:val="18"/>
              </w:rPr>
            </w:pPr>
            <w:r>
              <w:rPr>
                <w:sz w:val="20"/>
                <w:szCs w:val="18"/>
              </w:rPr>
              <w:t>Cocinero</w:t>
            </w:r>
          </w:p>
        </w:tc>
        <w:tc>
          <w:tcPr>
            <w:tcW w:w="741" w:type="pct"/>
            <w:tcBorders>
              <w:left w:val="double" w:sz="6" w:space="0" w:color="auto"/>
            </w:tcBorders>
            <w:vAlign w:val="center"/>
          </w:tcPr>
          <w:p w14:paraId="253F40F6" w14:textId="77777777" w:rsidR="001D4369" w:rsidRPr="00425BA2" w:rsidRDefault="001D4369" w:rsidP="000F4CC1">
            <w:pPr>
              <w:spacing w:before="0" w:after="0" w:line="259" w:lineRule="auto"/>
              <w:jc w:val="center"/>
              <w:rPr>
                <w:sz w:val="20"/>
                <w:szCs w:val="18"/>
              </w:rPr>
            </w:pPr>
            <w:r>
              <w:rPr>
                <w:sz w:val="20"/>
                <w:szCs w:val="18"/>
              </w:rPr>
              <w:t>8.238</w:t>
            </w:r>
          </w:p>
        </w:tc>
        <w:tc>
          <w:tcPr>
            <w:tcW w:w="749" w:type="pct"/>
            <w:tcBorders>
              <w:right w:val="double" w:sz="6" w:space="0" w:color="auto"/>
            </w:tcBorders>
            <w:shd w:val="clear" w:color="auto" w:fill="auto"/>
            <w:vAlign w:val="center"/>
          </w:tcPr>
          <w:p w14:paraId="06ABDABD" w14:textId="77777777" w:rsidR="001D4369" w:rsidRPr="00B25800" w:rsidRDefault="001D4369" w:rsidP="000F4CC1">
            <w:pPr>
              <w:spacing w:before="0" w:after="0" w:line="259" w:lineRule="auto"/>
              <w:jc w:val="center"/>
              <w:rPr>
                <w:sz w:val="20"/>
                <w:szCs w:val="18"/>
              </w:rPr>
            </w:pPr>
            <w:r>
              <w:rPr>
                <w:sz w:val="20"/>
                <w:szCs w:val="18"/>
              </w:rPr>
              <w:t>6.416</w:t>
            </w:r>
          </w:p>
        </w:tc>
        <w:tc>
          <w:tcPr>
            <w:tcW w:w="794" w:type="pct"/>
            <w:tcBorders>
              <w:left w:val="double" w:sz="6" w:space="0" w:color="auto"/>
              <w:right w:val="double" w:sz="6" w:space="0" w:color="auto"/>
            </w:tcBorders>
            <w:vAlign w:val="center"/>
          </w:tcPr>
          <w:p w14:paraId="09F32F13" w14:textId="77777777" w:rsidR="001D4369" w:rsidRPr="00A669F0" w:rsidRDefault="001D4369" w:rsidP="000F4CC1">
            <w:pPr>
              <w:spacing w:before="0" w:after="0" w:line="259" w:lineRule="auto"/>
              <w:jc w:val="center"/>
              <w:rPr>
                <w:sz w:val="20"/>
                <w:szCs w:val="18"/>
              </w:rPr>
            </w:pPr>
            <w:r>
              <w:rPr>
                <w:sz w:val="20"/>
                <w:szCs w:val="18"/>
              </w:rPr>
              <w:t>-28%</w:t>
            </w:r>
          </w:p>
        </w:tc>
      </w:tr>
      <w:tr w:rsidR="001D4369" w14:paraId="6B4DD995" w14:textId="77777777" w:rsidTr="000E0DC5">
        <w:tc>
          <w:tcPr>
            <w:tcW w:w="506" w:type="pct"/>
            <w:tcBorders>
              <w:top w:val="single" w:sz="4" w:space="0" w:color="000000"/>
              <w:left w:val="double" w:sz="6" w:space="0" w:color="auto"/>
              <w:bottom w:val="single" w:sz="4" w:space="0" w:color="000000"/>
            </w:tcBorders>
            <w:vAlign w:val="center"/>
          </w:tcPr>
          <w:p w14:paraId="28126A96" w14:textId="77777777" w:rsidR="001D4369" w:rsidRDefault="001D4369" w:rsidP="00EF2ED1">
            <w:pPr>
              <w:spacing w:before="0" w:after="0" w:line="259" w:lineRule="auto"/>
              <w:jc w:val="right"/>
              <w:rPr>
                <w:b/>
                <w:bCs/>
                <w:sz w:val="20"/>
                <w:szCs w:val="18"/>
              </w:rPr>
            </w:pPr>
            <w:r>
              <w:rPr>
                <w:b/>
                <w:bCs/>
                <w:sz w:val="20"/>
                <w:szCs w:val="18"/>
              </w:rPr>
              <w:t>12</w:t>
            </w:r>
          </w:p>
        </w:tc>
        <w:tc>
          <w:tcPr>
            <w:tcW w:w="2210" w:type="pct"/>
            <w:tcBorders>
              <w:top w:val="single" w:sz="4" w:space="0" w:color="000000"/>
              <w:bottom w:val="single" w:sz="4" w:space="0" w:color="000000"/>
              <w:right w:val="double" w:sz="6" w:space="0" w:color="auto"/>
            </w:tcBorders>
            <w:vAlign w:val="center"/>
          </w:tcPr>
          <w:p w14:paraId="658FC3BF" w14:textId="77777777" w:rsidR="001D4369" w:rsidRPr="00883DC1" w:rsidRDefault="001D4369" w:rsidP="00EF2ED1">
            <w:pPr>
              <w:spacing w:before="0" w:after="0" w:line="259" w:lineRule="auto"/>
              <w:jc w:val="right"/>
              <w:rPr>
                <w:sz w:val="20"/>
                <w:szCs w:val="18"/>
              </w:rPr>
            </w:pPr>
            <w:r>
              <w:rPr>
                <w:sz w:val="20"/>
                <w:szCs w:val="18"/>
              </w:rPr>
              <w:t>Operador máquina</w:t>
            </w:r>
          </w:p>
        </w:tc>
        <w:tc>
          <w:tcPr>
            <w:tcW w:w="741" w:type="pct"/>
            <w:tcBorders>
              <w:left w:val="double" w:sz="6" w:space="0" w:color="auto"/>
            </w:tcBorders>
            <w:vAlign w:val="center"/>
          </w:tcPr>
          <w:p w14:paraId="57556C9F"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right w:val="double" w:sz="6" w:space="0" w:color="auto"/>
            </w:tcBorders>
            <w:shd w:val="clear" w:color="auto" w:fill="auto"/>
            <w:vAlign w:val="center"/>
          </w:tcPr>
          <w:p w14:paraId="033501BB" w14:textId="77777777" w:rsidR="001D4369" w:rsidRPr="00B25800" w:rsidRDefault="001D4369" w:rsidP="000F4CC1">
            <w:pPr>
              <w:spacing w:before="0" w:after="0" w:line="259" w:lineRule="auto"/>
              <w:jc w:val="center"/>
              <w:rPr>
                <w:sz w:val="20"/>
                <w:szCs w:val="18"/>
              </w:rPr>
            </w:pPr>
            <w:r>
              <w:rPr>
                <w:sz w:val="20"/>
                <w:szCs w:val="18"/>
              </w:rPr>
              <w:t>31.182</w:t>
            </w:r>
          </w:p>
        </w:tc>
        <w:tc>
          <w:tcPr>
            <w:tcW w:w="794" w:type="pct"/>
            <w:tcBorders>
              <w:left w:val="double" w:sz="6" w:space="0" w:color="auto"/>
              <w:right w:val="double" w:sz="6" w:space="0" w:color="auto"/>
            </w:tcBorders>
            <w:vAlign w:val="center"/>
          </w:tcPr>
          <w:p w14:paraId="239020FA" w14:textId="77777777" w:rsidR="001D4369" w:rsidRPr="00A669F0" w:rsidRDefault="001D4369" w:rsidP="000F4CC1">
            <w:pPr>
              <w:spacing w:before="0" w:after="0" w:line="259" w:lineRule="auto"/>
              <w:jc w:val="center"/>
              <w:rPr>
                <w:sz w:val="20"/>
                <w:szCs w:val="18"/>
              </w:rPr>
            </w:pPr>
            <w:r>
              <w:rPr>
                <w:sz w:val="20"/>
                <w:szCs w:val="18"/>
              </w:rPr>
              <w:t>100%</w:t>
            </w:r>
          </w:p>
        </w:tc>
      </w:tr>
      <w:tr w:rsidR="001D4369" w14:paraId="7211BCD2" w14:textId="77777777" w:rsidTr="000E0DC5">
        <w:tc>
          <w:tcPr>
            <w:tcW w:w="506" w:type="pct"/>
            <w:tcBorders>
              <w:top w:val="single" w:sz="4" w:space="0" w:color="000000"/>
              <w:left w:val="double" w:sz="6" w:space="0" w:color="auto"/>
              <w:bottom w:val="single" w:sz="4" w:space="0" w:color="000000"/>
            </w:tcBorders>
            <w:vAlign w:val="center"/>
          </w:tcPr>
          <w:p w14:paraId="24A113E7" w14:textId="77777777" w:rsidR="001D4369" w:rsidRDefault="001D4369" w:rsidP="00EF2ED1">
            <w:pPr>
              <w:spacing w:before="0" w:after="0" w:line="259" w:lineRule="auto"/>
              <w:jc w:val="right"/>
              <w:rPr>
                <w:b/>
                <w:bCs/>
                <w:sz w:val="20"/>
                <w:szCs w:val="18"/>
              </w:rPr>
            </w:pPr>
            <w:r>
              <w:rPr>
                <w:b/>
                <w:bCs/>
                <w:sz w:val="20"/>
                <w:szCs w:val="18"/>
              </w:rPr>
              <w:t>13</w:t>
            </w:r>
          </w:p>
        </w:tc>
        <w:tc>
          <w:tcPr>
            <w:tcW w:w="2210" w:type="pct"/>
            <w:tcBorders>
              <w:top w:val="single" w:sz="4" w:space="0" w:color="000000"/>
              <w:bottom w:val="single" w:sz="4" w:space="0" w:color="000000"/>
              <w:right w:val="double" w:sz="6" w:space="0" w:color="auto"/>
            </w:tcBorders>
            <w:vAlign w:val="center"/>
          </w:tcPr>
          <w:p w14:paraId="5285589D" w14:textId="77777777" w:rsidR="001D4369" w:rsidRPr="00883DC1" w:rsidRDefault="001D4369" w:rsidP="00EF2ED1">
            <w:pPr>
              <w:spacing w:before="0" w:after="0" w:line="259" w:lineRule="auto"/>
              <w:jc w:val="right"/>
              <w:rPr>
                <w:sz w:val="20"/>
                <w:szCs w:val="18"/>
              </w:rPr>
            </w:pPr>
            <w:r>
              <w:rPr>
                <w:sz w:val="20"/>
                <w:szCs w:val="18"/>
              </w:rPr>
              <w:t>Oficial 1º Oficio</w:t>
            </w:r>
          </w:p>
        </w:tc>
        <w:tc>
          <w:tcPr>
            <w:tcW w:w="741" w:type="pct"/>
            <w:tcBorders>
              <w:left w:val="double" w:sz="6" w:space="0" w:color="auto"/>
            </w:tcBorders>
            <w:vAlign w:val="center"/>
          </w:tcPr>
          <w:p w14:paraId="60A554C0" w14:textId="77777777" w:rsidR="001D4369" w:rsidRPr="00425BA2" w:rsidRDefault="001D4369" w:rsidP="000F4CC1">
            <w:pPr>
              <w:spacing w:before="0" w:after="0" w:line="259" w:lineRule="auto"/>
              <w:jc w:val="center"/>
              <w:rPr>
                <w:sz w:val="20"/>
                <w:szCs w:val="18"/>
              </w:rPr>
            </w:pPr>
            <w:r>
              <w:rPr>
                <w:sz w:val="20"/>
                <w:szCs w:val="18"/>
              </w:rPr>
              <w:t>13.032</w:t>
            </w:r>
          </w:p>
        </w:tc>
        <w:tc>
          <w:tcPr>
            <w:tcW w:w="749" w:type="pct"/>
            <w:tcBorders>
              <w:right w:val="double" w:sz="6" w:space="0" w:color="auto"/>
            </w:tcBorders>
            <w:shd w:val="clear" w:color="auto" w:fill="auto"/>
            <w:vAlign w:val="center"/>
          </w:tcPr>
          <w:p w14:paraId="41B14229" w14:textId="77777777" w:rsidR="001D4369" w:rsidRPr="00B25800" w:rsidRDefault="001D4369" w:rsidP="000F4CC1">
            <w:pPr>
              <w:spacing w:before="0" w:after="0" w:line="259" w:lineRule="auto"/>
              <w:jc w:val="center"/>
              <w:rPr>
                <w:sz w:val="20"/>
                <w:szCs w:val="18"/>
              </w:rPr>
            </w:pPr>
            <w:r>
              <w:rPr>
                <w:sz w:val="20"/>
                <w:szCs w:val="18"/>
              </w:rPr>
              <w:t>17.902</w:t>
            </w:r>
          </w:p>
        </w:tc>
        <w:tc>
          <w:tcPr>
            <w:tcW w:w="794" w:type="pct"/>
            <w:tcBorders>
              <w:left w:val="double" w:sz="6" w:space="0" w:color="auto"/>
              <w:right w:val="double" w:sz="6" w:space="0" w:color="auto"/>
            </w:tcBorders>
            <w:vAlign w:val="center"/>
          </w:tcPr>
          <w:p w14:paraId="4843F4C3" w14:textId="77777777" w:rsidR="001D4369" w:rsidRPr="00A669F0" w:rsidRDefault="001D4369" w:rsidP="000F4CC1">
            <w:pPr>
              <w:spacing w:before="0" w:after="0" w:line="259" w:lineRule="auto"/>
              <w:jc w:val="center"/>
              <w:rPr>
                <w:sz w:val="20"/>
                <w:szCs w:val="18"/>
              </w:rPr>
            </w:pPr>
            <w:r>
              <w:rPr>
                <w:sz w:val="20"/>
                <w:szCs w:val="18"/>
              </w:rPr>
              <w:t>27%</w:t>
            </w:r>
          </w:p>
        </w:tc>
      </w:tr>
      <w:tr w:rsidR="001D4369" w14:paraId="0D939FD6" w14:textId="77777777" w:rsidTr="000E0DC5">
        <w:tc>
          <w:tcPr>
            <w:tcW w:w="506" w:type="pct"/>
            <w:tcBorders>
              <w:top w:val="single" w:sz="4" w:space="0" w:color="000000"/>
              <w:left w:val="double" w:sz="6" w:space="0" w:color="auto"/>
              <w:bottom w:val="single" w:sz="4" w:space="0" w:color="000000"/>
            </w:tcBorders>
            <w:vAlign w:val="center"/>
          </w:tcPr>
          <w:p w14:paraId="2D85B848" w14:textId="77777777" w:rsidR="001D4369" w:rsidRDefault="001D4369" w:rsidP="00EF2ED1">
            <w:pPr>
              <w:spacing w:before="0" w:after="0" w:line="259" w:lineRule="auto"/>
              <w:jc w:val="right"/>
              <w:rPr>
                <w:b/>
                <w:bCs/>
                <w:sz w:val="20"/>
                <w:szCs w:val="18"/>
              </w:rPr>
            </w:pPr>
            <w:r>
              <w:rPr>
                <w:b/>
                <w:bCs/>
                <w:sz w:val="20"/>
                <w:szCs w:val="18"/>
              </w:rPr>
              <w:t>14</w:t>
            </w:r>
          </w:p>
        </w:tc>
        <w:tc>
          <w:tcPr>
            <w:tcW w:w="2210" w:type="pct"/>
            <w:tcBorders>
              <w:top w:val="single" w:sz="4" w:space="0" w:color="000000"/>
              <w:bottom w:val="single" w:sz="4" w:space="0" w:color="000000"/>
              <w:right w:val="double" w:sz="6" w:space="0" w:color="auto"/>
            </w:tcBorders>
            <w:vAlign w:val="center"/>
          </w:tcPr>
          <w:p w14:paraId="7DFB5C86" w14:textId="77777777" w:rsidR="001D4369" w:rsidRPr="00883DC1" w:rsidRDefault="001D4369" w:rsidP="00EF2ED1">
            <w:pPr>
              <w:spacing w:before="0" w:after="0" w:line="259" w:lineRule="auto"/>
              <w:jc w:val="right"/>
              <w:rPr>
                <w:sz w:val="20"/>
                <w:szCs w:val="18"/>
              </w:rPr>
            </w:pPr>
            <w:r>
              <w:rPr>
                <w:sz w:val="20"/>
                <w:szCs w:val="18"/>
              </w:rPr>
              <w:t>Capataz</w:t>
            </w:r>
          </w:p>
        </w:tc>
        <w:tc>
          <w:tcPr>
            <w:tcW w:w="741" w:type="pct"/>
            <w:tcBorders>
              <w:left w:val="double" w:sz="6" w:space="0" w:color="auto"/>
            </w:tcBorders>
            <w:vAlign w:val="center"/>
          </w:tcPr>
          <w:p w14:paraId="2F196DA0"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right w:val="double" w:sz="6" w:space="0" w:color="auto"/>
            </w:tcBorders>
            <w:shd w:val="clear" w:color="auto" w:fill="auto"/>
            <w:vAlign w:val="center"/>
          </w:tcPr>
          <w:p w14:paraId="7D8F7128" w14:textId="77777777" w:rsidR="001D4369" w:rsidRPr="00B25800" w:rsidRDefault="001D4369" w:rsidP="000F4CC1">
            <w:pPr>
              <w:spacing w:before="0" w:after="0" w:line="259" w:lineRule="auto"/>
              <w:jc w:val="center"/>
              <w:rPr>
                <w:sz w:val="20"/>
                <w:szCs w:val="18"/>
              </w:rPr>
            </w:pPr>
            <w:r>
              <w:rPr>
                <w:sz w:val="20"/>
                <w:szCs w:val="18"/>
              </w:rPr>
              <w:t>26.776</w:t>
            </w:r>
          </w:p>
        </w:tc>
        <w:tc>
          <w:tcPr>
            <w:tcW w:w="794" w:type="pct"/>
            <w:tcBorders>
              <w:left w:val="double" w:sz="6" w:space="0" w:color="auto"/>
              <w:right w:val="double" w:sz="6" w:space="0" w:color="auto"/>
            </w:tcBorders>
            <w:vAlign w:val="center"/>
          </w:tcPr>
          <w:p w14:paraId="02F50A2A" w14:textId="77777777" w:rsidR="001D4369" w:rsidRPr="00A669F0" w:rsidRDefault="001D4369" w:rsidP="000F4CC1">
            <w:pPr>
              <w:spacing w:before="0" w:after="0" w:line="259" w:lineRule="auto"/>
              <w:jc w:val="center"/>
              <w:rPr>
                <w:sz w:val="20"/>
                <w:szCs w:val="18"/>
              </w:rPr>
            </w:pPr>
            <w:r>
              <w:rPr>
                <w:sz w:val="20"/>
                <w:szCs w:val="18"/>
              </w:rPr>
              <w:t>100%</w:t>
            </w:r>
          </w:p>
        </w:tc>
      </w:tr>
      <w:tr w:rsidR="001D4369" w14:paraId="716BBF08" w14:textId="77777777" w:rsidTr="000E0DC5">
        <w:tc>
          <w:tcPr>
            <w:tcW w:w="506" w:type="pct"/>
            <w:tcBorders>
              <w:top w:val="single" w:sz="4" w:space="0" w:color="000000"/>
              <w:left w:val="double" w:sz="6" w:space="0" w:color="auto"/>
              <w:bottom w:val="single" w:sz="4" w:space="0" w:color="000000"/>
            </w:tcBorders>
            <w:vAlign w:val="center"/>
          </w:tcPr>
          <w:p w14:paraId="73679F85" w14:textId="77777777" w:rsidR="001D4369" w:rsidRDefault="001D4369" w:rsidP="00EF2ED1">
            <w:pPr>
              <w:spacing w:before="0" w:after="0" w:line="259" w:lineRule="auto"/>
              <w:jc w:val="right"/>
              <w:rPr>
                <w:b/>
                <w:bCs/>
                <w:sz w:val="20"/>
                <w:szCs w:val="18"/>
              </w:rPr>
            </w:pPr>
            <w:r>
              <w:rPr>
                <w:b/>
                <w:bCs/>
                <w:sz w:val="20"/>
                <w:szCs w:val="18"/>
              </w:rPr>
              <w:t>15</w:t>
            </w:r>
          </w:p>
        </w:tc>
        <w:tc>
          <w:tcPr>
            <w:tcW w:w="2210" w:type="pct"/>
            <w:tcBorders>
              <w:top w:val="single" w:sz="4" w:space="0" w:color="000000"/>
              <w:bottom w:val="single" w:sz="4" w:space="0" w:color="000000"/>
              <w:right w:val="double" w:sz="6" w:space="0" w:color="auto"/>
            </w:tcBorders>
            <w:vAlign w:val="center"/>
          </w:tcPr>
          <w:p w14:paraId="695FACCC" w14:textId="77777777" w:rsidR="001D4369" w:rsidRPr="00883DC1" w:rsidRDefault="001D4369" w:rsidP="00EF2ED1">
            <w:pPr>
              <w:spacing w:before="0" w:after="0" w:line="259" w:lineRule="auto"/>
              <w:jc w:val="right"/>
              <w:rPr>
                <w:sz w:val="20"/>
                <w:szCs w:val="18"/>
              </w:rPr>
            </w:pPr>
            <w:r>
              <w:rPr>
                <w:sz w:val="20"/>
                <w:szCs w:val="18"/>
              </w:rPr>
              <w:t>Técnico informático</w:t>
            </w:r>
          </w:p>
        </w:tc>
        <w:tc>
          <w:tcPr>
            <w:tcW w:w="741" w:type="pct"/>
            <w:tcBorders>
              <w:left w:val="double" w:sz="6" w:space="0" w:color="auto"/>
            </w:tcBorders>
            <w:vAlign w:val="center"/>
          </w:tcPr>
          <w:p w14:paraId="1674F523" w14:textId="77777777" w:rsidR="001D4369" w:rsidRPr="00425BA2" w:rsidRDefault="001D4369" w:rsidP="000F4CC1">
            <w:pPr>
              <w:spacing w:before="0" w:after="0" w:line="259" w:lineRule="auto"/>
              <w:jc w:val="center"/>
              <w:rPr>
                <w:sz w:val="20"/>
                <w:szCs w:val="18"/>
              </w:rPr>
            </w:pPr>
            <w:r>
              <w:rPr>
                <w:sz w:val="20"/>
                <w:szCs w:val="18"/>
              </w:rPr>
              <w:t>28.513</w:t>
            </w:r>
          </w:p>
        </w:tc>
        <w:tc>
          <w:tcPr>
            <w:tcW w:w="749" w:type="pct"/>
            <w:tcBorders>
              <w:right w:val="double" w:sz="6" w:space="0" w:color="auto"/>
            </w:tcBorders>
            <w:shd w:val="clear" w:color="auto" w:fill="auto"/>
            <w:vAlign w:val="center"/>
          </w:tcPr>
          <w:p w14:paraId="1FED1031" w14:textId="77777777" w:rsidR="001D4369" w:rsidRPr="00B25800" w:rsidRDefault="001D4369" w:rsidP="000F4CC1">
            <w:pPr>
              <w:spacing w:before="0" w:after="0" w:line="259" w:lineRule="auto"/>
              <w:jc w:val="center"/>
              <w:rPr>
                <w:sz w:val="20"/>
                <w:szCs w:val="18"/>
              </w:rPr>
            </w:pPr>
            <w:r>
              <w:rPr>
                <w:sz w:val="20"/>
                <w:szCs w:val="18"/>
              </w:rPr>
              <w:t>28.019</w:t>
            </w:r>
          </w:p>
        </w:tc>
        <w:tc>
          <w:tcPr>
            <w:tcW w:w="794" w:type="pct"/>
            <w:tcBorders>
              <w:left w:val="double" w:sz="6" w:space="0" w:color="auto"/>
              <w:right w:val="double" w:sz="6" w:space="0" w:color="auto"/>
            </w:tcBorders>
            <w:vAlign w:val="center"/>
          </w:tcPr>
          <w:p w14:paraId="6492DE6C" w14:textId="77777777" w:rsidR="001D4369" w:rsidRPr="00A669F0" w:rsidRDefault="001D4369" w:rsidP="000F4CC1">
            <w:pPr>
              <w:spacing w:before="0" w:after="0" w:line="259" w:lineRule="auto"/>
              <w:jc w:val="center"/>
              <w:rPr>
                <w:sz w:val="20"/>
                <w:szCs w:val="18"/>
              </w:rPr>
            </w:pPr>
            <w:r>
              <w:rPr>
                <w:sz w:val="20"/>
                <w:szCs w:val="18"/>
              </w:rPr>
              <w:t>-2%</w:t>
            </w:r>
          </w:p>
        </w:tc>
      </w:tr>
      <w:tr w:rsidR="001D4369" w14:paraId="455A495F" w14:textId="77777777" w:rsidTr="000E0DC5">
        <w:tc>
          <w:tcPr>
            <w:tcW w:w="506" w:type="pct"/>
            <w:tcBorders>
              <w:top w:val="single" w:sz="4" w:space="0" w:color="000000"/>
              <w:left w:val="double" w:sz="6" w:space="0" w:color="auto"/>
              <w:bottom w:val="single" w:sz="4" w:space="0" w:color="000000"/>
            </w:tcBorders>
            <w:vAlign w:val="center"/>
          </w:tcPr>
          <w:p w14:paraId="4D8C8207" w14:textId="77777777" w:rsidR="001D4369" w:rsidRDefault="001D4369" w:rsidP="00EF2ED1">
            <w:pPr>
              <w:spacing w:before="0" w:after="0" w:line="259" w:lineRule="auto"/>
              <w:jc w:val="right"/>
              <w:rPr>
                <w:b/>
                <w:bCs/>
                <w:sz w:val="20"/>
                <w:szCs w:val="18"/>
              </w:rPr>
            </w:pPr>
            <w:r>
              <w:rPr>
                <w:b/>
                <w:bCs/>
                <w:sz w:val="20"/>
                <w:szCs w:val="18"/>
              </w:rPr>
              <w:t>16</w:t>
            </w:r>
          </w:p>
        </w:tc>
        <w:tc>
          <w:tcPr>
            <w:tcW w:w="2210" w:type="pct"/>
            <w:tcBorders>
              <w:top w:val="single" w:sz="4" w:space="0" w:color="000000"/>
              <w:bottom w:val="single" w:sz="4" w:space="0" w:color="000000"/>
              <w:right w:val="double" w:sz="6" w:space="0" w:color="auto"/>
            </w:tcBorders>
            <w:vAlign w:val="center"/>
          </w:tcPr>
          <w:p w14:paraId="22652495" w14:textId="77777777" w:rsidR="001D4369" w:rsidRPr="00883DC1" w:rsidRDefault="001D4369" w:rsidP="00EF2ED1">
            <w:pPr>
              <w:spacing w:before="0" w:after="0" w:line="259" w:lineRule="auto"/>
              <w:jc w:val="right"/>
              <w:rPr>
                <w:sz w:val="20"/>
                <w:szCs w:val="18"/>
              </w:rPr>
            </w:pPr>
            <w:r>
              <w:rPr>
                <w:sz w:val="20"/>
                <w:szCs w:val="18"/>
              </w:rPr>
              <w:t>Técnico especialista</w:t>
            </w:r>
          </w:p>
        </w:tc>
        <w:tc>
          <w:tcPr>
            <w:tcW w:w="741" w:type="pct"/>
            <w:tcBorders>
              <w:left w:val="double" w:sz="6" w:space="0" w:color="auto"/>
            </w:tcBorders>
            <w:vAlign w:val="center"/>
          </w:tcPr>
          <w:p w14:paraId="1D391A09" w14:textId="77777777" w:rsidR="001D4369" w:rsidRPr="00425BA2" w:rsidRDefault="001D4369" w:rsidP="000F4CC1">
            <w:pPr>
              <w:spacing w:before="0" w:after="0" w:line="259" w:lineRule="auto"/>
              <w:jc w:val="center"/>
              <w:rPr>
                <w:sz w:val="20"/>
                <w:szCs w:val="18"/>
              </w:rPr>
            </w:pPr>
            <w:r>
              <w:rPr>
                <w:sz w:val="20"/>
                <w:szCs w:val="18"/>
              </w:rPr>
              <w:t>17.791</w:t>
            </w:r>
          </w:p>
        </w:tc>
        <w:tc>
          <w:tcPr>
            <w:tcW w:w="749" w:type="pct"/>
            <w:tcBorders>
              <w:right w:val="double" w:sz="6" w:space="0" w:color="auto"/>
            </w:tcBorders>
            <w:shd w:val="clear" w:color="auto" w:fill="auto"/>
            <w:vAlign w:val="center"/>
          </w:tcPr>
          <w:p w14:paraId="32A87DB3" w14:textId="77777777" w:rsidR="001D4369" w:rsidRPr="00B25800" w:rsidRDefault="001D4369" w:rsidP="000F4CC1">
            <w:pPr>
              <w:spacing w:before="0" w:after="0" w:line="259" w:lineRule="auto"/>
              <w:jc w:val="center"/>
              <w:rPr>
                <w:sz w:val="20"/>
                <w:szCs w:val="18"/>
              </w:rPr>
            </w:pPr>
            <w:r>
              <w:rPr>
                <w:sz w:val="20"/>
                <w:szCs w:val="18"/>
              </w:rPr>
              <w:t>19.365</w:t>
            </w:r>
          </w:p>
        </w:tc>
        <w:tc>
          <w:tcPr>
            <w:tcW w:w="794" w:type="pct"/>
            <w:tcBorders>
              <w:left w:val="double" w:sz="6" w:space="0" w:color="auto"/>
              <w:right w:val="double" w:sz="6" w:space="0" w:color="auto"/>
            </w:tcBorders>
            <w:vAlign w:val="center"/>
          </w:tcPr>
          <w:p w14:paraId="04EAF8E0" w14:textId="77777777" w:rsidR="001D4369" w:rsidRPr="00A669F0" w:rsidRDefault="001D4369" w:rsidP="000F4CC1">
            <w:pPr>
              <w:spacing w:before="0" w:after="0" w:line="259" w:lineRule="auto"/>
              <w:jc w:val="center"/>
              <w:rPr>
                <w:sz w:val="20"/>
                <w:szCs w:val="18"/>
              </w:rPr>
            </w:pPr>
            <w:r>
              <w:rPr>
                <w:sz w:val="20"/>
                <w:szCs w:val="18"/>
              </w:rPr>
              <w:t>8%</w:t>
            </w:r>
          </w:p>
        </w:tc>
      </w:tr>
      <w:tr w:rsidR="001D4369" w14:paraId="51461160" w14:textId="77777777" w:rsidTr="000E0DC5">
        <w:tc>
          <w:tcPr>
            <w:tcW w:w="506" w:type="pct"/>
            <w:tcBorders>
              <w:top w:val="single" w:sz="4" w:space="0" w:color="000000"/>
              <w:left w:val="double" w:sz="6" w:space="0" w:color="auto"/>
              <w:bottom w:val="single" w:sz="4" w:space="0" w:color="000000"/>
            </w:tcBorders>
            <w:vAlign w:val="center"/>
          </w:tcPr>
          <w:p w14:paraId="33BD8A7E" w14:textId="77777777" w:rsidR="001D4369" w:rsidRDefault="001D4369" w:rsidP="00EF2ED1">
            <w:pPr>
              <w:spacing w:before="0" w:after="0" w:line="259" w:lineRule="auto"/>
              <w:jc w:val="right"/>
              <w:rPr>
                <w:b/>
                <w:bCs/>
                <w:sz w:val="20"/>
                <w:szCs w:val="18"/>
              </w:rPr>
            </w:pPr>
            <w:r>
              <w:rPr>
                <w:b/>
                <w:bCs/>
                <w:sz w:val="20"/>
                <w:szCs w:val="18"/>
              </w:rPr>
              <w:t>17</w:t>
            </w:r>
          </w:p>
        </w:tc>
        <w:tc>
          <w:tcPr>
            <w:tcW w:w="2210" w:type="pct"/>
            <w:tcBorders>
              <w:top w:val="single" w:sz="4" w:space="0" w:color="000000"/>
              <w:bottom w:val="single" w:sz="4" w:space="0" w:color="000000"/>
              <w:right w:val="double" w:sz="6" w:space="0" w:color="auto"/>
            </w:tcBorders>
            <w:vAlign w:val="center"/>
          </w:tcPr>
          <w:p w14:paraId="0976DA78" w14:textId="77777777" w:rsidR="001D4369" w:rsidRPr="00883DC1" w:rsidRDefault="001D4369" w:rsidP="00EF2ED1">
            <w:pPr>
              <w:spacing w:before="0" w:after="0" w:line="259" w:lineRule="auto"/>
              <w:jc w:val="right"/>
              <w:rPr>
                <w:sz w:val="20"/>
                <w:szCs w:val="18"/>
              </w:rPr>
            </w:pPr>
            <w:r>
              <w:rPr>
                <w:sz w:val="20"/>
                <w:szCs w:val="18"/>
              </w:rPr>
              <w:t>Administrativo</w:t>
            </w:r>
          </w:p>
        </w:tc>
        <w:tc>
          <w:tcPr>
            <w:tcW w:w="741" w:type="pct"/>
            <w:tcBorders>
              <w:left w:val="double" w:sz="6" w:space="0" w:color="auto"/>
            </w:tcBorders>
            <w:vAlign w:val="center"/>
          </w:tcPr>
          <w:p w14:paraId="2FA7E724"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right w:val="double" w:sz="6" w:space="0" w:color="auto"/>
            </w:tcBorders>
            <w:shd w:val="clear" w:color="auto" w:fill="auto"/>
            <w:vAlign w:val="center"/>
          </w:tcPr>
          <w:p w14:paraId="575B16BC" w14:textId="77777777" w:rsidR="001D4369" w:rsidRPr="00B25800" w:rsidRDefault="001D4369" w:rsidP="000F4CC1">
            <w:pPr>
              <w:spacing w:before="0" w:after="0" w:line="259" w:lineRule="auto"/>
              <w:jc w:val="center"/>
              <w:rPr>
                <w:sz w:val="20"/>
                <w:szCs w:val="18"/>
              </w:rPr>
            </w:pPr>
            <w:r>
              <w:rPr>
                <w:sz w:val="20"/>
                <w:szCs w:val="18"/>
              </w:rPr>
              <w:t>-</w:t>
            </w:r>
          </w:p>
        </w:tc>
        <w:tc>
          <w:tcPr>
            <w:tcW w:w="794" w:type="pct"/>
            <w:tcBorders>
              <w:left w:val="double" w:sz="6" w:space="0" w:color="auto"/>
              <w:right w:val="double" w:sz="6" w:space="0" w:color="auto"/>
            </w:tcBorders>
            <w:vAlign w:val="center"/>
          </w:tcPr>
          <w:p w14:paraId="5C840F26" w14:textId="77777777" w:rsidR="001D4369" w:rsidRPr="00A669F0" w:rsidRDefault="001D4369" w:rsidP="000F4CC1">
            <w:pPr>
              <w:spacing w:before="0" w:after="0" w:line="259" w:lineRule="auto"/>
              <w:jc w:val="center"/>
              <w:rPr>
                <w:sz w:val="20"/>
                <w:szCs w:val="18"/>
              </w:rPr>
            </w:pPr>
            <w:r>
              <w:rPr>
                <w:sz w:val="20"/>
                <w:szCs w:val="18"/>
              </w:rPr>
              <w:t>-</w:t>
            </w:r>
          </w:p>
        </w:tc>
      </w:tr>
      <w:tr w:rsidR="001D4369" w14:paraId="748E7CD7" w14:textId="77777777" w:rsidTr="000E0DC5">
        <w:tc>
          <w:tcPr>
            <w:tcW w:w="506" w:type="pct"/>
            <w:tcBorders>
              <w:top w:val="single" w:sz="4" w:space="0" w:color="000000"/>
              <w:left w:val="double" w:sz="6" w:space="0" w:color="auto"/>
            </w:tcBorders>
            <w:vAlign w:val="center"/>
          </w:tcPr>
          <w:p w14:paraId="08157149" w14:textId="77777777" w:rsidR="001D4369" w:rsidRDefault="001D4369" w:rsidP="00EF2ED1">
            <w:pPr>
              <w:spacing w:before="0" w:after="0" w:line="259" w:lineRule="auto"/>
              <w:jc w:val="right"/>
              <w:rPr>
                <w:b/>
                <w:bCs/>
                <w:sz w:val="20"/>
                <w:szCs w:val="18"/>
              </w:rPr>
            </w:pPr>
            <w:r>
              <w:rPr>
                <w:b/>
                <w:bCs/>
                <w:sz w:val="20"/>
                <w:szCs w:val="18"/>
              </w:rPr>
              <w:t>18</w:t>
            </w:r>
          </w:p>
        </w:tc>
        <w:tc>
          <w:tcPr>
            <w:tcW w:w="2210" w:type="pct"/>
            <w:tcBorders>
              <w:top w:val="single" w:sz="4" w:space="0" w:color="000000"/>
              <w:right w:val="double" w:sz="6" w:space="0" w:color="auto"/>
            </w:tcBorders>
            <w:vAlign w:val="center"/>
          </w:tcPr>
          <w:p w14:paraId="39A7B617" w14:textId="77777777" w:rsidR="001D4369" w:rsidRPr="00883DC1" w:rsidRDefault="001D4369" w:rsidP="00EF2ED1">
            <w:pPr>
              <w:spacing w:before="0" w:after="0" w:line="259" w:lineRule="auto"/>
              <w:jc w:val="right"/>
              <w:rPr>
                <w:sz w:val="20"/>
                <w:szCs w:val="18"/>
              </w:rPr>
            </w:pPr>
            <w:r>
              <w:rPr>
                <w:sz w:val="20"/>
                <w:szCs w:val="18"/>
              </w:rPr>
              <w:t>Capataz agrario</w:t>
            </w:r>
          </w:p>
        </w:tc>
        <w:tc>
          <w:tcPr>
            <w:tcW w:w="741" w:type="pct"/>
            <w:tcBorders>
              <w:left w:val="double" w:sz="6" w:space="0" w:color="auto"/>
            </w:tcBorders>
            <w:vAlign w:val="center"/>
          </w:tcPr>
          <w:p w14:paraId="72016F83"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right w:val="double" w:sz="6" w:space="0" w:color="auto"/>
            </w:tcBorders>
            <w:shd w:val="clear" w:color="auto" w:fill="auto"/>
            <w:vAlign w:val="center"/>
          </w:tcPr>
          <w:p w14:paraId="3C1FE8A8" w14:textId="77777777" w:rsidR="001D4369" w:rsidRPr="00B25800" w:rsidRDefault="001D4369" w:rsidP="000F4CC1">
            <w:pPr>
              <w:spacing w:before="0" w:after="0" w:line="259" w:lineRule="auto"/>
              <w:jc w:val="center"/>
              <w:rPr>
                <w:sz w:val="20"/>
                <w:szCs w:val="18"/>
              </w:rPr>
            </w:pPr>
            <w:r>
              <w:rPr>
                <w:sz w:val="20"/>
                <w:szCs w:val="18"/>
              </w:rPr>
              <w:t>25.859</w:t>
            </w:r>
          </w:p>
        </w:tc>
        <w:tc>
          <w:tcPr>
            <w:tcW w:w="794" w:type="pct"/>
            <w:tcBorders>
              <w:left w:val="double" w:sz="6" w:space="0" w:color="auto"/>
              <w:right w:val="double" w:sz="6" w:space="0" w:color="auto"/>
            </w:tcBorders>
            <w:vAlign w:val="center"/>
          </w:tcPr>
          <w:p w14:paraId="2F2D3672" w14:textId="77777777" w:rsidR="001D4369" w:rsidRPr="00A669F0" w:rsidRDefault="001D4369" w:rsidP="000F4CC1">
            <w:pPr>
              <w:spacing w:before="0" w:after="0" w:line="259" w:lineRule="auto"/>
              <w:jc w:val="center"/>
              <w:rPr>
                <w:sz w:val="20"/>
                <w:szCs w:val="18"/>
              </w:rPr>
            </w:pPr>
            <w:r>
              <w:rPr>
                <w:sz w:val="20"/>
                <w:szCs w:val="18"/>
              </w:rPr>
              <w:t>100%</w:t>
            </w:r>
          </w:p>
        </w:tc>
      </w:tr>
      <w:tr w:rsidR="001D4369" w14:paraId="4B291923" w14:textId="77777777" w:rsidTr="000E0DC5">
        <w:tc>
          <w:tcPr>
            <w:tcW w:w="506" w:type="pct"/>
            <w:tcBorders>
              <w:left w:val="double" w:sz="6" w:space="0" w:color="auto"/>
              <w:bottom w:val="single" w:sz="4" w:space="0" w:color="000000"/>
            </w:tcBorders>
            <w:vAlign w:val="center"/>
          </w:tcPr>
          <w:p w14:paraId="1958449C" w14:textId="77777777" w:rsidR="001D4369" w:rsidRDefault="001D4369" w:rsidP="00EF2ED1">
            <w:pPr>
              <w:spacing w:before="0" w:after="0" w:line="259" w:lineRule="auto"/>
              <w:jc w:val="right"/>
              <w:rPr>
                <w:b/>
                <w:bCs/>
                <w:sz w:val="20"/>
                <w:szCs w:val="18"/>
              </w:rPr>
            </w:pPr>
            <w:r>
              <w:rPr>
                <w:b/>
                <w:bCs/>
                <w:sz w:val="20"/>
                <w:szCs w:val="18"/>
              </w:rPr>
              <w:t>19</w:t>
            </w:r>
          </w:p>
        </w:tc>
        <w:tc>
          <w:tcPr>
            <w:tcW w:w="2210" w:type="pct"/>
            <w:tcBorders>
              <w:bottom w:val="single" w:sz="4" w:space="0" w:color="000000"/>
              <w:right w:val="double" w:sz="6" w:space="0" w:color="auto"/>
            </w:tcBorders>
            <w:vAlign w:val="center"/>
          </w:tcPr>
          <w:p w14:paraId="6A4CDBED" w14:textId="77777777" w:rsidR="001D4369" w:rsidRPr="00883DC1" w:rsidRDefault="001D4369" w:rsidP="00EF2ED1">
            <w:pPr>
              <w:spacing w:before="0" w:after="0" w:line="259" w:lineRule="auto"/>
              <w:jc w:val="right"/>
              <w:rPr>
                <w:sz w:val="20"/>
                <w:szCs w:val="18"/>
              </w:rPr>
            </w:pPr>
            <w:r>
              <w:rPr>
                <w:sz w:val="20"/>
                <w:szCs w:val="18"/>
              </w:rPr>
              <w:t>Jefe de sala</w:t>
            </w:r>
          </w:p>
        </w:tc>
        <w:tc>
          <w:tcPr>
            <w:tcW w:w="741" w:type="pct"/>
            <w:tcBorders>
              <w:left w:val="double" w:sz="6" w:space="0" w:color="auto"/>
            </w:tcBorders>
            <w:vAlign w:val="center"/>
          </w:tcPr>
          <w:p w14:paraId="219E0956" w14:textId="77777777" w:rsidR="001D4369" w:rsidRPr="00425BA2" w:rsidRDefault="001D4369" w:rsidP="000F4CC1">
            <w:pPr>
              <w:spacing w:before="0" w:after="0" w:line="259" w:lineRule="auto"/>
              <w:jc w:val="center"/>
              <w:rPr>
                <w:sz w:val="20"/>
                <w:szCs w:val="18"/>
              </w:rPr>
            </w:pPr>
            <w:r>
              <w:rPr>
                <w:sz w:val="20"/>
                <w:szCs w:val="18"/>
              </w:rPr>
              <w:t>27.612</w:t>
            </w:r>
          </w:p>
        </w:tc>
        <w:tc>
          <w:tcPr>
            <w:tcW w:w="749" w:type="pct"/>
            <w:tcBorders>
              <w:right w:val="double" w:sz="6" w:space="0" w:color="auto"/>
            </w:tcBorders>
            <w:shd w:val="clear" w:color="auto" w:fill="auto"/>
            <w:vAlign w:val="center"/>
          </w:tcPr>
          <w:p w14:paraId="46D8F3D8" w14:textId="77777777" w:rsidR="001D4369" w:rsidRPr="00B25800" w:rsidRDefault="001D4369" w:rsidP="000F4CC1">
            <w:pPr>
              <w:spacing w:before="0" w:after="0" w:line="259" w:lineRule="auto"/>
              <w:jc w:val="center"/>
              <w:rPr>
                <w:sz w:val="20"/>
                <w:szCs w:val="18"/>
              </w:rPr>
            </w:pPr>
            <w:r>
              <w:rPr>
                <w:sz w:val="20"/>
                <w:szCs w:val="18"/>
              </w:rPr>
              <w:t>32.522</w:t>
            </w:r>
          </w:p>
        </w:tc>
        <w:tc>
          <w:tcPr>
            <w:tcW w:w="794" w:type="pct"/>
            <w:tcBorders>
              <w:left w:val="double" w:sz="6" w:space="0" w:color="auto"/>
              <w:right w:val="double" w:sz="6" w:space="0" w:color="auto"/>
            </w:tcBorders>
            <w:vAlign w:val="center"/>
          </w:tcPr>
          <w:p w14:paraId="0C0F89E0" w14:textId="77777777" w:rsidR="001D4369" w:rsidRPr="00A669F0" w:rsidRDefault="001D4369" w:rsidP="000F4CC1">
            <w:pPr>
              <w:spacing w:before="0" w:after="0" w:line="259" w:lineRule="auto"/>
              <w:jc w:val="center"/>
              <w:rPr>
                <w:sz w:val="20"/>
                <w:szCs w:val="18"/>
              </w:rPr>
            </w:pPr>
            <w:r>
              <w:rPr>
                <w:sz w:val="20"/>
                <w:szCs w:val="18"/>
              </w:rPr>
              <w:t>15%</w:t>
            </w:r>
          </w:p>
        </w:tc>
      </w:tr>
      <w:tr w:rsidR="001D4369" w14:paraId="04123A7B" w14:textId="77777777" w:rsidTr="000E0DC5">
        <w:tc>
          <w:tcPr>
            <w:tcW w:w="506" w:type="pct"/>
            <w:tcBorders>
              <w:left w:val="double" w:sz="6" w:space="0" w:color="auto"/>
              <w:bottom w:val="single" w:sz="4" w:space="0" w:color="000000"/>
            </w:tcBorders>
            <w:vAlign w:val="center"/>
          </w:tcPr>
          <w:p w14:paraId="02B6277D" w14:textId="77777777" w:rsidR="001D4369" w:rsidRDefault="001D4369" w:rsidP="00EF2ED1">
            <w:pPr>
              <w:spacing w:before="0" w:after="0" w:line="259" w:lineRule="auto"/>
              <w:jc w:val="right"/>
              <w:rPr>
                <w:b/>
                <w:bCs/>
                <w:sz w:val="20"/>
                <w:szCs w:val="18"/>
              </w:rPr>
            </w:pPr>
            <w:r>
              <w:rPr>
                <w:b/>
                <w:bCs/>
                <w:sz w:val="20"/>
                <w:szCs w:val="18"/>
              </w:rPr>
              <w:t>20</w:t>
            </w:r>
          </w:p>
        </w:tc>
        <w:tc>
          <w:tcPr>
            <w:tcW w:w="2210" w:type="pct"/>
            <w:tcBorders>
              <w:bottom w:val="single" w:sz="4" w:space="0" w:color="000000"/>
              <w:right w:val="double" w:sz="6" w:space="0" w:color="auto"/>
            </w:tcBorders>
            <w:vAlign w:val="center"/>
          </w:tcPr>
          <w:p w14:paraId="21159CBC" w14:textId="77777777" w:rsidR="001D4369" w:rsidRPr="00883DC1" w:rsidRDefault="001D4369" w:rsidP="00EF2ED1">
            <w:pPr>
              <w:spacing w:before="0" w:after="0" w:line="259" w:lineRule="auto"/>
              <w:jc w:val="right"/>
              <w:rPr>
                <w:sz w:val="20"/>
                <w:szCs w:val="18"/>
              </w:rPr>
            </w:pPr>
            <w:r>
              <w:rPr>
                <w:sz w:val="20"/>
                <w:szCs w:val="18"/>
              </w:rPr>
              <w:t>Técnico Auxiliar de obras</w:t>
            </w:r>
          </w:p>
        </w:tc>
        <w:tc>
          <w:tcPr>
            <w:tcW w:w="741" w:type="pct"/>
            <w:tcBorders>
              <w:left w:val="double" w:sz="6" w:space="0" w:color="auto"/>
            </w:tcBorders>
            <w:vAlign w:val="center"/>
          </w:tcPr>
          <w:p w14:paraId="552AA639" w14:textId="77777777" w:rsidR="001D4369" w:rsidRPr="00425BA2" w:rsidRDefault="001D4369" w:rsidP="000F4CC1">
            <w:pPr>
              <w:spacing w:before="0" w:after="0" w:line="259" w:lineRule="auto"/>
              <w:jc w:val="center"/>
              <w:rPr>
                <w:sz w:val="20"/>
                <w:szCs w:val="18"/>
              </w:rPr>
            </w:pPr>
            <w:r>
              <w:rPr>
                <w:sz w:val="20"/>
                <w:szCs w:val="18"/>
              </w:rPr>
              <w:t>19.007</w:t>
            </w:r>
          </w:p>
        </w:tc>
        <w:tc>
          <w:tcPr>
            <w:tcW w:w="749" w:type="pct"/>
            <w:tcBorders>
              <w:right w:val="double" w:sz="6" w:space="0" w:color="auto"/>
            </w:tcBorders>
            <w:shd w:val="clear" w:color="auto" w:fill="auto"/>
            <w:vAlign w:val="center"/>
          </w:tcPr>
          <w:p w14:paraId="6037C5F3" w14:textId="77777777" w:rsidR="001D4369" w:rsidRPr="00B25800" w:rsidRDefault="001D4369" w:rsidP="000F4CC1">
            <w:pPr>
              <w:spacing w:before="0" w:after="0" w:line="259" w:lineRule="auto"/>
              <w:jc w:val="center"/>
              <w:rPr>
                <w:sz w:val="20"/>
                <w:szCs w:val="18"/>
              </w:rPr>
            </w:pPr>
            <w:r>
              <w:rPr>
                <w:sz w:val="20"/>
                <w:szCs w:val="18"/>
              </w:rPr>
              <w:t>30.412</w:t>
            </w:r>
          </w:p>
        </w:tc>
        <w:tc>
          <w:tcPr>
            <w:tcW w:w="794" w:type="pct"/>
            <w:tcBorders>
              <w:left w:val="double" w:sz="6" w:space="0" w:color="auto"/>
              <w:right w:val="double" w:sz="6" w:space="0" w:color="auto"/>
            </w:tcBorders>
            <w:vAlign w:val="center"/>
          </w:tcPr>
          <w:p w14:paraId="56B1F509" w14:textId="77777777" w:rsidR="001D4369" w:rsidRPr="00A669F0" w:rsidRDefault="001D4369" w:rsidP="000F4CC1">
            <w:pPr>
              <w:spacing w:before="0" w:after="0" w:line="259" w:lineRule="auto"/>
              <w:jc w:val="center"/>
              <w:rPr>
                <w:sz w:val="20"/>
                <w:szCs w:val="18"/>
              </w:rPr>
            </w:pPr>
            <w:r>
              <w:rPr>
                <w:sz w:val="20"/>
                <w:szCs w:val="18"/>
              </w:rPr>
              <w:t>38%</w:t>
            </w:r>
          </w:p>
        </w:tc>
      </w:tr>
      <w:tr w:rsidR="001D4369" w14:paraId="1FD60447" w14:textId="77777777" w:rsidTr="000E0DC5">
        <w:tc>
          <w:tcPr>
            <w:tcW w:w="506" w:type="pct"/>
            <w:tcBorders>
              <w:left w:val="double" w:sz="6" w:space="0" w:color="auto"/>
              <w:bottom w:val="single" w:sz="4" w:space="0" w:color="000000"/>
            </w:tcBorders>
            <w:vAlign w:val="center"/>
          </w:tcPr>
          <w:p w14:paraId="4A5A3CDA" w14:textId="77777777" w:rsidR="001D4369" w:rsidRDefault="001D4369" w:rsidP="00EF2ED1">
            <w:pPr>
              <w:spacing w:before="0" w:after="0" w:line="259" w:lineRule="auto"/>
              <w:jc w:val="right"/>
              <w:rPr>
                <w:b/>
                <w:bCs/>
                <w:sz w:val="20"/>
                <w:szCs w:val="18"/>
              </w:rPr>
            </w:pPr>
            <w:r>
              <w:rPr>
                <w:b/>
                <w:bCs/>
                <w:sz w:val="20"/>
                <w:szCs w:val="18"/>
              </w:rPr>
              <w:t>21</w:t>
            </w:r>
          </w:p>
        </w:tc>
        <w:tc>
          <w:tcPr>
            <w:tcW w:w="2210" w:type="pct"/>
            <w:tcBorders>
              <w:bottom w:val="single" w:sz="4" w:space="0" w:color="000000"/>
              <w:right w:val="double" w:sz="6" w:space="0" w:color="auto"/>
            </w:tcBorders>
            <w:vAlign w:val="center"/>
          </w:tcPr>
          <w:p w14:paraId="02DD4B92" w14:textId="77777777" w:rsidR="001D4369" w:rsidRPr="00883DC1" w:rsidRDefault="001D4369" w:rsidP="00EF2ED1">
            <w:pPr>
              <w:spacing w:before="0" w:after="0" w:line="259" w:lineRule="auto"/>
              <w:jc w:val="right"/>
              <w:rPr>
                <w:sz w:val="20"/>
                <w:szCs w:val="18"/>
              </w:rPr>
            </w:pPr>
            <w:r>
              <w:rPr>
                <w:sz w:val="20"/>
                <w:szCs w:val="18"/>
              </w:rPr>
              <w:t>Gobernante</w:t>
            </w:r>
          </w:p>
        </w:tc>
        <w:tc>
          <w:tcPr>
            <w:tcW w:w="741" w:type="pct"/>
            <w:tcBorders>
              <w:left w:val="double" w:sz="6" w:space="0" w:color="auto"/>
            </w:tcBorders>
            <w:vAlign w:val="center"/>
          </w:tcPr>
          <w:p w14:paraId="7EA8C161"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right w:val="double" w:sz="6" w:space="0" w:color="auto"/>
            </w:tcBorders>
            <w:shd w:val="clear" w:color="auto" w:fill="auto"/>
            <w:vAlign w:val="center"/>
          </w:tcPr>
          <w:p w14:paraId="2B0F9FED" w14:textId="77777777" w:rsidR="001D4369" w:rsidRPr="00B25800" w:rsidRDefault="001D4369" w:rsidP="000F4CC1">
            <w:pPr>
              <w:spacing w:before="0" w:after="0" w:line="259" w:lineRule="auto"/>
              <w:jc w:val="center"/>
              <w:rPr>
                <w:sz w:val="20"/>
                <w:szCs w:val="18"/>
              </w:rPr>
            </w:pPr>
            <w:r>
              <w:rPr>
                <w:sz w:val="20"/>
                <w:szCs w:val="18"/>
              </w:rPr>
              <w:t>-</w:t>
            </w:r>
          </w:p>
        </w:tc>
        <w:tc>
          <w:tcPr>
            <w:tcW w:w="794" w:type="pct"/>
            <w:tcBorders>
              <w:left w:val="double" w:sz="6" w:space="0" w:color="auto"/>
              <w:right w:val="double" w:sz="6" w:space="0" w:color="auto"/>
            </w:tcBorders>
            <w:vAlign w:val="center"/>
          </w:tcPr>
          <w:p w14:paraId="1177110E" w14:textId="77777777" w:rsidR="001D4369" w:rsidRPr="00A669F0" w:rsidRDefault="001D4369" w:rsidP="000F4CC1">
            <w:pPr>
              <w:spacing w:before="0" w:after="0" w:line="259" w:lineRule="auto"/>
              <w:jc w:val="center"/>
              <w:rPr>
                <w:sz w:val="20"/>
                <w:szCs w:val="18"/>
              </w:rPr>
            </w:pPr>
            <w:r>
              <w:rPr>
                <w:sz w:val="20"/>
                <w:szCs w:val="18"/>
              </w:rPr>
              <w:t>-</w:t>
            </w:r>
          </w:p>
        </w:tc>
      </w:tr>
      <w:tr w:rsidR="001D4369" w14:paraId="4AE4BD65" w14:textId="77777777" w:rsidTr="000E0DC5">
        <w:tc>
          <w:tcPr>
            <w:tcW w:w="506" w:type="pct"/>
            <w:tcBorders>
              <w:left w:val="double" w:sz="6" w:space="0" w:color="auto"/>
              <w:bottom w:val="single" w:sz="4" w:space="0" w:color="000000"/>
            </w:tcBorders>
            <w:vAlign w:val="center"/>
          </w:tcPr>
          <w:p w14:paraId="706EE87D" w14:textId="77777777" w:rsidR="001D4369" w:rsidRDefault="001D4369" w:rsidP="00EF2ED1">
            <w:pPr>
              <w:spacing w:before="0" w:after="0" w:line="259" w:lineRule="auto"/>
              <w:jc w:val="right"/>
              <w:rPr>
                <w:b/>
                <w:bCs/>
                <w:sz w:val="20"/>
                <w:szCs w:val="18"/>
              </w:rPr>
            </w:pPr>
            <w:r>
              <w:rPr>
                <w:b/>
                <w:bCs/>
                <w:sz w:val="20"/>
                <w:szCs w:val="18"/>
              </w:rPr>
              <w:t>22</w:t>
            </w:r>
          </w:p>
        </w:tc>
        <w:tc>
          <w:tcPr>
            <w:tcW w:w="2210" w:type="pct"/>
            <w:tcBorders>
              <w:bottom w:val="single" w:sz="4" w:space="0" w:color="000000"/>
              <w:right w:val="double" w:sz="6" w:space="0" w:color="auto"/>
            </w:tcBorders>
            <w:vAlign w:val="center"/>
          </w:tcPr>
          <w:p w14:paraId="69D9F54D" w14:textId="0737A090" w:rsidR="001D4369" w:rsidRPr="00883DC1" w:rsidRDefault="001D4369" w:rsidP="00EF2ED1">
            <w:pPr>
              <w:spacing w:before="0" w:after="0" w:line="259" w:lineRule="auto"/>
              <w:jc w:val="right"/>
              <w:rPr>
                <w:sz w:val="20"/>
                <w:szCs w:val="18"/>
              </w:rPr>
            </w:pPr>
            <w:proofErr w:type="spellStart"/>
            <w:r>
              <w:rPr>
                <w:sz w:val="20"/>
                <w:szCs w:val="18"/>
              </w:rPr>
              <w:t>Téc</w:t>
            </w:r>
            <w:proofErr w:type="spellEnd"/>
            <w:r>
              <w:rPr>
                <w:sz w:val="20"/>
                <w:szCs w:val="18"/>
              </w:rPr>
              <w:t xml:space="preserve">. </w:t>
            </w:r>
            <w:proofErr w:type="spellStart"/>
            <w:r>
              <w:rPr>
                <w:sz w:val="20"/>
                <w:szCs w:val="18"/>
              </w:rPr>
              <w:t>Pr</w:t>
            </w:r>
            <w:r w:rsidR="004E729C">
              <w:rPr>
                <w:sz w:val="20"/>
                <w:szCs w:val="18"/>
              </w:rPr>
              <w:t>á</w:t>
            </w:r>
            <w:r>
              <w:rPr>
                <w:sz w:val="20"/>
                <w:szCs w:val="18"/>
              </w:rPr>
              <w:t>c</w:t>
            </w:r>
            <w:proofErr w:type="spellEnd"/>
            <w:r>
              <w:rPr>
                <w:sz w:val="20"/>
                <w:szCs w:val="18"/>
              </w:rPr>
              <w:t>. Control y vigilancia de obra</w:t>
            </w:r>
          </w:p>
        </w:tc>
        <w:tc>
          <w:tcPr>
            <w:tcW w:w="741" w:type="pct"/>
            <w:tcBorders>
              <w:left w:val="double" w:sz="6" w:space="0" w:color="auto"/>
            </w:tcBorders>
            <w:vAlign w:val="center"/>
          </w:tcPr>
          <w:p w14:paraId="69A46868" w14:textId="77777777" w:rsidR="001D4369" w:rsidRPr="00425BA2" w:rsidRDefault="001D4369" w:rsidP="000F4CC1">
            <w:pPr>
              <w:spacing w:before="0" w:after="0" w:line="259" w:lineRule="auto"/>
              <w:jc w:val="center"/>
              <w:rPr>
                <w:sz w:val="20"/>
                <w:szCs w:val="18"/>
              </w:rPr>
            </w:pPr>
            <w:r>
              <w:rPr>
                <w:sz w:val="20"/>
                <w:szCs w:val="18"/>
              </w:rPr>
              <w:t>27.434</w:t>
            </w:r>
          </w:p>
        </w:tc>
        <w:tc>
          <w:tcPr>
            <w:tcW w:w="749" w:type="pct"/>
            <w:tcBorders>
              <w:right w:val="double" w:sz="6" w:space="0" w:color="auto"/>
            </w:tcBorders>
            <w:shd w:val="clear" w:color="auto" w:fill="auto"/>
            <w:vAlign w:val="center"/>
          </w:tcPr>
          <w:p w14:paraId="63464B06" w14:textId="77777777" w:rsidR="001D4369" w:rsidRPr="00B25800" w:rsidRDefault="001D4369" w:rsidP="000F4CC1">
            <w:pPr>
              <w:spacing w:before="0" w:after="0" w:line="259" w:lineRule="auto"/>
              <w:jc w:val="center"/>
              <w:rPr>
                <w:sz w:val="20"/>
                <w:szCs w:val="18"/>
              </w:rPr>
            </w:pPr>
            <w:r>
              <w:rPr>
                <w:sz w:val="20"/>
                <w:szCs w:val="18"/>
              </w:rPr>
              <w:t>32.468</w:t>
            </w:r>
          </w:p>
        </w:tc>
        <w:tc>
          <w:tcPr>
            <w:tcW w:w="794" w:type="pct"/>
            <w:tcBorders>
              <w:left w:val="double" w:sz="6" w:space="0" w:color="auto"/>
              <w:right w:val="double" w:sz="6" w:space="0" w:color="auto"/>
            </w:tcBorders>
            <w:vAlign w:val="center"/>
          </w:tcPr>
          <w:p w14:paraId="1AB91EF1" w14:textId="77777777" w:rsidR="001D4369" w:rsidRPr="00A669F0" w:rsidRDefault="001D4369" w:rsidP="000F4CC1">
            <w:pPr>
              <w:spacing w:before="0" w:after="0" w:line="259" w:lineRule="auto"/>
              <w:jc w:val="center"/>
              <w:rPr>
                <w:sz w:val="20"/>
                <w:szCs w:val="18"/>
              </w:rPr>
            </w:pPr>
            <w:r>
              <w:rPr>
                <w:sz w:val="20"/>
                <w:szCs w:val="18"/>
              </w:rPr>
              <w:t>16%</w:t>
            </w:r>
          </w:p>
        </w:tc>
      </w:tr>
      <w:tr w:rsidR="001D4369" w14:paraId="5965650F" w14:textId="77777777" w:rsidTr="000E0DC5">
        <w:tc>
          <w:tcPr>
            <w:tcW w:w="506" w:type="pct"/>
            <w:tcBorders>
              <w:left w:val="double" w:sz="6" w:space="0" w:color="auto"/>
              <w:bottom w:val="single" w:sz="4" w:space="0" w:color="000000"/>
            </w:tcBorders>
            <w:vAlign w:val="center"/>
          </w:tcPr>
          <w:p w14:paraId="4442AE39" w14:textId="77777777" w:rsidR="001D4369" w:rsidRDefault="001D4369" w:rsidP="00EF2ED1">
            <w:pPr>
              <w:spacing w:before="0" w:after="0" w:line="259" w:lineRule="auto"/>
              <w:jc w:val="right"/>
              <w:rPr>
                <w:b/>
                <w:bCs/>
                <w:sz w:val="20"/>
                <w:szCs w:val="18"/>
              </w:rPr>
            </w:pPr>
            <w:r>
              <w:rPr>
                <w:b/>
                <w:bCs/>
                <w:sz w:val="20"/>
                <w:szCs w:val="18"/>
              </w:rPr>
              <w:t>23</w:t>
            </w:r>
          </w:p>
        </w:tc>
        <w:tc>
          <w:tcPr>
            <w:tcW w:w="2210" w:type="pct"/>
            <w:tcBorders>
              <w:bottom w:val="single" w:sz="4" w:space="0" w:color="000000"/>
              <w:right w:val="double" w:sz="6" w:space="0" w:color="auto"/>
            </w:tcBorders>
            <w:vAlign w:val="center"/>
          </w:tcPr>
          <w:p w14:paraId="4D229513" w14:textId="77777777" w:rsidR="001D4369" w:rsidRPr="00883DC1" w:rsidRDefault="001D4369" w:rsidP="00EF2ED1">
            <w:pPr>
              <w:spacing w:before="0" w:after="0" w:line="259" w:lineRule="auto"/>
              <w:jc w:val="right"/>
              <w:rPr>
                <w:sz w:val="20"/>
                <w:szCs w:val="18"/>
              </w:rPr>
            </w:pPr>
            <w:proofErr w:type="spellStart"/>
            <w:r>
              <w:rPr>
                <w:sz w:val="20"/>
                <w:szCs w:val="18"/>
              </w:rPr>
              <w:t>Téc</w:t>
            </w:r>
            <w:proofErr w:type="spellEnd"/>
            <w:r>
              <w:rPr>
                <w:sz w:val="20"/>
                <w:szCs w:val="18"/>
              </w:rPr>
              <w:t xml:space="preserve">. </w:t>
            </w:r>
            <w:proofErr w:type="spellStart"/>
            <w:r>
              <w:rPr>
                <w:sz w:val="20"/>
                <w:szCs w:val="18"/>
              </w:rPr>
              <w:t>Gº</w:t>
            </w:r>
            <w:proofErr w:type="spellEnd"/>
            <w:r>
              <w:rPr>
                <w:sz w:val="20"/>
                <w:szCs w:val="18"/>
              </w:rPr>
              <w:t xml:space="preserve"> Medio informático</w:t>
            </w:r>
          </w:p>
        </w:tc>
        <w:tc>
          <w:tcPr>
            <w:tcW w:w="741" w:type="pct"/>
            <w:tcBorders>
              <w:left w:val="double" w:sz="6" w:space="0" w:color="auto"/>
            </w:tcBorders>
            <w:vAlign w:val="center"/>
          </w:tcPr>
          <w:p w14:paraId="42BDE7F9" w14:textId="77777777" w:rsidR="001D4369" w:rsidRPr="00425BA2" w:rsidRDefault="001D4369" w:rsidP="000F4CC1">
            <w:pPr>
              <w:spacing w:before="0" w:after="0" w:line="259" w:lineRule="auto"/>
              <w:jc w:val="center"/>
              <w:rPr>
                <w:sz w:val="20"/>
                <w:szCs w:val="18"/>
              </w:rPr>
            </w:pPr>
            <w:r>
              <w:rPr>
                <w:sz w:val="20"/>
                <w:szCs w:val="18"/>
              </w:rPr>
              <w:t>32.693</w:t>
            </w:r>
          </w:p>
        </w:tc>
        <w:tc>
          <w:tcPr>
            <w:tcW w:w="749" w:type="pct"/>
            <w:tcBorders>
              <w:right w:val="double" w:sz="6" w:space="0" w:color="auto"/>
            </w:tcBorders>
            <w:shd w:val="clear" w:color="auto" w:fill="auto"/>
            <w:vAlign w:val="center"/>
          </w:tcPr>
          <w:p w14:paraId="0A790EC8" w14:textId="77777777" w:rsidR="001D4369" w:rsidRPr="00B25800" w:rsidRDefault="001D4369" w:rsidP="000F4CC1">
            <w:pPr>
              <w:spacing w:before="0" w:after="0" w:line="259" w:lineRule="auto"/>
              <w:jc w:val="center"/>
              <w:rPr>
                <w:sz w:val="20"/>
                <w:szCs w:val="18"/>
              </w:rPr>
            </w:pPr>
            <w:r>
              <w:rPr>
                <w:sz w:val="20"/>
                <w:szCs w:val="18"/>
              </w:rPr>
              <w:t>33.184</w:t>
            </w:r>
          </w:p>
        </w:tc>
        <w:tc>
          <w:tcPr>
            <w:tcW w:w="794" w:type="pct"/>
            <w:tcBorders>
              <w:left w:val="double" w:sz="6" w:space="0" w:color="auto"/>
              <w:right w:val="double" w:sz="6" w:space="0" w:color="auto"/>
            </w:tcBorders>
            <w:vAlign w:val="center"/>
          </w:tcPr>
          <w:p w14:paraId="6138C188" w14:textId="77777777" w:rsidR="001D4369" w:rsidRPr="00A669F0" w:rsidRDefault="001D4369" w:rsidP="000F4CC1">
            <w:pPr>
              <w:spacing w:before="0" w:after="0" w:line="259" w:lineRule="auto"/>
              <w:jc w:val="center"/>
              <w:rPr>
                <w:sz w:val="20"/>
                <w:szCs w:val="18"/>
              </w:rPr>
            </w:pPr>
            <w:r>
              <w:rPr>
                <w:sz w:val="20"/>
                <w:szCs w:val="18"/>
              </w:rPr>
              <w:t>1%</w:t>
            </w:r>
          </w:p>
        </w:tc>
      </w:tr>
      <w:tr w:rsidR="001D4369" w14:paraId="020330D0" w14:textId="77777777" w:rsidTr="000E0DC5">
        <w:tc>
          <w:tcPr>
            <w:tcW w:w="506" w:type="pct"/>
            <w:tcBorders>
              <w:left w:val="double" w:sz="6" w:space="0" w:color="auto"/>
              <w:bottom w:val="single" w:sz="4" w:space="0" w:color="000000"/>
            </w:tcBorders>
            <w:vAlign w:val="center"/>
          </w:tcPr>
          <w:p w14:paraId="21E2C472" w14:textId="77777777" w:rsidR="001D4369" w:rsidRDefault="001D4369" w:rsidP="00EF2ED1">
            <w:pPr>
              <w:spacing w:before="0" w:after="0" w:line="259" w:lineRule="auto"/>
              <w:jc w:val="right"/>
              <w:rPr>
                <w:b/>
                <w:bCs/>
                <w:sz w:val="20"/>
                <w:szCs w:val="18"/>
              </w:rPr>
            </w:pPr>
            <w:r>
              <w:rPr>
                <w:b/>
                <w:bCs/>
                <w:sz w:val="20"/>
                <w:szCs w:val="18"/>
              </w:rPr>
              <w:t>24</w:t>
            </w:r>
          </w:p>
        </w:tc>
        <w:tc>
          <w:tcPr>
            <w:tcW w:w="2210" w:type="pct"/>
            <w:tcBorders>
              <w:bottom w:val="single" w:sz="4" w:space="0" w:color="000000"/>
              <w:right w:val="double" w:sz="6" w:space="0" w:color="auto"/>
            </w:tcBorders>
            <w:vAlign w:val="center"/>
          </w:tcPr>
          <w:p w14:paraId="139714A5" w14:textId="77777777" w:rsidR="001D4369" w:rsidRPr="00883DC1" w:rsidRDefault="001D4369" w:rsidP="00EF2ED1">
            <w:pPr>
              <w:spacing w:before="0" w:after="0" w:line="259" w:lineRule="auto"/>
              <w:jc w:val="right"/>
              <w:rPr>
                <w:sz w:val="20"/>
                <w:szCs w:val="18"/>
              </w:rPr>
            </w:pPr>
            <w:r>
              <w:rPr>
                <w:sz w:val="20"/>
                <w:szCs w:val="18"/>
              </w:rPr>
              <w:t xml:space="preserve">Titulado </w:t>
            </w:r>
            <w:proofErr w:type="spellStart"/>
            <w:r>
              <w:rPr>
                <w:sz w:val="20"/>
                <w:szCs w:val="18"/>
              </w:rPr>
              <w:t>Gº</w:t>
            </w:r>
            <w:proofErr w:type="spellEnd"/>
            <w:r>
              <w:rPr>
                <w:sz w:val="20"/>
                <w:szCs w:val="18"/>
              </w:rPr>
              <w:t xml:space="preserve"> </w:t>
            </w:r>
            <w:proofErr w:type="spellStart"/>
            <w:r>
              <w:rPr>
                <w:sz w:val="20"/>
                <w:szCs w:val="18"/>
              </w:rPr>
              <w:t>Med</w:t>
            </w:r>
            <w:proofErr w:type="spellEnd"/>
            <w:r>
              <w:rPr>
                <w:sz w:val="20"/>
                <w:szCs w:val="18"/>
              </w:rPr>
              <w:t xml:space="preserve"> + </w:t>
            </w:r>
            <w:proofErr w:type="spellStart"/>
            <w:r>
              <w:rPr>
                <w:sz w:val="20"/>
                <w:szCs w:val="18"/>
              </w:rPr>
              <w:t>Téc</w:t>
            </w:r>
            <w:proofErr w:type="spellEnd"/>
            <w:r>
              <w:rPr>
                <w:sz w:val="20"/>
                <w:szCs w:val="18"/>
              </w:rPr>
              <w:t xml:space="preserve">. </w:t>
            </w:r>
            <w:proofErr w:type="spellStart"/>
            <w:r>
              <w:rPr>
                <w:sz w:val="20"/>
                <w:szCs w:val="18"/>
              </w:rPr>
              <w:t>Gº</w:t>
            </w:r>
            <w:proofErr w:type="spellEnd"/>
            <w:r>
              <w:rPr>
                <w:sz w:val="20"/>
                <w:szCs w:val="18"/>
              </w:rPr>
              <w:t xml:space="preserve"> </w:t>
            </w:r>
            <w:proofErr w:type="spellStart"/>
            <w:r>
              <w:rPr>
                <w:sz w:val="20"/>
                <w:szCs w:val="18"/>
              </w:rPr>
              <w:t>Med</w:t>
            </w:r>
            <w:proofErr w:type="spellEnd"/>
          </w:p>
        </w:tc>
        <w:tc>
          <w:tcPr>
            <w:tcW w:w="741" w:type="pct"/>
            <w:tcBorders>
              <w:left w:val="double" w:sz="6" w:space="0" w:color="auto"/>
            </w:tcBorders>
            <w:vAlign w:val="center"/>
          </w:tcPr>
          <w:p w14:paraId="25FFBF81" w14:textId="77777777" w:rsidR="001D4369" w:rsidRPr="00425BA2" w:rsidRDefault="001D4369" w:rsidP="000F4CC1">
            <w:pPr>
              <w:spacing w:before="0" w:after="0" w:line="259" w:lineRule="auto"/>
              <w:jc w:val="center"/>
              <w:rPr>
                <w:sz w:val="20"/>
                <w:szCs w:val="18"/>
              </w:rPr>
            </w:pPr>
            <w:r>
              <w:rPr>
                <w:sz w:val="20"/>
                <w:szCs w:val="18"/>
              </w:rPr>
              <w:t>17.583</w:t>
            </w:r>
          </w:p>
        </w:tc>
        <w:tc>
          <w:tcPr>
            <w:tcW w:w="749" w:type="pct"/>
            <w:tcBorders>
              <w:right w:val="double" w:sz="6" w:space="0" w:color="auto"/>
            </w:tcBorders>
            <w:shd w:val="clear" w:color="auto" w:fill="auto"/>
            <w:vAlign w:val="center"/>
          </w:tcPr>
          <w:p w14:paraId="5F628F3A" w14:textId="77777777" w:rsidR="001D4369" w:rsidRPr="00B25800" w:rsidRDefault="001D4369" w:rsidP="000F4CC1">
            <w:pPr>
              <w:spacing w:before="0" w:after="0" w:line="259" w:lineRule="auto"/>
              <w:jc w:val="center"/>
              <w:rPr>
                <w:sz w:val="20"/>
                <w:szCs w:val="18"/>
              </w:rPr>
            </w:pPr>
            <w:r>
              <w:rPr>
                <w:sz w:val="20"/>
                <w:szCs w:val="18"/>
              </w:rPr>
              <w:t>13.731</w:t>
            </w:r>
          </w:p>
        </w:tc>
        <w:tc>
          <w:tcPr>
            <w:tcW w:w="794" w:type="pct"/>
            <w:tcBorders>
              <w:left w:val="double" w:sz="6" w:space="0" w:color="auto"/>
              <w:right w:val="double" w:sz="6" w:space="0" w:color="auto"/>
            </w:tcBorders>
            <w:vAlign w:val="center"/>
          </w:tcPr>
          <w:p w14:paraId="631D9C54" w14:textId="77777777" w:rsidR="001D4369" w:rsidRPr="00A669F0" w:rsidRDefault="001D4369" w:rsidP="000F4CC1">
            <w:pPr>
              <w:spacing w:before="0" w:after="0" w:line="259" w:lineRule="auto"/>
              <w:jc w:val="center"/>
              <w:rPr>
                <w:sz w:val="20"/>
                <w:szCs w:val="18"/>
              </w:rPr>
            </w:pPr>
            <w:r>
              <w:rPr>
                <w:sz w:val="20"/>
                <w:szCs w:val="18"/>
              </w:rPr>
              <w:t>-28%</w:t>
            </w:r>
          </w:p>
        </w:tc>
      </w:tr>
      <w:tr w:rsidR="001D4369" w14:paraId="5A19B56B" w14:textId="77777777" w:rsidTr="000E0DC5">
        <w:tc>
          <w:tcPr>
            <w:tcW w:w="506" w:type="pct"/>
            <w:tcBorders>
              <w:left w:val="double" w:sz="6" w:space="0" w:color="auto"/>
              <w:bottom w:val="single" w:sz="4" w:space="0" w:color="000000"/>
            </w:tcBorders>
            <w:vAlign w:val="center"/>
          </w:tcPr>
          <w:p w14:paraId="4F745D6D" w14:textId="77777777" w:rsidR="001D4369" w:rsidRDefault="001D4369" w:rsidP="00EF2ED1">
            <w:pPr>
              <w:spacing w:before="0" w:after="0" w:line="259" w:lineRule="auto"/>
              <w:jc w:val="right"/>
              <w:rPr>
                <w:b/>
                <w:bCs/>
                <w:sz w:val="20"/>
                <w:szCs w:val="18"/>
              </w:rPr>
            </w:pPr>
            <w:r>
              <w:rPr>
                <w:b/>
                <w:bCs/>
                <w:sz w:val="20"/>
                <w:szCs w:val="18"/>
              </w:rPr>
              <w:t>25</w:t>
            </w:r>
          </w:p>
        </w:tc>
        <w:tc>
          <w:tcPr>
            <w:tcW w:w="2210" w:type="pct"/>
            <w:tcBorders>
              <w:bottom w:val="single" w:sz="4" w:space="0" w:color="000000"/>
              <w:right w:val="double" w:sz="6" w:space="0" w:color="auto"/>
            </w:tcBorders>
            <w:vAlign w:val="center"/>
          </w:tcPr>
          <w:p w14:paraId="3E30EB7A" w14:textId="77777777" w:rsidR="001D4369" w:rsidRPr="00883DC1" w:rsidRDefault="001D4369" w:rsidP="00EF2ED1">
            <w:pPr>
              <w:spacing w:before="0" w:after="0" w:line="259" w:lineRule="auto"/>
              <w:jc w:val="right"/>
              <w:rPr>
                <w:sz w:val="20"/>
                <w:szCs w:val="18"/>
              </w:rPr>
            </w:pPr>
            <w:proofErr w:type="spellStart"/>
            <w:r>
              <w:rPr>
                <w:sz w:val="20"/>
                <w:szCs w:val="18"/>
              </w:rPr>
              <w:t>Tec</w:t>
            </w:r>
            <w:proofErr w:type="spellEnd"/>
            <w:r>
              <w:rPr>
                <w:sz w:val="20"/>
                <w:szCs w:val="18"/>
              </w:rPr>
              <w:t xml:space="preserve">. </w:t>
            </w:r>
            <w:proofErr w:type="spellStart"/>
            <w:r>
              <w:rPr>
                <w:sz w:val="20"/>
                <w:szCs w:val="18"/>
              </w:rPr>
              <w:t>Expert</w:t>
            </w:r>
            <w:proofErr w:type="spellEnd"/>
            <w:r>
              <w:rPr>
                <w:sz w:val="20"/>
                <w:szCs w:val="18"/>
              </w:rPr>
              <w:t>. Informático</w:t>
            </w:r>
          </w:p>
        </w:tc>
        <w:tc>
          <w:tcPr>
            <w:tcW w:w="741" w:type="pct"/>
            <w:tcBorders>
              <w:left w:val="double" w:sz="6" w:space="0" w:color="auto"/>
            </w:tcBorders>
            <w:vAlign w:val="center"/>
          </w:tcPr>
          <w:p w14:paraId="75C67FBC" w14:textId="77777777" w:rsidR="001D4369" w:rsidRPr="00425BA2" w:rsidRDefault="001D4369" w:rsidP="000F4CC1">
            <w:pPr>
              <w:spacing w:before="0" w:after="0" w:line="259" w:lineRule="auto"/>
              <w:jc w:val="center"/>
              <w:rPr>
                <w:sz w:val="20"/>
                <w:szCs w:val="18"/>
              </w:rPr>
            </w:pPr>
            <w:r>
              <w:rPr>
                <w:sz w:val="20"/>
                <w:szCs w:val="18"/>
              </w:rPr>
              <w:t>32.928</w:t>
            </w:r>
          </w:p>
        </w:tc>
        <w:tc>
          <w:tcPr>
            <w:tcW w:w="749" w:type="pct"/>
            <w:tcBorders>
              <w:right w:val="double" w:sz="6" w:space="0" w:color="auto"/>
            </w:tcBorders>
            <w:shd w:val="clear" w:color="auto" w:fill="auto"/>
            <w:vAlign w:val="center"/>
          </w:tcPr>
          <w:p w14:paraId="5B1F3606" w14:textId="77777777" w:rsidR="001D4369" w:rsidRPr="00B25800" w:rsidRDefault="001D4369" w:rsidP="000F4CC1">
            <w:pPr>
              <w:spacing w:before="0" w:after="0" w:line="259" w:lineRule="auto"/>
              <w:jc w:val="center"/>
              <w:rPr>
                <w:sz w:val="20"/>
                <w:szCs w:val="18"/>
              </w:rPr>
            </w:pPr>
            <w:r>
              <w:rPr>
                <w:sz w:val="20"/>
                <w:szCs w:val="18"/>
              </w:rPr>
              <w:t>36.502</w:t>
            </w:r>
          </w:p>
        </w:tc>
        <w:tc>
          <w:tcPr>
            <w:tcW w:w="794" w:type="pct"/>
            <w:tcBorders>
              <w:left w:val="double" w:sz="6" w:space="0" w:color="auto"/>
              <w:right w:val="double" w:sz="6" w:space="0" w:color="auto"/>
            </w:tcBorders>
            <w:vAlign w:val="center"/>
          </w:tcPr>
          <w:p w14:paraId="57685F37" w14:textId="77777777" w:rsidR="001D4369" w:rsidRPr="00A669F0" w:rsidRDefault="001D4369" w:rsidP="000F4CC1">
            <w:pPr>
              <w:spacing w:before="0" w:after="0" w:line="259" w:lineRule="auto"/>
              <w:jc w:val="center"/>
              <w:rPr>
                <w:sz w:val="20"/>
                <w:szCs w:val="18"/>
              </w:rPr>
            </w:pPr>
            <w:r>
              <w:rPr>
                <w:sz w:val="20"/>
                <w:szCs w:val="18"/>
              </w:rPr>
              <w:t>10%</w:t>
            </w:r>
          </w:p>
        </w:tc>
      </w:tr>
      <w:tr w:rsidR="001D4369" w14:paraId="3AFE3D96" w14:textId="77777777" w:rsidTr="000E0DC5">
        <w:tc>
          <w:tcPr>
            <w:tcW w:w="506" w:type="pct"/>
            <w:tcBorders>
              <w:left w:val="double" w:sz="6" w:space="0" w:color="auto"/>
              <w:bottom w:val="single" w:sz="4" w:space="0" w:color="000000"/>
            </w:tcBorders>
            <w:vAlign w:val="center"/>
          </w:tcPr>
          <w:p w14:paraId="2751AE0D" w14:textId="77777777" w:rsidR="001D4369" w:rsidRDefault="001D4369" w:rsidP="00EF2ED1">
            <w:pPr>
              <w:spacing w:before="0" w:after="0" w:line="259" w:lineRule="auto"/>
              <w:jc w:val="right"/>
              <w:rPr>
                <w:b/>
                <w:bCs/>
                <w:sz w:val="20"/>
                <w:szCs w:val="18"/>
              </w:rPr>
            </w:pPr>
            <w:r>
              <w:rPr>
                <w:b/>
                <w:bCs/>
                <w:sz w:val="20"/>
                <w:szCs w:val="18"/>
              </w:rPr>
              <w:t>26</w:t>
            </w:r>
          </w:p>
        </w:tc>
        <w:tc>
          <w:tcPr>
            <w:tcW w:w="2210" w:type="pct"/>
            <w:tcBorders>
              <w:bottom w:val="single" w:sz="4" w:space="0" w:color="000000"/>
              <w:right w:val="double" w:sz="6" w:space="0" w:color="auto"/>
            </w:tcBorders>
            <w:vAlign w:val="center"/>
          </w:tcPr>
          <w:p w14:paraId="038EFCF2" w14:textId="77777777" w:rsidR="001D4369" w:rsidRPr="00883DC1" w:rsidRDefault="001D4369" w:rsidP="00EF2ED1">
            <w:pPr>
              <w:spacing w:before="0" w:after="0" w:line="259" w:lineRule="auto"/>
              <w:jc w:val="right"/>
              <w:rPr>
                <w:sz w:val="20"/>
                <w:szCs w:val="18"/>
              </w:rPr>
            </w:pPr>
            <w:r>
              <w:rPr>
                <w:sz w:val="20"/>
                <w:szCs w:val="18"/>
              </w:rPr>
              <w:t xml:space="preserve">Ingeniero </w:t>
            </w:r>
            <w:proofErr w:type="spellStart"/>
            <w:r>
              <w:rPr>
                <w:sz w:val="20"/>
                <w:szCs w:val="18"/>
              </w:rPr>
              <w:t>Téc</w:t>
            </w:r>
            <w:proofErr w:type="spellEnd"/>
            <w:r>
              <w:rPr>
                <w:sz w:val="20"/>
                <w:szCs w:val="18"/>
              </w:rPr>
              <w:t>.</w:t>
            </w:r>
          </w:p>
        </w:tc>
        <w:tc>
          <w:tcPr>
            <w:tcW w:w="741" w:type="pct"/>
            <w:tcBorders>
              <w:left w:val="double" w:sz="6" w:space="0" w:color="auto"/>
            </w:tcBorders>
            <w:vAlign w:val="center"/>
          </w:tcPr>
          <w:p w14:paraId="1F8A89B0" w14:textId="77777777" w:rsidR="001D4369" w:rsidRPr="00425BA2" w:rsidRDefault="001D4369" w:rsidP="000F4CC1">
            <w:pPr>
              <w:spacing w:before="0" w:after="0" w:line="259" w:lineRule="auto"/>
              <w:jc w:val="center"/>
              <w:rPr>
                <w:sz w:val="20"/>
                <w:szCs w:val="18"/>
              </w:rPr>
            </w:pPr>
            <w:r>
              <w:rPr>
                <w:sz w:val="20"/>
                <w:szCs w:val="18"/>
              </w:rPr>
              <w:t>20.653</w:t>
            </w:r>
          </w:p>
        </w:tc>
        <w:tc>
          <w:tcPr>
            <w:tcW w:w="749" w:type="pct"/>
            <w:tcBorders>
              <w:right w:val="double" w:sz="6" w:space="0" w:color="auto"/>
            </w:tcBorders>
            <w:shd w:val="clear" w:color="auto" w:fill="auto"/>
            <w:vAlign w:val="center"/>
          </w:tcPr>
          <w:p w14:paraId="20D0DA24" w14:textId="77777777" w:rsidR="001D4369" w:rsidRPr="00B25800" w:rsidRDefault="001D4369" w:rsidP="000F4CC1">
            <w:pPr>
              <w:spacing w:before="0" w:after="0" w:line="259" w:lineRule="auto"/>
              <w:jc w:val="center"/>
              <w:rPr>
                <w:sz w:val="20"/>
                <w:szCs w:val="18"/>
              </w:rPr>
            </w:pPr>
            <w:r>
              <w:rPr>
                <w:sz w:val="20"/>
                <w:szCs w:val="18"/>
              </w:rPr>
              <w:t>38.601</w:t>
            </w:r>
          </w:p>
        </w:tc>
        <w:tc>
          <w:tcPr>
            <w:tcW w:w="794" w:type="pct"/>
            <w:tcBorders>
              <w:left w:val="double" w:sz="6" w:space="0" w:color="auto"/>
              <w:right w:val="double" w:sz="6" w:space="0" w:color="auto"/>
            </w:tcBorders>
            <w:vAlign w:val="center"/>
          </w:tcPr>
          <w:p w14:paraId="074D4935" w14:textId="77777777" w:rsidR="001D4369" w:rsidRPr="00A669F0" w:rsidRDefault="001D4369" w:rsidP="000F4CC1">
            <w:pPr>
              <w:spacing w:before="0" w:after="0" w:line="259" w:lineRule="auto"/>
              <w:jc w:val="center"/>
              <w:rPr>
                <w:sz w:val="20"/>
                <w:szCs w:val="18"/>
              </w:rPr>
            </w:pPr>
            <w:r>
              <w:rPr>
                <w:sz w:val="20"/>
                <w:szCs w:val="18"/>
              </w:rPr>
              <w:t>46%</w:t>
            </w:r>
          </w:p>
        </w:tc>
      </w:tr>
      <w:tr w:rsidR="001D4369" w14:paraId="0B2EF471" w14:textId="77777777" w:rsidTr="000E0DC5">
        <w:tc>
          <w:tcPr>
            <w:tcW w:w="506" w:type="pct"/>
            <w:tcBorders>
              <w:left w:val="double" w:sz="6" w:space="0" w:color="auto"/>
              <w:bottom w:val="single" w:sz="4" w:space="0" w:color="000000"/>
            </w:tcBorders>
            <w:vAlign w:val="center"/>
          </w:tcPr>
          <w:p w14:paraId="468D7A56" w14:textId="77777777" w:rsidR="001D4369" w:rsidRDefault="001D4369" w:rsidP="00EF2ED1">
            <w:pPr>
              <w:spacing w:before="0" w:after="0" w:line="259" w:lineRule="auto"/>
              <w:jc w:val="right"/>
              <w:rPr>
                <w:b/>
                <w:bCs/>
                <w:sz w:val="20"/>
                <w:szCs w:val="18"/>
              </w:rPr>
            </w:pPr>
            <w:r>
              <w:rPr>
                <w:b/>
                <w:bCs/>
                <w:sz w:val="20"/>
                <w:szCs w:val="18"/>
              </w:rPr>
              <w:t>27</w:t>
            </w:r>
          </w:p>
        </w:tc>
        <w:tc>
          <w:tcPr>
            <w:tcW w:w="2210" w:type="pct"/>
            <w:tcBorders>
              <w:bottom w:val="single" w:sz="4" w:space="0" w:color="000000"/>
              <w:right w:val="double" w:sz="6" w:space="0" w:color="auto"/>
            </w:tcBorders>
            <w:vAlign w:val="center"/>
          </w:tcPr>
          <w:p w14:paraId="3C9AFCB9" w14:textId="77777777" w:rsidR="001D4369" w:rsidRPr="00883DC1" w:rsidRDefault="001D4369" w:rsidP="00EF2ED1">
            <w:pPr>
              <w:spacing w:before="0" w:after="0" w:line="259" w:lineRule="auto"/>
              <w:jc w:val="right"/>
              <w:rPr>
                <w:sz w:val="20"/>
                <w:szCs w:val="18"/>
              </w:rPr>
            </w:pPr>
            <w:r>
              <w:rPr>
                <w:sz w:val="20"/>
                <w:szCs w:val="18"/>
              </w:rPr>
              <w:t>Analista programador</w:t>
            </w:r>
          </w:p>
        </w:tc>
        <w:tc>
          <w:tcPr>
            <w:tcW w:w="741" w:type="pct"/>
            <w:tcBorders>
              <w:left w:val="double" w:sz="6" w:space="0" w:color="auto"/>
            </w:tcBorders>
            <w:vAlign w:val="center"/>
          </w:tcPr>
          <w:p w14:paraId="20DE29FD" w14:textId="77777777" w:rsidR="001D4369" w:rsidRPr="00425BA2" w:rsidRDefault="001D4369" w:rsidP="000F4CC1">
            <w:pPr>
              <w:spacing w:before="0" w:after="0" w:line="259" w:lineRule="auto"/>
              <w:jc w:val="center"/>
              <w:rPr>
                <w:sz w:val="20"/>
                <w:szCs w:val="18"/>
              </w:rPr>
            </w:pPr>
            <w:r>
              <w:rPr>
                <w:sz w:val="20"/>
                <w:szCs w:val="18"/>
              </w:rPr>
              <w:t>41.192</w:t>
            </w:r>
          </w:p>
        </w:tc>
        <w:tc>
          <w:tcPr>
            <w:tcW w:w="749" w:type="pct"/>
            <w:tcBorders>
              <w:right w:val="double" w:sz="6" w:space="0" w:color="auto"/>
            </w:tcBorders>
            <w:shd w:val="clear" w:color="auto" w:fill="auto"/>
            <w:vAlign w:val="center"/>
          </w:tcPr>
          <w:p w14:paraId="05FD8E27" w14:textId="77777777" w:rsidR="001D4369" w:rsidRPr="00B25800" w:rsidRDefault="001D4369" w:rsidP="000F4CC1">
            <w:pPr>
              <w:spacing w:before="0" w:after="0" w:line="259" w:lineRule="auto"/>
              <w:jc w:val="center"/>
              <w:rPr>
                <w:sz w:val="20"/>
                <w:szCs w:val="18"/>
              </w:rPr>
            </w:pPr>
            <w:r>
              <w:rPr>
                <w:sz w:val="20"/>
                <w:szCs w:val="18"/>
              </w:rPr>
              <w:t>41.448</w:t>
            </w:r>
          </w:p>
        </w:tc>
        <w:tc>
          <w:tcPr>
            <w:tcW w:w="794" w:type="pct"/>
            <w:tcBorders>
              <w:left w:val="double" w:sz="6" w:space="0" w:color="auto"/>
              <w:right w:val="double" w:sz="6" w:space="0" w:color="auto"/>
            </w:tcBorders>
            <w:vAlign w:val="center"/>
          </w:tcPr>
          <w:p w14:paraId="6B432D55" w14:textId="77777777" w:rsidR="001D4369" w:rsidRPr="00A669F0" w:rsidRDefault="001D4369" w:rsidP="000F4CC1">
            <w:pPr>
              <w:spacing w:before="0" w:after="0" w:line="259" w:lineRule="auto"/>
              <w:jc w:val="center"/>
              <w:rPr>
                <w:sz w:val="20"/>
                <w:szCs w:val="18"/>
              </w:rPr>
            </w:pPr>
            <w:r>
              <w:rPr>
                <w:sz w:val="20"/>
                <w:szCs w:val="18"/>
              </w:rPr>
              <w:t>1%</w:t>
            </w:r>
          </w:p>
        </w:tc>
      </w:tr>
      <w:tr w:rsidR="001D4369" w14:paraId="6BADC0C1" w14:textId="77777777" w:rsidTr="000E0DC5">
        <w:tc>
          <w:tcPr>
            <w:tcW w:w="506" w:type="pct"/>
            <w:tcBorders>
              <w:left w:val="double" w:sz="6" w:space="0" w:color="auto"/>
              <w:bottom w:val="single" w:sz="4" w:space="0" w:color="000000"/>
            </w:tcBorders>
            <w:vAlign w:val="center"/>
          </w:tcPr>
          <w:p w14:paraId="23644F85" w14:textId="77777777" w:rsidR="001D4369" w:rsidRDefault="001D4369" w:rsidP="00EF2ED1">
            <w:pPr>
              <w:spacing w:before="0" w:after="0" w:line="259" w:lineRule="auto"/>
              <w:jc w:val="right"/>
              <w:rPr>
                <w:b/>
                <w:bCs/>
                <w:sz w:val="20"/>
                <w:szCs w:val="18"/>
              </w:rPr>
            </w:pPr>
            <w:r>
              <w:rPr>
                <w:b/>
                <w:bCs/>
                <w:sz w:val="20"/>
                <w:szCs w:val="18"/>
              </w:rPr>
              <w:t>28</w:t>
            </w:r>
          </w:p>
        </w:tc>
        <w:tc>
          <w:tcPr>
            <w:tcW w:w="2210" w:type="pct"/>
            <w:tcBorders>
              <w:bottom w:val="single" w:sz="4" w:space="0" w:color="000000"/>
              <w:right w:val="double" w:sz="6" w:space="0" w:color="auto"/>
            </w:tcBorders>
            <w:vAlign w:val="center"/>
          </w:tcPr>
          <w:p w14:paraId="5A4B6B32" w14:textId="77777777" w:rsidR="001D4369" w:rsidRPr="00883DC1" w:rsidRDefault="001D4369" w:rsidP="00EF2ED1">
            <w:pPr>
              <w:spacing w:before="0" w:after="0" w:line="259" w:lineRule="auto"/>
              <w:jc w:val="right"/>
              <w:rPr>
                <w:sz w:val="20"/>
                <w:szCs w:val="18"/>
              </w:rPr>
            </w:pPr>
            <w:r>
              <w:rPr>
                <w:sz w:val="20"/>
                <w:szCs w:val="18"/>
              </w:rPr>
              <w:t xml:space="preserve">Titulado Superior + </w:t>
            </w:r>
            <w:proofErr w:type="spellStart"/>
            <w:r>
              <w:rPr>
                <w:sz w:val="20"/>
                <w:szCs w:val="18"/>
              </w:rPr>
              <w:t>Téc</w:t>
            </w:r>
            <w:proofErr w:type="spellEnd"/>
            <w:r>
              <w:rPr>
                <w:sz w:val="20"/>
                <w:szCs w:val="18"/>
              </w:rPr>
              <w:t>. Superior</w:t>
            </w:r>
          </w:p>
        </w:tc>
        <w:tc>
          <w:tcPr>
            <w:tcW w:w="741" w:type="pct"/>
            <w:tcBorders>
              <w:left w:val="double" w:sz="6" w:space="0" w:color="auto"/>
            </w:tcBorders>
            <w:vAlign w:val="center"/>
          </w:tcPr>
          <w:p w14:paraId="1A5C3AC1" w14:textId="77777777" w:rsidR="001D4369" w:rsidRPr="00425BA2" w:rsidRDefault="001D4369" w:rsidP="000F4CC1">
            <w:pPr>
              <w:spacing w:before="0" w:after="0" w:line="259" w:lineRule="auto"/>
              <w:jc w:val="center"/>
              <w:rPr>
                <w:sz w:val="20"/>
                <w:szCs w:val="18"/>
              </w:rPr>
            </w:pPr>
            <w:r>
              <w:rPr>
                <w:sz w:val="20"/>
                <w:szCs w:val="18"/>
              </w:rPr>
              <w:t>32.944</w:t>
            </w:r>
          </w:p>
        </w:tc>
        <w:tc>
          <w:tcPr>
            <w:tcW w:w="749" w:type="pct"/>
            <w:tcBorders>
              <w:right w:val="double" w:sz="6" w:space="0" w:color="auto"/>
            </w:tcBorders>
            <w:shd w:val="clear" w:color="auto" w:fill="auto"/>
            <w:vAlign w:val="center"/>
          </w:tcPr>
          <w:p w14:paraId="5F46AC91" w14:textId="77777777" w:rsidR="001D4369" w:rsidRPr="00B25800" w:rsidRDefault="001D4369" w:rsidP="000F4CC1">
            <w:pPr>
              <w:spacing w:before="0" w:after="0" w:line="259" w:lineRule="auto"/>
              <w:jc w:val="center"/>
              <w:rPr>
                <w:sz w:val="20"/>
                <w:szCs w:val="18"/>
              </w:rPr>
            </w:pPr>
            <w:r>
              <w:rPr>
                <w:sz w:val="20"/>
                <w:szCs w:val="18"/>
              </w:rPr>
              <w:t>19.144</w:t>
            </w:r>
          </w:p>
        </w:tc>
        <w:tc>
          <w:tcPr>
            <w:tcW w:w="794" w:type="pct"/>
            <w:tcBorders>
              <w:left w:val="double" w:sz="6" w:space="0" w:color="auto"/>
              <w:right w:val="double" w:sz="6" w:space="0" w:color="auto"/>
            </w:tcBorders>
            <w:vAlign w:val="center"/>
          </w:tcPr>
          <w:p w14:paraId="35572831" w14:textId="77777777" w:rsidR="001D4369" w:rsidRPr="00A669F0" w:rsidRDefault="001D4369" w:rsidP="000F4CC1">
            <w:pPr>
              <w:spacing w:before="0" w:after="0" w:line="259" w:lineRule="auto"/>
              <w:jc w:val="center"/>
              <w:rPr>
                <w:sz w:val="20"/>
                <w:szCs w:val="18"/>
              </w:rPr>
            </w:pPr>
            <w:r>
              <w:rPr>
                <w:sz w:val="20"/>
                <w:szCs w:val="18"/>
              </w:rPr>
              <w:t>-72%</w:t>
            </w:r>
          </w:p>
        </w:tc>
      </w:tr>
      <w:tr w:rsidR="001D4369" w14:paraId="2C278F4E" w14:textId="77777777" w:rsidTr="000E0DC5">
        <w:tc>
          <w:tcPr>
            <w:tcW w:w="506" w:type="pct"/>
            <w:tcBorders>
              <w:left w:val="double" w:sz="6" w:space="0" w:color="auto"/>
              <w:bottom w:val="single" w:sz="4" w:space="0" w:color="000000"/>
            </w:tcBorders>
            <w:vAlign w:val="center"/>
          </w:tcPr>
          <w:p w14:paraId="03C8ADF8" w14:textId="77777777" w:rsidR="001D4369" w:rsidRDefault="001D4369" w:rsidP="00EF2ED1">
            <w:pPr>
              <w:spacing w:before="0" w:after="0" w:line="259" w:lineRule="auto"/>
              <w:jc w:val="right"/>
              <w:rPr>
                <w:b/>
                <w:bCs/>
                <w:sz w:val="20"/>
                <w:szCs w:val="18"/>
              </w:rPr>
            </w:pPr>
            <w:r>
              <w:rPr>
                <w:b/>
                <w:bCs/>
                <w:sz w:val="20"/>
                <w:szCs w:val="18"/>
              </w:rPr>
              <w:t>29</w:t>
            </w:r>
          </w:p>
        </w:tc>
        <w:tc>
          <w:tcPr>
            <w:tcW w:w="2210" w:type="pct"/>
            <w:tcBorders>
              <w:bottom w:val="single" w:sz="4" w:space="0" w:color="000000"/>
              <w:right w:val="double" w:sz="6" w:space="0" w:color="auto"/>
            </w:tcBorders>
            <w:vAlign w:val="center"/>
          </w:tcPr>
          <w:p w14:paraId="44C6AE54" w14:textId="77777777" w:rsidR="001D4369" w:rsidRPr="00883DC1" w:rsidRDefault="001D4369" w:rsidP="00EF2ED1">
            <w:pPr>
              <w:spacing w:before="0" w:after="0" w:line="259" w:lineRule="auto"/>
              <w:jc w:val="right"/>
              <w:rPr>
                <w:sz w:val="20"/>
                <w:szCs w:val="18"/>
              </w:rPr>
            </w:pPr>
            <w:r>
              <w:rPr>
                <w:sz w:val="20"/>
                <w:szCs w:val="18"/>
              </w:rPr>
              <w:t>Profesor</w:t>
            </w:r>
          </w:p>
        </w:tc>
        <w:tc>
          <w:tcPr>
            <w:tcW w:w="741" w:type="pct"/>
            <w:tcBorders>
              <w:left w:val="double" w:sz="6" w:space="0" w:color="auto"/>
            </w:tcBorders>
            <w:vAlign w:val="center"/>
          </w:tcPr>
          <w:p w14:paraId="151A9EF1" w14:textId="77777777" w:rsidR="001D4369" w:rsidRPr="00425BA2" w:rsidRDefault="001D4369" w:rsidP="000F4CC1">
            <w:pPr>
              <w:spacing w:before="0" w:after="0" w:line="259" w:lineRule="auto"/>
              <w:jc w:val="center"/>
              <w:rPr>
                <w:sz w:val="20"/>
                <w:szCs w:val="18"/>
              </w:rPr>
            </w:pPr>
            <w:r>
              <w:rPr>
                <w:sz w:val="20"/>
                <w:szCs w:val="18"/>
              </w:rPr>
              <w:t>18.058</w:t>
            </w:r>
          </w:p>
        </w:tc>
        <w:tc>
          <w:tcPr>
            <w:tcW w:w="749" w:type="pct"/>
            <w:tcBorders>
              <w:right w:val="double" w:sz="6" w:space="0" w:color="auto"/>
            </w:tcBorders>
            <w:shd w:val="clear" w:color="auto" w:fill="auto"/>
            <w:vAlign w:val="center"/>
          </w:tcPr>
          <w:p w14:paraId="39502F89" w14:textId="77777777" w:rsidR="001D4369" w:rsidRPr="00B25800" w:rsidRDefault="001D4369" w:rsidP="000F4CC1">
            <w:pPr>
              <w:spacing w:before="0" w:after="0" w:line="259" w:lineRule="auto"/>
              <w:jc w:val="center"/>
              <w:rPr>
                <w:sz w:val="20"/>
                <w:szCs w:val="18"/>
              </w:rPr>
            </w:pPr>
            <w:r>
              <w:rPr>
                <w:sz w:val="20"/>
                <w:szCs w:val="18"/>
              </w:rPr>
              <w:t>29.992</w:t>
            </w:r>
          </w:p>
        </w:tc>
        <w:tc>
          <w:tcPr>
            <w:tcW w:w="794" w:type="pct"/>
            <w:tcBorders>
              <w:left w:val="double" w:sz="6" w:space="0" w:color="auto"/>
              <w:right w:val="double" w:sz="6" w:space="0" w:color="auto"/>
            </w:tcBorders>
            <w:vAlign w:val="center"/>
          </w:tcPr>
          <w:p w14:paraId="543C6626" w14:textId="77777777" w:rsidR="001D4369" w:rsidRPr="00A669F0" w:rsidRDefault="001D4369" w:rsidP="000F4CC1">
            <w:pPr>
              <w:spacing w:before="0" w:after="0" w:line="259" w:lineRule="auto"/>
              <w:jc w:val="center"/>
              <w:rPr>
                <w:sz w:val="20"/>
                <w:szCs w:val="18"/>
              </w:rPr>
            </w:pPr>
            <w:r>
              <w:rPr>
                <w:sz w:val="20"/>
                <w:szCs w:val="18"/>
              </w:rPr>
              <w:t>40%</w:t>
            </w:r>
          </w:p>
        </w:tc>
      </w:tr>
      <w:tr w:rsidR="001D4369" w14:paraId="1E10840C" w14:textId="77777777" w:rsidTr="000E0DC5">
        <w:tc>
          <w:tcPr>
            <w:tcW w:w="506" w:type="pct"/>
            <w:tcBorders>
              <w:left w:val="double" w:sz="6" w:space="0" w:color="auto"/>
              <w:bottom w:val="double" w:sz="6" w:space="0" w:color="auto"/>
            </w:tcBorders>
            <w:vAlign w:val="center"/>
          </w:tcPr>
          <w:p w14:paraId="04B17277" w14:textId="77777777" w:rsidR="001D4369" w:rsidRDefault="001D4369" w:rsidP="00EF2ED1">
            <w:pPr>
              <w:spacing w:before="0" w:after="0" w:line="259" w:lineRule="auto"/>
              <w:jc w:val="right"/>
              <w:rPr>
                <w:b/>
                <w:bCs/>
                <w:sz w:val="20"/>
                <w:szCs w:val="18"/>
              </w:rPr>
            </w:pPr>
            <w:r>
              <w:rPr>
                <w:b/>
                <w:bCs/>
                <w:sz w:val="20"/>
                <w:szCs w:val="18"/>
              </w:rPr>
              <w:t>30</w:t>
            </w:r>
          </w:p>
        </w:tc>
        <w:tc>
          <w:tcPr>
            <w:tcW w:w="2210" w:type="pct"/>
            <w:tcBorders>
              <w:bottom w:val="double" w:sz="6" w:space="0" w:color="auto"/>
              <w:right w:val="double" w:sz="6" w:space="0" w:color="auto"/>
            </w:tcBorders>
            <w:vAlign w:val="center"/>
          </w:tcPr>
          <w:p w14:paraId="2680EB84" w14:textId="77777777" w:rsidR="001D4369" w:rsidRPr="00883DC1" w:rsidRDefault="001D4369" w:rsidP="00EF2ED1">
            <w:pPr>
              <w:spacing w:before="0" w:after="0" w:line="259" w:lineRule="auto"/>
              <w:jc w:val="right"/>
              <w:rPr>
                <w:sz w:val="20"/>
                <w:szCs w:val="18"/>
              </w:rPr>
            </w:pPr>
            <w:proofErr w:type="spellStart"/>
            <w:r>
              <w:rPr>
                <w:sz w:val="20"/>
                <w:szCs w:val="18"/>
              </w:rPr>
              <w:t>Tec</w:t>
            </w:r>
            <w:proofErr w:type="spellEnd"/>
            <w:r>
              <w:rPr>
                <w:sz w:val="20"/>
                <w:szCs w:val="18"/>
              </w:rPr>
              <w:t>. Superior informático</w:t>
            </w:r>
          </w:p>
        </w:tc>
        <w:tc>
          <w:tcPr>
            <w:tcW w:w="741" w:type="pct"/>
            <w:tcBorders>
              <w:left w:val="double" w:sz="6" w:space="0" w:color="auto"/>
              <w:bottom w:val="double" w:sz="6" w:space="0" w:color="auto"/>
            </w:tcBorders>
            <w:vAlign w:val="center"/>
          </w:tcPr>
          <w:p w14:paraId="3AD7E7D7" w14:textId="77777777" w:rsidR="001D4369" w:rsidRPr="00425BA2" w:rsidRDefault="001D4369" w:rsidP="000F4CC1">
            <w:pPr>
              <w:spacing w:before="0" w:after="0" w:line="259" w:lineRule="auto"/>
              <w:jc w:val="center"/>
              <w:rPr>
                <w:sz w:val="20"/>
                <w:szCs w:val="18"/>
              </w:rPr>
            </w:pPr>
            <w:r>
              <w:rPr>
                <w:sz w:val="20"/>
                <w:szCs w:val="18"/>
              </w:rPr>
              <w:t>44.832</w:t>
            </w:r>
          </w:p>
        </w:tc>
        <w:tc>
          <w:tcPr>
            <w:tcW w:w="749" w:type="pct"/>
            <w:tcBorders>
              <w:bottom w:val="double" w:sz="6" w:space="0" w:color="auto"/>
              <w:right w:val="double" w:sz="6" w:space="0" w:color="auto"/>
            </w:tcBorders>
            <w:shd w:val="clear" w:color="auto" w:fill="auto"/>
            <w:vAlign w:val="center"/>
          </w:tcPr>
          <w:p w14:paraId="07E6087D" w14:textId="77777777" w:rsidR="001D4369" w:rsidRPr="00B25800" w:rsidRDefault="001D4369" w:rsidP="000F4CC1">
            <w:pPr>
              <w:spacing w:before="0" w:after="0" w:line="259" w:lineRule="auto"/>
              <w:jc w:val="center"/>
              <w:rPr>
                <w:sz w:val="20"/>
                <w:szCs w:val="18"/>
              </w:rPr>
            </w:pPr>
            <w:r>
              <w:rPr>
                <w:sz w:val="20"/>
                <w:szCs w:val="18"/>
              </w:rPr>
              <w:t>31.413</w:t>
            </w:r>
          </w:p>
        </w:tc>
        <w:tc>
          <w:tcPr>
            <w:tcW w:w="794" w:type="pct"/>
            <w:tcBorders>
              <w:left w:val="double" w:sz="6" w:space="0" w:color="auto"/>
              <w:bottom w:val="double" w:sz="6" w:space="0" w:color="auto"/>
              <w:right w:val="double" w:sz="6" w:space="0" w:color="auto"/>
            </w:tcBorders>
            <w:vAlign w:val="center"/>
          </w:tcPr>
          <w:p w14:paraId="1EE04DAC" w14:textId="77777777" w:rsidR="001D4369" w:rsidRPr="00A669F0" w:rsidRDefault="001D4369" w:rsidP="000F4CC1">
            <w:pPr>
              <w:spacing w:before="0" w:after="0" w:line="259" w:lineRule="auto"/>
              <w:jc w:val="center"/>
              <w:rPr>
                <w:sz w:val="20"/>
                <w:szCs w:val="18"/>
              </w:rPr>
            </w:pPr>
            <w:r>
              <w:rPr>
                <w:sz w:val="20"/>
                <w:szCs w:val="18"/>
              </w:rPr>
              <w:t>-43%</w:t>
            </w:r>
          </w:p>
        </w:tc>
      </w:tr>
    </w:tbl>
    <w:p w14:paraId="7AA67B8D" w14:textId="4C04BF1B" w:rsidR="001D4369" w:rsidRDefault="001D4369" w:rsidP="001D4369"/>
    <w:p w14:paraId="61ABED4A" w14:textId="77777777" w:rsidR="00983982" w:rsidRDefault="00983982" w:rsidP="007550DE">
      <w:pPr>
        <w:rPr>
          <w:b/>
          <w:bCs/>
        </w:rPr>
      </w:pPr>
      <w:r>
        <w:rPr>
          <w:b/>
          <w:bCs/>
        </w:rPr>
        <w:br w:type="page"/>
      </w:r>
    </w:p>
    <w:p w14:paraId="2C2A7895" w14:textId="04AFA725" w:rsidR="007550DE" w:rsidRDefault="007550DE" w:rsidP="007550DE">
      <w:r w:rsidRPr="007550DE">
        <w:rPr>
          <w:b/>
          <w:bCs/>
        </w:rPr>
        <w:t>Muchas son las Categorías totalmente masculinizadas, lo que deriva en que los resultados de brecha de muchas Escalas sean del 100%.</w:t>
      </w:r>
      <w:r w:rsidRPr="007550DE">
        <w:t xml:space="preserve"> Son los casos de: Subalterno, Pastor, Operador de máquina, Capataz y Capataz agrario. Un par de Escalas adicionales están únicamente representadas por mujeres: Administrativo y Gobernante. Esta situación hace inviable un análisis de brecha de género, aunque sí permite volver a poner el acento en la necesidad de combatir la segregación ocupacional entre mujeres y hombres.</w:t>
      </w:r>
    </w:p>
    <w:p w14:paraId="6B3FC771" w14:textId="77777777" w:rsidR="007550DE" w:rsidRDefault="007550DE" w:rsidP="007550DE">
      <w:r w:rsidRPr="007550DE">
        <w:t xml:space="preserve">De entre el resto de Escalas/Categorías, algunas cuentan con una brecha inexistente o cercana a 0. Algunas Categorías presentan una situación notablemente distinta entre los cálculos de promedio y de mediana. </w:t>
      </w:r>
    </w:p>
    <w:p w14:paraId="56A30842" w14:textId="78635C26" w:rsidR="007550DE" w:rsidRDefault="007550DE" w:rsidP="007550DE">
      <w:r w:rsidRPr="007550DE">
        <w:t xml:space="preserve">Esta situación se debe a que en el colectivo existen algunos valores atípicos que rompen la coherencia entre los dos indicadores. El impacto de las cantidades retributivas asociadas a determinados conceptos es lo que engrosa la masa salarial acumulada de algunas personas, por tanto, el total promediado se incrementa mientras que la posición central no se ve necesariamente afectada. Esto apunta a una situación en la que pocas personas acumulan una masa salarial efectiva anual muy por encima de la media, lo que ocurre particularmente entre las mujeres. </w:t>
      </w:r>
    </w:p>
    <w:p w14:paraId="16D32427" w14:textId="71375276" w:rsidR="00983982" w:rsidRDefault="00983982" w:rsidP="007550DE">
      <w:r>
        <w:br w:type="page"/>
      </w:r>
    </w:p>
    <w:tbl>
      <w:tblPr>
        <w:tblStyle w:val="Tablaconcuadrcula"/>
        <w:tblW w:w="4938" w:type="pct"/>
        <w:tblInd w:w="108" w:type="dxa"/>
        <w:tblLook w:val="04A0" w:firstRow="1" w:lastRow="0" w:firstColumn="1" w:lastColumn="0" w:noHBand="0" w:noVBand="1"/>
      </w:tblPr>
      <w:tblGrid>
        <w:gridCol w:w="871"/>
        <w:gridCol w:w="3807"/>
        <w:gridCol w:w="1276"/>
        <w:gridCol w:w="1290"/>
        <w:gridCol w:w="1368"/>
      </w:tblGrid>
      <w:tr w:rsidR="001D4369" w14:paraId="49910B4E" w14:textId="77777777" w:rsidTr="00A62069">
        <w:trPr>
          <w:trHeight w:val="656"/>
        </w:trPr>
        <w:tc>
          <w:tcPr>
            <w:tcW w:w="5000" w:type="pct"/>
            <w:gridSpan w:val="5"/>
            <w:tcBorders>
              <w:left w:val="double" w:sz="6" w:space="0" w:color="auto"/>
              <w:right w:val="double" w:sz="6" w:space="0" w:color="auto"/>
            </w:tcBorders>
            <w:shd w:val="clear" w:color="auto" w:fill="78BE20"/>
          </w:tcPr>
          <w:p w14:paraId="1B05D38A" w14:textId="4FF97CF7" w:rsidR="001D4369" w:rsidRDefault="001D4369" w:rsidP="000F4CC1">
            <w:pPr>
              <w:widowControl w:val="0"/>
              <w:spacing w:before="0" w:after="0" w:line="240" w:lineRule="auto"/>
              <w:jc w:val="left"/>
              <w:rPr>
                <w:rFonts w:eastAsiaTheme="majorEastAsia" w:cstheme="majorBidi"/>
                <w:b/>
                <w:bCs/>
                <w:snapToGrid w:val="0"/>
                <w:color w:val="78BE20"/>
                <w:szCs w:val="26"/>
              </w:rPr>
            </w:pPr>
            <w:r>
              <w:rPr>
                <w:rFonts w:ascii="Helvetica" w:hAnsi="Helvetica" w:cs="Helvetica"/>
                <w:b/>
                <w:bCs/>
                <w:color w:val="FFFFFF" w:themeColor="background1"/>
                <w:szCs w:val="20"/>
              </w:rPr>
              <w:t xml:space="preserve">Tabla </w:t>
            </w:r>
            <w:r w:rsidR="00A20210">
              <w:rPr>
                <w:rFonts w:ascii="Helvetica" w:hAnsi="Helvetica" w:cs="Helvetica"/>
                <w:b/>
                <w:bCs/>
                <w:color w:val="FFFFFF" w:themeColor="background1"/>
                <w:szCs w:val="20"/>
              </w:rPr>
              <w:t>18</w:t>
            </w:r>
            <w:r>
              <w:rPr>
                <w:rFonts w:ascii="Helvetica" w:hAnsi="Helvetica" w:cs="Helvetica"/>
                <w:b/>
                <w:bCs/>
                <w:color w:val="FFFFFF" w:themeColor="background1"/>
                <w:szCs w:val="20"/>
              </w:rPr>
              <w:t>. Mediana y brecha de género en las retribuciones efectivas del personal laboral por Escala</w:t>
            </w:r>
          </w:p>
        </w:tc>
      </w:tr>
      <w:tr w:rsidR="001D4369" w14:paraId="7A516356" w14:textId="77777777" w:rsidTr="00A62069">
        <w:trPr>
          <w:trHeight w:val="425"/>
        </w:trPr>
        <w:tc>
          <w:tcPr>
            <w:tcW w:w="2716" w:type="pct"/>
            <w:gridSpan w:val="2"/>
            <w:tcBorders>
              <w:top w:val="double" w:sz="6" w:space="0" w:color="auto"/>
              <w:left w:val="double" w:sz="6" w:space="0" w:color="auto"/>
              <w:right w:val="double" w:sz="6" w:space="0" w:color="auto"/>
            </w:tcBorders>
            <w:vAlign w:val="center"/>
          </w:tcPr>
          <w:p w14:paraId="5C6B95B0" w14:textId="77777777" w:rsidR="001D4369" w:rsidRDefault="001D4369" w:rsidP="00EF2ED1">
            <w:pPr>
              <w:spacing w:before="0" w:after="0" w:line="259" w:lineRule="auto"/>
              <w:jc w:val="right"/>
              <w:rPr>
                <w:rFonts w:eastAsiaTheme="majorEastAsia" w:cstheme="majorBidi"/>
                <w:b/>
                <w:bCs/>
                <w:snapToGrid w:val="0"/>
                <w:color w:val="78BE20"/>
                <w:szCs w:val="26"/>
              </w:rPr>
            </w:pPr>
            <w:r>
              <w:rPr>
                <w:rFonts w:eastAsiaTheme="majorEastAsia" w:cstheme="majorBidi"/>
                <w:b/>
                <w:bCs/>
                <w:snapToGrid w:val="0"/>
                <w:color w:val="78BE20"/>
                <w:szCs w:val="26"/>
              </w:rPr>
              <w:t>ESCALA</w:t>
            </w:r>
          </w:p>
        </w:tc>
        <w:tc>
          <w:tcPr>
            <w:tcW w:w="1490" w:type="pct"/>
            <w:gridSpan w:val="2"/>
            <w:tcBorders>
              <w:top w:val="double" w:sz="6" w:space="0" w:color="auto"/>
              <w:left w:val="double" w:sz="6" w:space="0" w:color="auto"/>
              <w:right w:val="double" w:sz="6" w:space="0" w:color="auto"/>
            </w:tcBorders>
            <w:vAlign w:val="center"/>
          </w:tcPr>
          <w:p w14:paraId="265A5F6D" w14:textId="77777777" w:rsidR="001D4369" w:rsidRDefault="001D4369" w:rsidP="000F4CC1">
            <w:pPr>
              <w:widowControl w:val="0"/>
              <w:spacing w:before="0" w:after="0" w:line="240" w:lineRule="auto"/>
              <w:jc w:val="center"/>
              <w:rPr>
                <w:rFonts w:eastAsiaTheme="majorEastAsia" w:cstheme="majorBidi"/>
                <w:b/>
                <w:bCs/>
                <w:snapToGrid w:val="0"/>
                <w:color w:val="78BE20"/>
                <w:szCs w:val="26"/>
              </w:rPr>
            </w:pPr>
            <w:r>
              <w:rPr>
                <w:rFonts w:eastAsiaTheme="majorEastAsia" w:cstheme="majorBidi"/>
                <w:b/>
                <w:bCs/>
                <w:snapToGrid w:val="0"/>
                <w:color w:val="78BE20"/>
                <w:szCs w:val="26"/>
              </w:rPr>
              <w:t>MEDIANA</w:t>
            </w:r>
          </w:p>
        </w:tc>
        <w:tc>
          <w:tcPr>
            <w:tcW w:w="794" w:type="pct"/>
            <w:vMerge w:val="restart"/>
            <w:tcBorders>
              <w:top w:val="double" w:sz="6" w:space="0" w:color="auto"/>
              <w:left w:val="double" w:sz="6" w:space="0" w:color="auto"/>
              <w:right w:val="double" w:sz="6" w:space="0" w:color="auto"/>
            </w:tcBorders>
            <w:vAlign w:val="center"/>
          </w:tcPr>
          <w:p w14:paraId="740B8DF2" w14:textId="77777777" w:rsidR="001D4369" w:rsidRDefault="001D4369" w:rsidP="000F4CC1">
            <w:pPr>
              <w:widowControl w:val="0"/>
              <w:spacing w:before="0" w:after="0" w:line="240" w:lineRule="auto"/>
              <w:jc w:val="center"/>
              <w:rPr>
                <w:rFonts w:eastAsiaTheme="majorEastAsia" w:cstheme="majorBidi"/>
                <w:b/>
                <w:bCs/>
                <w:snapToGrid w:val="0"/>
                <w:color w:val="78BE20"/>
                <w:szCs w:val="26"/>
              </w:rPr>
            </w:pPr>
            <w:r>
              <w:rPr>
                <w:rFonts w:eastAsiaTheme="majorEastAsia" w:cstheme="majorBidi"/>
                <w:b/>
                <w:bCs/>
                <w:snapToGrid w:val="0"/>
                <w:color w:val="78BE20"/>
                <w:szCs w:val="26"/>
              </w:rPr>
              <w:t>BRECHA SALARIAL</w:t>
            </w:r>
          </w:p>
        </w:tc>
      </w:tr>
      <w:tr w:rsidR="001D4369" w14:paraId="272E6531" w14:textId="77777777" w:rsidTr="00A62069">
        <w:tc>
          <w:tcPr>
            <w:tcW w:w="506" w:type="pct"/>
            <w:tcBorders>
              <w:top w:val="double" w:sz="6" w:space="0" w:color="auto"/>
              <w:left w:val="double" w:sz="6" w:space="0" w:color="auto"/>
              <w:bottom w:val="double" w:sz="6" w:space="0" w:color="auto"/>
            </w:tcBorders>
          </w:tcPr>
          <w:p w14:paraId="1F5CE623" w14:textId="77777777" w:rsidR="001D4369" w:rsidRPr="00561249" w:rsidRDefault="001D4369" w:rsidP="00EF2ED1">
            <w:pPr>
              <w:spacing w:before="0" w:after="0" w:line="259" w:lineRule="auto"/>
              <w:jc w:val="right"/>
              <w:rPr>
                <w:b/>
                <w:bCs/>
                <w:sz w:val="20"/>
                <w:szCs w:val="18"/>
              </w:rPr>
            </w:pPr>
            <w:r>
              <w:rPr>
                <w:b/>
                <w:bCs/>
                <w:sz w:val="20"/>
                <w:szCs w:val="18"/>
              </w:rPr>
              <w:t>Nº</w:t>
            </w:r>
          </w:p>
        </w:tc>
        <w:tc>
          <w:tcPr>
            <w:tcW w:w="2210" w:type="pct"/>
            <w:tcBorders>
              <w:top w:val="double" w:sz="6" w:space="0" w:color="auto"/>
              <w:bottom w:val="double" w:sz="6" w:space="0" w:color="auto"/>
              <w:right w:val="double" w:sz="6" w:space="0" w:color="auto"/>
            </w:tcBorders>
            <w:vAlign w:val="center"/>
          </w:tcPr>
          <w:p w14:paraId="49F584FC" w14:textId="40366116" w:rsidR="001D4369" w:rsidRPr="00561249" w:rsidRDefault="001D4369" w:rsidP="00EF2ED1">
            <w:pPr>
              <w:spacing w:before="0" w:after="0" w:line="259" w:lineRule="auto"/>
              <w:jc w:val="right"/>
              <w:rPr>
                <w:b/>
                <w:bCs/>
                <w:sz w:val="20"/>
                <w:szCs w:val="18"/>
              </w:rPr>
            </w:pPr>
            <w:r w:rsidRPr="00561249">
              <w:rPr>
                <w:b/>
                <w:bCs/>
                <w:sz w:val="20"/>
                <w:szCs w:val="18"/>
              </w:rPr>
              <w:t>N</w:t>
            </w:r>
            <w:r>
              <w:rPr>
                <w:b/>
                <w:bCs/>
                <w:sz w:val="20"/>
                <w:szCs w:val="18"/>
              </w:rPr>
              <w:t>o</w:t>
            </w:r>
            <w:r w:rsidRPr="00561249">
              <w:rPr>
                <w:b/>
                <w:bCs/>
                <w:sz w:val="20"/>
                <w:szCs w:val="18"/>
              </w:rPr>
              <w:t>mbre</w:t>
            </w:r>
            <w:r>
              <w:rPr>
                <w:b/>
                <w:bCs/>
                <w:sz w:val="20"/>
                <w:szCs w:val="18"/>
              </w:rPr>
              <w:t xml:space="preserve"> de Personal</w:t>
            </w:r>
          </w:p>
        </w:tc>
        <w:tc>
          <w:tcPr>
            <w:tcW w:w="741" w:type="pct"/>
            <w:tcBorders>
              <w:top w:val="double" w:sz="6" w:space="0" w:color="auto"/>
              <w:left w:val="double" w:sz="6" w:space="0" w:color="auto"/>
              <w:bottom w:val="double" w:sz="6" w:space="0" w:color="auto"/>
            </w:tcBorders>
            <w:vAlign w:val="center"/>
          </w:tcPr>
          <w:p w14:paraId="6AFBA132" w14:textId="77777777" w:rsidR="001D4369" w:rsidRDefault="001D4369" w:rsidP="000F4CC1">
            <w:pPr>
              <w:spacing w:before="0" w:after="0" w:line="259" w:lineRule="auto"/>
              <w:jc w:val="center"/>
              <w:rPr>
                <w:rFonts w:eastAsiaTheme="majorEastAsia" w:cstheme="majorBidi"/>
                <w:b/>
                <w:bCs/>
                <w:snapToGrid w:val="0"/>
                <w:color w:val="78BE20"/>
                <w:szCs w:val="26"/>
              </w:rPr>
            </w:pPr>
            <w:r w:rsidRPr="00401FDD">
              <w:rPr>
                <w:b/>
                <w:bCs/>
                <w:sz w:val="20"/>
                <w:szCs w:val="18"/>
              </w:rPr>
              <w:t>MUJERES</w:t>
            </w:r>
          </w:p>
        </w:tc>
        <w:tc>
          <w:tcPr>
            <w:tcW w:w="749" w:type="pct"/>
            <w:tcBorders>
              <w:top w:val="double" w:sz="6" w:space="0" w:color="auto"/>
              <w:bottom w:val="double" w:sz="6" w:space="0" w:color="auto"/>
              <w:right w:val="double" w:sz="6" w:space="0" w:color="auto"/>
            </w:tcBorders>
            <w:vAlign w:val="center"/>
          </w:tcPr>
          <w:p w14:paraId="5263D959" w14:textId="77777777" w:rsidR="001D4369" w:rsidRPr="00A669F0" w:rsidRDefault="001D4369" w:rsidP="000F4CC1">
            <w:pPr>
              <w:spacing w:before="0" w:after="0" w:line="259" w:lineRule="auto"/>
              <w:jc w:val="center"/>
              <w:rPr>
                <w:sz w:val="20"/>
                <w:szCs w:val="18"/>
              </w:rPr>
            </w:pPr>
            <w:r w:rsidRPr="00A669F0">
              <w:rPr>
                <w:b/>
                <w:bCs/>
                <w:sz w:val="20"/>
                <w:szCs w:val="18"/>
              </w:rPr>
              <w:t>HOMBRES</w:t>
            </w:r>
          </w:p>
        </w:tc>
        <w:tc>
          <w:tcPr>
            <w:tcW w:w="794" w:type="pct"/>
            <w:vMerge/>
            <w:tcBorders>
              <w:left w:val="double" w:sz="6" w:space="0" w:color="auto"/>
              <w:bottom w:val="double" w:sz="6" w:space="0" w:color="auto"/>
              <w:right w:val="double" w:sz="6" w:space="0" w:color="auto"/>
            </w:tcBorders>
            <w:vAlign w:val="center"/>
          </w:tcPr>
          <w:p w14:paraId="5B96119C" w14:textId="77777777" w:rsidR="001D4369" w:rsidRPr="00A669F0" w:rsidRDefault="001D4369" w:rsidP="000F4CC1">
            <w:pPr>
              <w:spacing w:before="0" w:after="0" w:line="259" w:lineRule="auto"/>
              <w:jc w:val="center"/>
              <w:rPr>
                <w:sz w:val="20"/>
                <w:szCs w:val="18"/>
              </w:rPr>
            </w:pPr>
          </w:p>
        </w:tc>
      </w:tr>
      <w:tr w:rsidR="001D4369" w14:paraId="77014F52" w14:textId="77777777" w:rsidTr="00A62069">
        <w:tc>
          <w:tcPr>
            <w:tcW w:w="506" w:type="pct"/>
            <w:tcBorders>
              <w:top w:val="double" w:sz="6" w:space="0" w:color="auto"/>
              <w:left w:val="double" w:sz="6" w:space="0" w:color="auto"/>
              <w:bottom w:val="single" w:sz="4" w:space="0" w:color="000000"/>
            </w:tcBorders>
            <w:vAlign w:val="center"/>
          </w:tcPr>
          <w:p w14:paraId="39ECC245" w14:textId="77777777" w:rsidR="001D4369" w:rsidRDefault="001D4369" w:rsidP="00EF2ED1">
            <w:pPr>
              <w:spacing w:before="0" w:after="0" w:line="259" w:lineRule="auto"/>
              <w:jc w:val="right"/>
              <w:rPr>
                <w:b/>
                <w:bCs/>
                <w:sz w:val="20"/>
                <w:szCs w:val="18"/>
              </w:rPr>
            </w:pPr>
            <w:r>
              <w:rPr>
                <w:b/>
                <w:bCs/>
                <w:sz w:val="20"/>
                <w:szCs w:val="18"/>
              </w:rPr>
              <w:t>1</w:t>
            </w:r>
          </w:p>
        </w:tc>
        <w:tc>
          <w:tcPr>
            <w:tcW w:w="2210" w:type="pct"/>
            <w:tcBorders>
              <w:top w:val="double" w:sz="6" w:space="0" w:color="auto"/>
              <w:bottom w:val="single" w:sz="4" w:space="0" w:color="000000"/>
              <w:right w:val="double" w:sz="6" w:space="0" w:color="auto"/>
            </w:tcBorders>
            <w:vAlign w:val="center"/>
          </w:tcPr>
          <w:p w14:paraId="4AE5B71E" w14:textId="77777777" w:rsidR="001D4369" w:rsidRPr="00883DC1" w:rsidRDefault="001D4369" w:rsidP="00EF2ED1">
            <w:pPr>
              <w:spacing w:before="0" w:after="0" w:line="259" w:lineRule="auto"/>
              <w:jc w:val="right"/>
              <w:rPr>
                <w:sz w:val="20"/>
                <w:szCs w:val="18"/>
              </w:rPr>
            </w:pPr>
            <w:r w:rsidRPr="00883DC1">
              <w:rPr>
                <w:sz w:val="20"/>
                <w:szCs w:val="18"/>
              </w:rPr>
              <w:t>Subalterno</w:t>
            </w:r>
          </w:p>
        </w:tc>
        <w:tc>
          <w:tcPr>
            <w:tcW w:w="741" w:type="pct"/>
            <w:tcBorders>
              <w:top w:val="double" w:sz="6" w:space="0" w:color="auto"/>
              <w:left w:val="double" w:sz="6" w:space="0" w:color="auto"/>
            </w:tcBorders>
            <w:vAlign w:val="center"/>
          </w:tcPr>
          <w:p w14:paraId="69AEE2DF"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top w:val="double" w:sz="6" w:space="0" w:color="auto"/>
              <w:right w:val="double" w:sz="6" w:space="0" w:color="auto"/>
            </w:tcBorders>
            <w:shd w:val="clear" w:color="auto" w:fill="auto"/>
            <w:vAlign w:val="center"/>
          </w:tcPr>
          <w:p w14:paraId="75427135" w14:textId="77777777" w:rsidR="001D4369" w:rsidRPr="00B25800" w:rsidRDefault="001D4369" w:rsidP="000F4CC1">
            <w:pPr>
              <w:spacing w:before="0" w:after="0" w:line="259" w:lineRule="auto"/>
              <w:jc w:val="center"/>
              <w:rPr>
                <w:sz w:val="20"/>
                <w:szCs w:val="18"/>
              </w:rPr>
            </w:pPr>
            <w:r>
              <w:rPr>
                <w:sz w:val="20"/>
                <w:szCs w:val="18"/>
              </w:rPr>
              <w:t>20.349</w:t>
            </w:r>
          </w:p>
        </w:tc>
        <w:tc>
          <w:tcPr>
            <w:tcW w:w="794" w:type="pct"/>
            <w:tcBorders>
              <w:top w:val="double" w:sz="6" w:space="0" w:color="auto"/>
              <w:left w:val="double" w:sz="6" w:space="0" w:color="auto"/>
              <w:right w:val="double" w:sz="6" w:space="0" w:color="auto"/>
            </w:tcBorders>
            <w:vAlign w:val="center"/>
          </w:tcPr>
          <w:p w14:paraId="10FDE32F" w14:textId="77777777" w:rsidR="001D4369" w:rsidRPr="00A669F0" w:rsidRDefault="001D4369" w:rsidP="000F4CC1">
            <w:pPr>
              <w:spacing w:before="0" w:after="0" w:line="259" w:lineRule="auto"/>
              <w:jc w:val="center"/>
              <w:rPr>
                <w:sz w:val="20"/>
                <w:szCs w:val="18"/>
              </w:rPr>
            </w:pPr>
            <w:r>
              <w:rPr>
                <w:sz w:val="20"/>
                <w:szCs w:val="18"/>
              </w:rPr>
              <w:t>100%</w:t>
            </w:r>
          </w:p>
        </w:tc>
      </w:tr>
      <w:tr w:rsidR="001D4369" w14:paraId="65D8B6E2" w14:textId="77777777" w:rsidTr="00A62069">
        <w:tc>
          <w:tcPr>
            <w:tcW w:w="506" w:type="pct"/>
            <w:tcBorders>
              <w:top w:val="single" w:sz="4" w:space="0" w:color="000000"/>
              <w:left w:val="double" w:sz="6" w:space="0" w:color="auto"/>
              <w:bottom w:val="single" w:sz="4" w:space="0" w:color="000000"/>
            </w:tcBorders>
            <w:vAlign w:val="center"/>
          </w:tcPr>
          <w:p w14:paraId="084D0769" w14:textId="77777777" w:rsidR="001D4369" w:rsidRDefault="001D4369" w:rsidP="00EF2ED1">
            <w:pPr>
              <w:spacing w:before="0" w:after="0" w:line="259" w:lineRule="auto"/>
              <w:jc w:val="right"/>
              <w:rPr>
                <w:b/>
                <w:bCs/>
                <w:sz w:val="20"/>
                <w:szCs w:val="18"/>
              </w:rPr>
            </w:pPr>
            <w:r>
              <w:rPr>
                <w:b/>
                <w:bCs/>
                <w:sz w:val="20"/>
                <w:szCs w:val="18"/>
              </w:rPr>
              <w:t>2</w:t>
            </w:r>
          </w:p>
        </w:tc>
        <w:tc>
          <w:tcPr>
            <w:tcW w:w="2210" w:type="pct"/>
            <w:tcBorders>
              <w:top w:val="single" w:sz="4" w:space="0" w:color="000000"/>
              <w:bottom w:val="single" w:sz="4" w:space="0" w:color="000000"/>
              <w:right w:val="double" w:sz="6" w:space="0" w:color="auto"/>
            </w:tcBorders>
            <w:vAlign w:val="center"/>
          </w:tcPr>
          <w:p w14:paraId="0E21FC1F" w14:textId="77777777" w:rsidR="001D4369" w:rsidRPr="00883DC1" w:rsidRDefault="001D4369" w:rsidP="00EF2ED1">
            <w:pPr>
              <w:spacing w:before="0" w:after="0" w:line="259" w:lineRule="auto"/>
              <w:jc w:val="right"/>
              <w:rPr>
                <w:sz w:val="20"/>
                <w:szCs w:val="18"/>
              </w:rPr>
            </w:pPr>
            <w:r>
              <w:rPr>
                <w:sz w:val="20"/>
                <w:szCs w:val="18"/>
              </w:rPr>
              <w:t>Sereno</w:t>
            </w:r>
          </w:p>
        </w:tc>
        <w:tc>
          <w:tcPr>
            <w:tcW w:w="741" w:type="pct"/>
            <w:tcBorders>
              <w:left w:val="double" w:sz="6" w:space="0" w:color="auto"/>
              <w:bottom w:val="single" w:sz="4" w:space="0" w:color="000000"/>
            </w:tcBorders>
            <w:vAlign w:val="center"/>
          </w:tcPr>
          <w:p w14:paraId="48D1F4D9"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right w:val="double" w:sz="6" w:space="0" w:color="auto"/>
            </w:tcBorders>
            <w:shd w:val="clear" w:color="auto" w:fill="auto"/>
            <w:vAlign w:val="center"/>
          </w:tcPr>
          <w:p w14:paraId="39AAFC87" w14:textId="77777777" w:rsidR="001D4369" w:rsidRPr="00B25800" w:rsidRDefault="001D4369" w:rsidP="000F4CC1">
            <w:pPr>
              <w:spacing w:before="0" w:after="0" w:line="259" w:lineRule="auto"/>
              <w:jc w:val="center"/>
              <w:rPr>
                <w:sz w:val="20"/>
                <w:szCs w:val="18"/>
              </w:rPr>
            </w:pPr>
            <w:r>
              <w:rPr>
                <w:sz w:val="20"/>
                <w:szCs w:val="18"/>
              </w:rPr>
              <w:t>-</w:t>
            </w:r>
          </w:p>
        </w:tc>
        <w:tc>
          <w:tcPr>
            <w:tcW w:w="794" w:type="pct"/>
            <w:tcBorders>
              <w:left w:val="double" w:sz="6" w:space="0" w:color="auto"/>
              <w:right w:val="double" w:sz="6" w:space="0" w:color="auto"/>
            </w:tcBorders>
            <w:vAlign w:val="center"/>
          </w:tcPr>
          <w:p w14:paraId="6FA69CC2" w14:textId="77777777" w:rsidR="001D4369" w:rsidRPr="00A669F0" w:rsidRDefault="001D4369" w:rsidP="000F4CC1">
            <w:pPr>
              <w:spacing w:before="0" w:after="0" w:line="259" w:lineRule="auto"/>
              <w:jc w:val="center"/>
              <w:rPr>
                <w:sz w:val="20"/>
                <w:szCs w:val="18"/>
              </w:rPr>
            </w:pPr>
            <w:r>
              <w:rPr>
                <w:sz w:val="20"/>
                <w:szCs w:val="18"/>
              </w:rPr>
              <w:t>-</w:t>
            </w:r>
          </w:p>
        </w:tc>
      </w:tr>
      <w:tr w:rsidR="001D4369" w14:paraId="39493A15" w14:textId="77777777" w:rsidTr="00A62069">
        <w:tc>
          <w:tcPr>
            <w:tcW w:w="506" w:type="pct"/>
            <w:tcBorders>
              <w:top w:val="single" w:sz="4" w:space="0" w:color="000000"/>
              <w:left w:val="double" w:sz="6" w:space="0" w:color="auto"/>
              <w:bottom w:val="single" w:sz="4" w:space="0" w:color="000000"/>
            </w:tcBorders>
            <w:vAlign w:val="center"/>
          </w:tcPr>
          <w:p w14:paraId="45ECF868" w14:textId="77777777" w:rsidR="001D4369" w:rsidRDefault="001D4369" w:rsidP="00EF2ED1">
            <w:pPr>
              <w:spacing w:before="0" w:after="0" w:line="259" w:lineRule="auto"/>
              <w:jc w:val="right"/>
              <w:rPr>
                <w:b/>
                <w:bCs/>
                <w:sz w:val="20"/>
                <w:szCs w:val="18"/>
              </w:rPr>
            </w:pPr>
            <w:r>
              <w:rPr>
                <w:b/>
                <w:bCs/>
                <w:sz w:val="20"/>
                <w:szCs w:val="18"/>
              </w:rPr>
              <w:t>3</w:t>
            </w:r>
          </w:p>
        </w:tc>
        <w:tc>
          <w:tcPr>
            <w:tcW w:w="2210" w:type="pct"/>
            <w:tcBorders>
              <w:top w:val="single" w:sz="4" w:space="0" w:color="000000"/>
              <w:bottom w:val="single" w:sz="4" w:space="0" w:color="000000"/>
              <w:right w:val="double" w:sz="6" w:space="0" w:color="auto"/>
            </w:tcBorders>
            <w:vAlign w:val="center"/>
          </w:tcPr>
          <w:p w14:paraId="2F0294BC" w14:textId="77777777" w:rsidR="001D4369" w:rsidRPr="00883DC1" w:rsidRDefault="001D4369" w:rsidP="00EF2ED1">
            <w:pPr>
              <w:spacing w:before="0" w:after="0" w:line="259" w:lineRule="auto"/>
              <w:jc w:val="right"/>
              <w:rPr>
                <w:sz w:val="20"/>
                <w:szCs w:val="18"/>
              </w:rPr>
            </w:pPr>
            <w:r>
              <w:rPr>
                <w:sz w:val="20"/>
                <w:szCs w:val="18"/>
              </w:rPr>
              <w:t>Telefonista</w:t>
            </w:r>
          </w:p>
        </w:tc>
        <w:tc>
          <w:tcPr>
            <w:tcW w:w="741" w:type="pct"/>
            <w:tcBorders>
              <w:top w:val="single" w:sz="4" w:space="0" w:color="000000"/>
              <w:left w:val="double" w:sz="6" w:space="0" w:color="auto"/>
            </w:tcBorders>
            <w:vAlign w:val="center"/>
          </w:tcPr>
          <w:p w14:paraId="1110B9CE"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right w:val="double" w:sz="6" w:space="0" w:color="auto"/>
            </w:tcBorders>
            <w:shd w:val="clear" w:color="auto" w:fill="auto"/>
            <w:vAlign w:val="center"/>
          </w:tcPr>
          <w:p w14:paraId="49B4CE94" w14:textId="77777777" w:rsidR="001D4369" w:rsidRPr="00B25800" w:rsidRDefault="001D4369" w:rsidP="000F4CC1">
            <w:pPr>
              <w:spacing w:before="0" w:after="0" w:line="259" w:lineRule="auto"/>
              <w:jc w:val="center"/>
              <w:rPr>
                <w:sz w:val="20"/>
                <w:szCs w:val="18"/>
              </w:rPr>
            </w:pPr>
            <w:r>
              <w:rPr>
                <w:sz w:val="20"/>
                <w:szCs w:val="18"/>
              </w:rPr>
              <w:t>-</w:t>
            </w:r>
          </w:p>
        </w:tc>
        <w:tc>
          <w:tcPr>
            <w:tcW w:w="794" w:type="pct"/>
            <w:tcBorders>
              <w:left w:val="double" w:sz="6" w:space="0" w:color="auto"/>
              <w:right w:val="double" w:sz="6" w:space="0" w:color="auto"/>
            </w:tcBorders>
            <w:vAlign w:val="center"/>
          </w:tcPr>
          <w:p w14:paraId="3865ED31" w14:textId="77777777" w:rsidR="001D4369" w:rsidRPr="00A669F0" w:rsidRDefault="001D4369" w:rsidP="000F4CC1">
            <w:pPr>
              <w:spacing w:before="0" w:after="0" w:line="259" w:lineRule="auto"/>
              <w:jc w:val="center"/>
              <w:rPr>
                <w:sz w:val="20"/>
                <w:szCs w:val="18"/>
              </w:rPr>
            </w:pPr>
            <w:r>
              <w:rPr>
                <w:sz w:val="20"/>
                <w:szCs w:val="18"/>
              </w:rPr>
              <w:t>-</w:t>
            </w:r>
          </w:p>
        </w:tc>
      </w:tr>
      <w:tr w:rsidR="001D4369" w14:paraId="06EAB021" w14:textId="77777777" w:rsidTr="00A62069">
        <w:tc>
          <w:tcPr>
            <w:tcW w:w="506" w:type="pct"/>
            <w:tcBorders>
              <w:top w:val="single" w:sz="4" w:space="0" w:color="000000"/>
              <w:left w:val="double" w:sz="6" w:space="0" w:color="auto"/>
              <w:bottom w:val="single" w:sz="4" w:space="0" w:color="000000"/>
            </w:tcBorders>
            <w:vAlign w:val="center"/>
          </w:tcPr>
          <w:p w14:paraId="494603D5" w14:textId="77777777" w:rsidR="001D4369" w:rsidRDefault="001D4369" w:rsidP="00EF2ED1">
            <w:pPr>
              <w:spacing w:before="0" w:after="0" w:line="259" w:lineRule="auto"/>
              <w:jc w:val="right"/>
              <w:rPr>
                <w:b/>
                <w:bCs/>
                <w:sz w:val="20"/>
                <w:szCs w:val="18"/>
              </w:rPr>
            </w:pPr>
            <w:r>
              <w:rPr>
                <w:b/>
                <w:bCs/>
                <w:sz w:val="20"/>
                <w:szCs w:val="18"/>
              </w:rPr>
              <w:t>4</w:t>
            </w:r>
          </w:p>
        </w:tc>
        <w:tc>
          <w:tcPr>
            <w:tcW w:w="2210" w:type="pct"/>
            <w:tcBorders>
              <w:top w:val="single" w:sz="4" w:space="0" w:color="000000"/>
              <w:bottom w:val="single" w:sz="4" w:space="0" w:color="000000"/>
              <w:right w:val="double" w:sz="6" w:space="0" w:color="auto"/>
            </w:tcBorders>
            <w:vAlign w:val="center"/>
          </w:tcPr>
          <w:p w14:paraId="1E0DD1CE" w14:textId="77777777" w:rsidR="001D4369" w:rsidRPr="00883DC1" w:rsidRDefault="001D4369" w:rsidP="00EF2ED1">
            <w:pPr>
              <w:spacing w:before="0" w:after="0" w:line="259" w:lineRule="auto"/>
              <w:jc w:val="right"/>
              <w:rPr>
                <w:sz w:val="20"/>
                <w:szCs w:val="18"/>
              </w:rPr>
            </w:pPr>
            <w:r>
              <w:rPr>
                <w:sz w:val="20"/>
                <w:szCs w:val="18"/>
              </w:rPr>
              <w:t>Pastor</w:t>
            </w:r>
          </w:p>
        </w:tc>
        <w:tc>
          <w:tcPr>
            <w:tcW w:w="741" w:type="pct"/>
            <w:tcBorders>
              <w:left w:val="double" w:sz="6" w:space="0" w:color="auto"/>
            </w:tcBorders>
            <w:vAlign w:val="center"/>
          </w:tcPr>
          <w:p w14:paraId="133693FF"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right w:val="double" w:sz="6" w:space="0" w:color="auto"/>
            </w:tcBorders>
            <w:shd w:val="clear" w:color="auto" w:fill="auto"/>
            <w:vAlign w:val="center"/>
          </w:tcPr>
          <w:p w14:paraId="2FD84E0B" w14:textId="77777777" w:rsidR="001D4369" w:rsidRPr="00B25800" w:rsidRDefault="001D4369" w:rsidP="000F4CC1">
            <w:pPr>
              <w:spacing w:before="0" w:after="0" w:line="259" w:lineRule="auto"/>
              <w:jc w:val="center"/>
              <w:rPr>
                <w:sz w:val="20"/>
                <w:szCs w:val="18"/>
              </w:rPr>
            </w:pPr>
            <w:r>
              <w:rPr>
                <w:sz w:val="20"/>
                <w:szCs w:val="18"/>
              </w:rPr>
              <w:t>23.309</w:t>
            </w:r>
          </w:p>
        </w:tc>
        <w:tc>
          <w:tcPr>
            <w:tcW w:w="794" w:type="pct"/>
            <w:tcBorders>
              <w:left w:val="double" w:sz="6" w:space="0" w:color="auto"/>
              <w:right w:val="double" w:sz="6" w:space="0" w:color="auto"/>
            </w:tcBorders>
            <w:vAlign w:val="center"/>
          </w:tcPr>
          <w:p w14:paraId="1836BC83" w14:textId="77777777" w:rsidR="001D4369" w:rsidRPr="00A669F0" w:rsidRDefault="001D4369" w:rsidP="000F4CC1">
            <w:pPr>
              <w:spacing w:before="0" w:after="0" w:line="259" w:lineRule="auto"/>
              <w:jc w:val="center"/>
              <w:rPr>
                <w:sz w:val="20"/>
                <w:szCs w:val="18"/>
              </w:rPr>
            </w:pPr>
            <w:r>
              <w:rPr>
                <w:sz w:val="20"/>
                <w:szCs w:val="18"/>
              </w:rPr>
              <w:t>100%</w:t>
            </w:r>
          </w:p>
        </w:tc>
      </w:tr>
      <w:tr w:rsidR="001D4369" w14:paraId="5F53125B" w14:textId="77777777" w:rsidTr="00A62069">
        <w:tc>
          <w:tcPr>
            <w:tcW w:w="506" w:type="pct"/>
            <w:tcBorders>
              <w:top w:val="single" w:sz="4" w:space="0" w:color="000000"/>
              <w:left w:val="double" w:sz="6" w:space="0" w:color="auto"/>
              <w:bottom w:val="single" w:sz="4" w:space="0" w:color="000000"/>
            </w:tcBorders>
            <w:vAlign w:val="center"/>
          </w:tcPr>
          <w:p w14:paraId="7473A0DA" w14:textId="77777777" w:rsidR="001D4369" w:rsidRDefault="001D4369" w:rsidP="00EF2ED1">
            <w:pPr>
              <w:spacing w:before="0" w:after="0" w:line="259" w:lineRule="auto"/>
              <w:jc w:val="right"/>
              <w:rPr>
                <w:b/>
                <w:bCs/>
                <w:sz w:val="20"/>
                <w:szCs w:val="18"/>
              </w:rPr>
            </w:pPr>
            <w:r>
              <w:rPr>
                <w:b/>
                <w:bCs/>
                <w:sz w:val="20"/>
                <w:szCs w:val="18"/>
              </w:rPr>
              <w:t>5</w:t>
            </w:r>
          </w:p>
        </w:tc>
        <w:tc>
          <w:tcPr>
            <w:tcW w:w="2210" w:type="pct"/>
            <w:tcBorders>
              <w:top w:val="single" w:sz="4" w:space="0" w:color="000000"/>
              <w:bottom w:val="single" w:sz="4" w:space="0" w:color="000000"/>
              <w:right w:val="double" w:sz="6" w:space="0" w:color="auto"/>
            </w:tcBorders>
            <w:vAlign w:val="center"/>
          </w:tcPr>
          <w:p w14:paraId="12EEB43F" w14:textId="77777777" w:rsidR="001D4369" w:rsidRPr="00883DC1" w:rsidRDefault="001D4369" w:rsidP="00EF2ED1">
            <w:pPr>
              <w:spacing w:before="0" w:after="0" w:line="259" w:lineRule="auto"/>
              <w:jc w:val="right"/>
              <w:rPr>
                <w:sz w:val="20"/>
                <w:szCs w:val="18"/>
              </w:rPr>
            </w:pPr>
            <w:r>
              <w:rPr>
                <w:sz w:val="20"/>
                <w:szCs w:val="18"/>
              </w:rPr>
              <w:t>Operario</w:t>
            </w:r>
          </w:p>
        </w:tc>
        <w:tc>
          <w:tcPr>
            <w:tcW w:w="741" w:type="pct"/>
            <w:tcBorders>
              <w:left w:val="double" w:sz="6" w:space="0" w:color="auto"/>
            </w:tcBorders>
            <w:vAlign w:val="center"/>
          </w:tcPr>
          <w:p w14:paraId="6A85A1D6" w14:textId="77777777" w:rsidR="001D4369" w:rsidRPr="00425BA2" w:rsidRDefault="001D4369" w:rsidP="000F4CC1">
            <w:pPr>
              <w:spacing w:before="0" w:after="0" w:line="259" w:lineRule="auto"/>
              <w:jc w:val="center"/>
              <w:rPr>
                <w:sz w:val="20"/>
                <w:szCs w:val="18"/>
              </w:rPr>
            </w:pPr>
            <w:r>
              <w:rPr>
                <w:sz w:val="20"/>
                <w:szCs w:val="18"/>
              </w:rPr>
              <w:t>9.324</w:t>
            </w:r>
          </w:p>
        </w:tc>
        <w:tc>
          <w:tcPr>
            <w:tcW w:w="749" w:type="pct"/>
            <w:tcBorders>
              <w:right w:val="double" w:sz="6" w:space="0" w:color="auto"/>
            </w:tcBorders>
            <w:shd w:val="clear" w:color="auto" w:fill="auto"/>
            <w:vAlign w:val="center"/>
          </w:tcPr>
          <w:p w14:paraId="239E7D7D" w14:textId="77777777" w:rsidR="001D4369" w:rsidRPr="00B25800" w:rsidRDefault="001D4369" w:rsidP="000F4CC1">
            <w:pPr>
              <w:spacing w:before="0" w:after="0" w:line="259" w:lineRule="auto"/>
              <w:jc w:val="center"/>
              <w:rPr>
                <w:sz w:val="20"/>
                <w:szCs w:val="18"/>
              </w:rPr>
            </w:pPr>
            <w:r>
              <w:rPr>
                <w:sz w:val="20"/>
                <w:szCs w:val="18"/>
              </w:rPr>
              <w:t>9.579</w:t>
            </w:r>
          </w:p>
        </w:tc>
        <w:tc>
          <w:tcPr>
            <w:tcW w:w="794" w:type="pct"/>
            <w:tcBorders>
              <w:left w:val="double" w:sz="6" w:space="0" w:color="auto"/>
              <w:right w:val="double" w:sz="6" w:space="0" w:color="auto"/>
            </w:tcBorders>
            <w:vAlign w:val="center"/>
          </w:tcPr>
          <w:p w14:paraId="1240E9B9" w14:textId="77777777" w:rsidR="001D4369" w:rsidRPr="00A669F0" w:rsidRDefault="001D4369" w:rsidP="000F4CC1">
            <w:pPr>
              <w:spacing w:before="0" w:after="0" w:line="259" w:lineRule="auto"/>
              <w:jc w:val="center"/>
              <w:rPr>
                <w:sz w:val="20"/>
                <w:szCs w:val="18"/>
              </w:rPr>
            </w:pPr>
            <w:r>
              <w:rPr>
                <w:sz w:val="20"/>
                <w:szCs w:val="18"/>
              </w:rPr>
              <w:t>3%</w:t>
            </w:r>
          </w:p>
        </w:tc>
      </w:tr>
      <w:tr w:rsidR="001D4369" w14:paraId="5F3CFD7C" w14:textId="77777777" w:rsidTr="00A62069">
        <w:tc>
          <w:tcPr>
            <w:tcW w:w="506" w:type="pct"/>
            <w:tcBorders>
              <w:top w:val="single" w:sz="4" w:space="0" w:color="000000"/>
              <w:left w:val="double" w:sz="6" w:space="0" w:color="auto"/>
              <w:bottom w:val="single" w:sz="4" w:space="0" w:color="000000"/>
            </w:tcBorders>
            <w:vAlign w:val="center"/>
          </w:tcPr>
          <w:p w14:paraId="10F41716" w14:textId="77777777" w:rsidR="001D4369" w:rsidRDefault="001D4369" w:rsidP="00EF2ED1">
            <w:pPr>
              <w:spacing w:before="0" w:after="0" w:line="259" w:lineRule="auto"/>
              <w:jc w:val="right"/>
              <w:rPr>
                <w:b/>
                <w:bCs/>
                <w:sz w:val="20"/>
                <w:szCs w:val="18"/>
              </w:rPr>
            </w:pPr>
            <w:r>
              <w:rPr>
                <w:b/>
                <w:bCs/>
                <w:sz w:val="20"/>
                <w:szCs w:val="18"/>
              </w:rPr>
              <w:t>6</w:t>
            </w:r>
          </w:p>
        </w:tc>
        <w:tc>
          <w:tcPr>
            <w:tcW w:w="2210" w:type="pct"/>
            <w:tcBorders>
              <w:top w:val="single" w:sz="4" w:space="0" w:color="000000"/>
              <w:bottom w:val="single" w:sz="4" w:space="0" w:color="000000"/>
              <w:right w:val="double" w:sz="6" w:space="0" w:color="auto"/>
            </w:tcBorders>
            <w:vAlign w:val="center"/>
          </w:tcPr>
          <w:p w14:paraId="7F265B4A" w14:textId="77777777" w:rsidR="001D4369" w:rsidRPr="00883DC1" w:rsidRDefault="001D4369" w:rsidP="00EF2ED1">
            <w:pPr>
              <w:spacing w:before="0" w:after="0" w:line="259" w:lineRule="auto"/>
              <w:jc w:val="right"/>
              <w:rPr>
                <w:sz w:val="20"/>
                <w:szCs w:val="18"/>
              </w:rPr>
            </w:pPr>
            <w:r>
              <w:rPr>
                <w:sz w:val="20"/>
                <w:szCs w:val="18"/>
              </w:rPr>
              <w:t>Operario especializado</w:t>
            </w:r>
          </w:p>
        </w:tc>
        <w:tc>
          <w:tcPr>
            <w:tcW w:w="741" w:type="pct"/>
            <w:tcBorders>
              <w:left w:val="double" w:sz="6" w:space="0" w:color="auto"/>
            </w:tcBorders>
            <w:vAlign w:val="center"/>
          </w:tcPr>
          <w:p w14:paraId="7D891DD7" w14:textId="77777777" w:rsidR="001D4369" w:rsidRPr="00425BA2" w:rsidRDefault="001D4369" w:rsidP="000F4CC1">
            <w:pPr>
              <w:spacing w:before="0" w:after="0" w:line="259" w:lineRule="auto"/>
              <w:jc w:val="center"/>
              <w:rPr>
                <w:sz w:val="20"/>
                <w:szCs w:val="18"/>
              </w:rPr>
            </w:pPr>
            <w:r>
              <w:rPr>
                <w:sz w:val="20"/>
                <w:szCs w:val="18"/>
              </w:rPr>
              <w:t>5.056</w:t>
            </w:r>
          </w:p>
        </w:tc>
        <w:tc>
          <w:tcPr>
            <w:tcW w:w="749" w:type="pct"/>
            <w:tcBorders>
              <w:right w:val="double" w:sz="6" w:space="0" w:color="auto"/>
            </w:tcBorders>
            <w:shd w:val="clear" w:color="auto" w:fill="auto"/>
            <w:vAlign w:val="center"/>
          </w:tcPr>
          <w:p w14:paraId="104AB9F8" w14:textId="77777777" w:rsidR="001D4369" w:rsidRPr="00B25800" w:rsidRDefault="001D4369" w:rsidP="000F4CC1">
            <w:pPr>
              <w:spacing w:before="0" w:after="0" w:line="259" w:lineRule="auto"/>
              <w:jc w:val="center"/>
              <w:rPr>
                <w:sz w:val="20"/>
                <w:szCs w:val="18"/>
              </w:rPr>
            </w:pPr>
            <w:r>
              <w:rPr>
                <w:sz w:val="20"/>
                <w:szCs w:val="18"/>
              </w:rPr>
              <w:t>19.433</w:t>
            </w:r>
          </w:p>
        </w:tc>
        <w:tc>
          <w:tcPr>
            <w:tcW w:w="794" w:type="pct"/>
            <w:tcBorders>
              <w:left w:val="double" w:sz="6" w:space="0" w:color="auto"/>
              <w:right w:val="double" w:sz="6" w:space="0" w:color="auto"/>
            </w:tcBorders>
            <w:vAlign w:val="center"/>
          </w:tcPr>
          <w:p w14:paraId="1DCD121F" w14:textId="77777777" w:rsidR="001D4369" w:rsidRPr="00A669F0" w:rsidRDefault="001D4369" w:rsidP="000F4CC1">
            <w:pPr>
              <w:spacing w:before="0" w:after="0" w:line="259" w:lineRule="auto"/>
              <w:jc w:val="center"/>
              <w:rPr>
                <w:sz w:val="20"/>
                <w:szCs w:val="18"/>
              </w:rPr>
            </w:pPr>
            <w:r>
              <w:rPr>
                <w:sz w:val="20"/>
                <w:szCs w:val="18"/>
              </w:rPr>
              <w:t>74%</w:t>
            </w:r>
          </w:p>
        </w:tc>
      </w:tr>
      <w:tr w:rsidR="001D4369" w14:paraId="7D1FB3D7" w14:textId="77777777" w:rsidTr="00A62069">
        <w:tc>
          <w:tcPr>
            <w:tcW w:w="506" w:type="pct"/>
            <w:tcBorders>
              <w:top w:val="single" w:sz="4" w:space="0" w:color="000000"/>
              <w:left w:val="double" w:sz="6" w:space="0" w:color="auto"/>
              <w:bottom w:val="single" w:sz="4" w:space="0" w:color="000000"/>
            </w:tcBorders>
            <w:vAlign w:val="center"/>
          </w:tcPr>
          <w:p w14:paraId="41D5702A" w14:textId="77777777" w:rsidR="001D4369" w:rsidRDefault="001D4369" w:rsidP="00EF2ED1">
            <w:pPr>
              <w:spacing w:before="0" w:after="0" w:line="259" w:lineRule="auto"/>
              <w:jc w:val="right"/>
              <w:rPr>
                <w:b/>
                <w:bCs/>
                <w:sz w:val="20"/>
                <w:szCs w:val="18"/>
              </w:rPr>
            </w:pPr>
            <w:r>
              <w:rPr>
                <w:b/>
                <w:bCs/>
                <w:sz w:val="20"/>
                <w:szCs w:val="18"/>
              </w:rPr>
              <w:t>7</w:t>
            </w:r>
          </w:p>
        </w:tc>
        <w:tc>
          <w:tcPr>
            <w:tcW w:w="2210" w:type="pct"/>
            <w:tcBorders>
              <w:top w:val="single" w:sz="4" w:space="0" w:color="000000"/>
              <w:bottom w:val="single" w:sz="4" w:space="0" w:color="000000"/>
              <w:right w:val="double" w:sz="6" w:space="0" w:color="auto"/>
            </w:tcBorders>
            <w:vAlign w:val="center"/>
          </w:tcPr>
          <w:p w14:paraId="343CC73C" w14:textId="77777777" w:rsidR="001D4369" w:rsidRPr="00883DC1" w:rsidRDefault="001D4369" w:rsidP="00EF2ED1">
            <w:pPr>
              <w:spacing w:before="0" w:after="0" w:line="259" w:lineRule="auto"/>
              <w:jc w:val="right"/>
              <w:rPr>
                <w:sz w:val="20"/>
                <w:szCs w:val="18"/>
              </w:rPr>
            </w:pPr>
            <w:r>
              <w:rPr>
                <w:sz w:val="20"/>
                <w:szCs w:val="18"/>
              </w:rPr>
              <w:t>Auxiliar</w:t>
            </w:r>
          </w:p>
        </w:tc>
        <w:tc>
          <w:tcPr>
            <w:tcW w:w="741" w:type="pct"/>
            <w:tcBorders>
              <w:left w:val="double" w:sz="6" w:space="0" w:color="auto"/>
            </w:tcBorders>
            <w:vAlign w:val="center"/>
          </w:tcPr>
          <w:p w14:paraId="1AB429AF" w14:textId="77777777" w:rsidR="001D4369" w:rsidRPr="00425BA2" w:rsidRDefault="001D4369" w:rsidP="000F4CC1">
            <w:pPr>
              <w:spacing w:before="0" w:after="0" w:line="259" w:lineRule="auto"/>
              <w:jc w:val="center"/>
              <w:rPr>
                <w:sz w:val="20"/>
                <w:szCs w:val="18"/>
              </w:rPr>
            </w:pPr>
            <w:r>
              <w:rPr>
                <w:sz w:val="20"/>
                <w:szCs w:val="18"/>
              </w:rPr>
              <w:t>21.810</w:t>
            </w:r>
          </w:p>
        </w:tc>
        <w:tc>
          <w:tcPr>
            <w:tcW w:w="749" w:type="pct"/>
            <w:tcBorders>
              <w:right w:val="double" w:sz="6" w:space="0" w:color="auto"/>
            </w:tcBorders>
            <w:shd w:val="clear" w:color="auto" w:fill="auto"/>
            <w:vAlign w:val="center"/>
          </w:tcPr>
          <w:p w14:paraId="0CAFCCBC" w14:textId="77777777" w:rsidR="001D4369" w:rsidRPr="00B25800" w:rsidRDefault="001D4369" w:rsidP="000F4CC1">
            <w:pPr>
              <w:spacing w:before="0" w:after="0" w:line="259" w:lineRule="auto"/>
              <w:jc w:val="center"/>
              <w:rPr>
                <w:sz w:val="20"/>
                <w:szCs w:val="18"/>
              </w:rPr>
            </w:pPr>
            <w:r>
              <w:rPr>
                <w:sz w:val="20"/>
                <w:szCs w:val="18"/>
              </w:rPr>
              <w:t>23.278</w:t>
            </w:r>
          </w:p>
        </w:tc>
        <w:tc>
          <w:tcPr>
            <w:tcW w:w="794" w:type="pct"/>
            <w:tcBorders>
              <w:left w:val="double" w:sz="6" w:space="0" w:color="auto"/>
              <w:right w:val="double" w:sz="6" w:space="0" w:color="auto"/>
            </w:tcBorders>
            <w:vAlign w:val="center"/>
          </w:tcPr>
          <w:p w14:paraId="4F4DF793" w14:textId="77777777" w:rsidR="001D4369" w:rsidRPr="00A669F0" w:rsidRDefault="001D4369" w:rsidP="000F4CC1">
            <w:pPr>
              <w:spacing w:before="0" w:after="0" w:line="259" w:lineRule="auto"/>
              <w:jc w:val="center"/>
              <w:rPr>
                <w:sz w:val="20"/>
                <w:szCs w:val="18"/>
              </w:rPr>
            </w:pPr>
            <w:r>
              <w:rPr>
                <w:sz w:val="20"/>
                <w:szCs w:val="18"/>
              </w:rPr>
              <w:t>6%</w:t>
            </w:r>
          </w:p>
        </w:tc>
      </w:tr>
      <w:tr w:rsidR="001D4369" w14:paraId="203AF253" w14:textId="77777777" w:rsidTr="00A62069">
        <w:tc>
          <w:tcPr>
            <w:tcW w:w="506" w:type="pct"/>
            <w:tcBorders>
              <w:top w:val="single" w:sz="4" w:space="0" w:color="000000"/>
              <w:left w:val="double" w:sz="6" w:space="0" w:color="auto"/>
              <w:bottom w:val="single" w:sz="4" w:space="0" w:color="000000"/>
            </w:tcBorders>
            <w:vAlign w:val="center"/>
          </w:tcPr>
          <w:p w14:paraId="44433F75" w14:textId="77777777" w:rsidR="001D4369" w:rsidRDefault="001D4369" w:rsidP="00EF2ED1">
            <w:pPr>
              <w:spacing w:before="0" w:after="0" w:line="259" w:lineRule="auto"/>
              <w:jc w:val="right"/>
              <w:rPr>
                <w:b/>
                <w:bCs/>
                <w:sz w:val="20"/>
                <w:szCs w:val="18"/>
              </w:rPr>
            </w:pPr>
            <w:r>
              <w:rPr>
                <w:b/>
                <w:bCs/>
                <w:sz w:val="20"/>
                <w:szCs w:val="18"/>
              </w:rPr>
              <w:t>8</w:t>
            </w:r>
          </w:p>
        </w:tc>
        <w:tc>
          <w:tcPr>
            <w:tcW w:w="2210" w:type="pct"/>
            <w:tcBorders>
              <w:top w:val="single" w:sz="4" w:space="0" w:color="000000"/>
              <w:bottom w:val="single" w:sz="4" w:space="0" w:color="000000"/>
              <w:right w:val="double" w:sz="6" w:space="0" w:color="auto"/>
            </w:tcBorders>
            <w:vAlign w:val="center"/>
          </w:tcPr>
          <w:p w14:paraId="62E64B2F" w14:textId="77777777" w:rsidR="001D4369" w:rsidRPr="00883DC1" w:rsidRDefault="001D4369" w:rsidP="00EF2ED1">
            <w:pPr>
              <w:spacing w:before="0" w:after="0" w:line="259" w:lineRule="auto"/>
              <w:jc w:val="right"/>
              <w:rPr>
                <w:sz w:val="20"/>
                <w:szCs w:val="18"/>
              </w:rPr>
            </w:pPr>
            <w:r>
              <w:rPr>
                <w:sz w:val="20"/>
                <w:szCs w:val="18"/>
              </w:rPr>
              <w:t>Auxiliar informático</w:t>
            </w:r>
          </w:p>
        </w:tc>
        <w:tc>
          <w:tcPr>
            <w:tcW w:w="741" w:type="pct"/>
            <w:tcBorders>
              <w:left w:val="double" w:sz="6" w:space="0" w:color="auto"/>
            </w:tcBorders>
            <w:vAlign w:val="center"/>
          </w:tcPr>
          <w:p w14:paraId="37DF488E" w14:textId="77777777" w:rsidR="001D4369" w:rsidRPr="00425BA2" w:rsidRDefault="001D4369" w:rsidP="000F4CC1">
            <w:pPr>
              <w:spacing w:before="0" w:after="0" w:line="259" w:lineRule="auto"/>
              <w:jc w:val="center"/>
              <w:rPr>
                <w:sz w:val="20"/>
                <w:szCs w:val="18"/>
              </w:rPr>
            </w:pPr>
            <w:r>
              <w:rPr>
                <w:sz w:val="20"/>
                <w:szCs w:val="18"/>
              </w:rPr>
              <w:t>23.602</w:t>
            </w:r>
          </w:p>
        </w:tc>
        <w:tc>
          <w:tcPr>
            <w:tcW w:w="749" w:type="pct"/>
            <w:tcBorders>
              <w:right w:val="double" w:sz="6" w:space="0" w:color="auto"/>
            </w:tcBorders>
            <w:shd w:val="clear" w:color="auto" w:fill="auto"/>
            <w:vAlign w:val="center"/>
          </w:tcPr>
          <w:p w14:paraId="0BEF3A71" w14:textId="77777777" w:rsidR="001D4369" w:rsidRPr="00B25800" w:rsidRDefault="001D4369" w:rsidP="000F4CC1">
            <w:pPr>
              <w:spacing w:before="0" w:after="0" w:line="259" w:lineRule="auto"/>
              <w:jc w:val="center"/>
              <w:rPr>
                <w:sz w:val="20"/>
                <w:szCs w:val="18"/>
              </w:rPr>
            </w:pPr>
            <w:r>
              <w:rPr>
                <w:sz w:val="20"/>
                <w:szCs w:val="18"/>
              </w:rPr>
              <w:t>25.052</w:t>
            </w:r>
          </w:p>
        </w:tc>
        <w:tc>
          <w:tcPr>
            <w:tcW w:w="794" w:type="pct"/>
            <w:tcBorders>
              <w:left w:val="double" w:sz="6" w:space="0" w:color="auto"/>
              <w:right w:val="double" w:sz="6" w:space="0" w:color="auto"/>
            </w:tcBorders>
            <w:vAlign w:val="center"/>
          </w:tcPr>
          <w:p w14:paraId="73A1C622" w14:textId="77777777" w:rsidR="001D4369" w:rsidRPr="00A669F0" w:rsidRDefault="001D4369" w:rsidP="000F4CC1">
            <w:pPr>
              <w:spacing w:before="0" w:after="0" w:line="259" w:lineRule="auto"/>
              <w:jc w:val="center"/>
              <w:rPr>
                <w:sz w:val="20"/>
                <w:szCs w:val="18"/>
              </w:rPr>
            </w:pPr>
            <w:r>
              <w:rPr>
                <w:sz w:val="20"/>
                <w:szCs w:val="18"/>
              </w:rPr>
              <w:t>6%</w:t>
            </w:r>
          </w:p>
        </w:tc>
      </w:tr>
      <w:tr w:rsidR="001D4369" w14:paraId="4F33A551" w14:textId="77777777" w:rsidTr="00A62069">
        <w:tc>
          <w:tcPr>
            <w:tcW w:w="506" w:type="pct"/>
            <w:tcBorders>
              <w:top w:val="single" w:sz="4" w:space="0" w:color="000000"/>
              <w:left w:val="double" w:sz="6" w:space="0" w:color="auto"/>
              <w:bottom w:val="single" w:sz="4" w:space="0" w:color="000000"/>
            </w:tcBorders>
            <w:vAlign w:val="center"/>
          </w:tcPr>
          <w:p w14:paraId="106F2A41" w14:textId="77777777" w:rsidR="001D4369" w:rsidRDefault="001D4369" w:rsidP="00EF2ED1">
            <w:pPr>
              <w:spacing w:before="0" w:after="0" w:line="259" w:lineRule="auto"/>
              <w:jc w:val="right"/>
              <w:rPr>
                <w:b/>
                <w:bCs/>
                <w:sz w:val="20"/>
                <w:szCs w:val="18"/>
              </w:rPr>
            </w:pPr>
            <w:r>
              <w:rPr>
                <w:b/>
                <w:bCs/>
                <w:sz w:val="20"/>
                <w:szCs w:val="18"/>
              </w:rPr>
              <w:t>9</w:t>
            </w:r>
          </w:p>
        </w:tc>
        <w:tc>
          <w:tcPr>
            <w:tcW w:w="2210" w:type="pct"/>
            <w:tcBorders>
              <w:top w:val="single" w:sz="4" w:space="0" w:color="000000"/>
              <w:bottom w:val="single" w:sz="4" w:space="0" w:color="000000"/>
              <w:right w:val="double" w:sz="6" w:space="0" w:color="auto"/>
            </w:tcBorders>
            <w:vAlign w:val="center"/>
          </w:tcPr>
          <w:p w14:paraId="13B4B9C3" w14:textId="77777777" w:rsidR="001D4369" w:rsidRPr="00883DC1" w:rsidRDefault="001D4369" w:rsidP="00EF2ED1">
            <w:pPr>
              <w:spacing w:before="0" w:after="0" w:line="259" w:lineRule="auto"/>
              <w:jc w:val="right"/>
              <w:rPr>
                <w:sz w:val="20"/>
                <w:szCs w:val="18"/>
              </w:rPr>
            </w:pPr>
            <w:r>
              <w:rPr>
                <w:sz w:val="20"/>
                <w:szCs w:val="18"/>
              </w:rPr>
              <w:t>Oficial 2ª Oficio</w:t>
            </w:r>
          </w:p>
        </w:tc>
        <w:tc>
          <w:tcPr>
            <w:tcW w:w="741" w:type="pct"/>
            <w:tcBorders>
              <w:left w:val="double" w:sz="6" w:space="0" w:color="auto"/>
            </w:tcBorders>
            <w:vAlign w:val="center"/>
          </w:tcPr>
          <w:p w14:paraId="17471F85"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right w:val="double" w:sz="6" w:space="0" w:color="auto"/>
            </w:tcBorders>
            <w:shd w:val="clear" w:color="auto" w:fill="auto"/>
            <w:vAlign w:val="center"/>
          </w:tcPr>
          <w:p w14:paraId="1E90F534" w14:textId="77777777" w:rsidR="001D4369" w:rsidRPr="00B25800" w:rsidRDefault="001D4369" w:rsidP="000F4CC1">
            <w:pPr>
              <w:spacing w:before="0" w:after="0" w:line="259" w:lineRule="auto"/>
              <w:jc w:val="center"/>
              <w:rPr>
                <w:sz w:val="20"/>
                <w:szCs w:val="18"/>
              </w:rPr>
            </w:pPr>
            <w:r>
              <w:rPr>
                <w:sz w:val="20"/>
                <w:szCs w:val="18"/>
              </w:rPr>
              <w:t>-</w:t>
            </w:r>
          </w:p>
        </w:tc>
        <w:tc>
          <w:tcPr>
            <w:tcW w:w="794" w:type="pct"/>
            <w:tcBorders>
              <w:left w:val="double" w:sz="6" w:space="0" w:color="auto"/>
              <w:right w:val="double" w:sz="6" w:space="0" w:color="auto"/>
            </w:tcBorders>
            <w:vAlign w:val="center"/>
          </w:tcPr>
          <w:p w14:paraId="3A1B9519" w14:textId="77777777" w:rsidR="001D4369" w:rsidRPr="00A669F0" w:rsidRDefault="001D4369" w:rsidP="000F4CC1">
            <w:pPr>
              <w:spacing w:before="0" w:after="0" w:line="259" w:lineRule="auto"/>
              <w:jc w:val="center"/>
              <w:rPr>
                <w:sz w:val="20"/>
                <w:szCs w:val="18"/>
              </w:rPr>
            </w:pPr>
            <w:r>
              <w:rPr>
                <w:sz w:val="20"/>
                <w:szCs w:val="18"/>
              </w:rPr>
              <w:t>-</w:t>
            </w:r>
          </w:p>
        </w:tc>
      </w:tr>
      <w:tr w:rsidR="001D4369" w14:paraId="5F4185D1" w14:textId="77777777" w:rsidTr="00A62069">
        <w:tc>
          <w:tcPr>
            <w:tcW w:w="506" w:type="pct"/>
            <w:tcBorders>
              <w:top w:val="single" w:sz="4" w:space="0" w:color="000000"/>
              <w:left w:val="double" w:sz="6" w:space="0" w:color="auto"/>
              <w:bottom w:val="single" w:sz="4" w:space="0" w:color="000000"/>
            </w:tcBorders>
            <w:vAlign w:val="center"/>
          </w:tcPr>
          <w:p w14:paraId="0B59E7F9" w14:textId="77777777" w:rsidR="001D4369" w:rsidRDefault="001D4369" w:rsidP="00EF2ED1">
            <w:pPr>
              <w:spacing w:before="0" w:after="0" w:line="259" w:lineRule="auto"/>
              <w:jc w:val="right"/>
              <w:rPr>
                <w:b/>
                <w:bCs/>
                <w:sz w:val="20"/>
                <w:szCs w:val="18"/>
              </w:rPr>
            </w:pPr>
            <w:r>
              <w:rPr>
                <w:b/>
                <w:bCs/>
                <w:sz w:val="20"/>
                <w:szCs w:val="18"/>
              </w:rPr>
              <w:t>10</w:t>
            </w:r>
          </w:p>
        </w:tc>
        <w:tc>
          <w:tcPr>
            <w:tcW w:w="2210" w:type="pct"/>
            <w:tcBorders>
              <w:top w:val="single" w:sz="4" w:space="0" w:color="000000"/>
              <w:bottom w:val="single" w:sz="4" w:space="0" w:color="000000"/>
              <w:right w:val="double" w:sz="6" w:space="0" w:color="auto"/>
            </w:tcBorders>
            <w:vAlign w:val="center"/>
          </w:tcPr>
          <w:p w14:paraId="1325033E" w14:textId="77777777" w:rsidR="001D4369" w:rsidRPr="00883DC1" w:rsidRDefault="001D4369" w:rsidP="00EF2ED1">
            <w:pPr>
              <w:spacing w:before="0" w:after="0" w:line="259" w:lineRule="auto"/>
              <w:jc w:val="right"/>
              <w:rPr>
                <w:sz w:val="20"/>
                <w:szCs w:val="18"/>
              </w:rPr>
            </w:pPr>
            <w:r>
              <w:rPr>
                <w:sz w:val="20"/>
                <w:szCs w:val="18"/>
              </w:rPr>
              <w:t>Auxiliar de apoyo</w:t>
            </w:r>
          </w:p>
        </w:tc>
        <w:tc>
          <w:tcPr>
            <w:tcW w:w="741" w:type="pct"/>
            <w:tcBorders>
              <w:left w:val="double" w:sz="6" w:space="0" w:color="auto"/>
            </w:tcBorders>
            <w:vAlign w:val="center"/>
          </w:tcPr>
          <w:p w14:paraId="0DFA1574"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right w:val="double" w:sz="6" w:space="0" w:color="auto"/>
            </w:tcBorders>
            <w:shd w:val="clear" w:color="auto" w:fill="auto"/>
            <w:vAlign w:val="center"/>
          </w:tcPr>
          <w:p w14:paraId="4E15B1E5" w14:textId="77777777" w:rsidR="001D4369" w:rsidRPr="00B25800" w:rsidRDefault="001D4369" w:rsidP="000F4CC1">
            <w:pPr>
              <w:spacing w:before="0" w:after="0" w:line="259" w:lineRule="auto"/>
              <w:jc w:val="center"/>
              <w:rPr>
                <w:sz w:val="20"/>
                <w:szCs w:val="18"/>
              </w:rPr>
            </w:pPr>
            <w:r>
              <w:rPr>
                <w:sz w:val="20"/>
                <w:szCs w:val="18"/>
              </w:rPr>
              <w:t>-</w:t>
            </w:r>
          </w:p>
        </w:tc>
        <w:tc>
          <w:tcPr>
            <w:tcW w:w="794" w:type="pct"/>
            <w:tcBorders>
              <w:left w:val="double" w:sz="6" w:space="0" w:color="auto"/>
              <w:right w:val="double" w:sz="6" w:space="0" w:color="auto"/>
            </w:tcBorders>
            <w:vAlign w:val="center"/>
          </w:tcPr>
          <w:p w14:paraId="31568538" w14:textId="77777777" w:rsidR="001D4369" w:rsidRPr="00A669F0" w:rsidRDefault="001D4369" w:rsidP="000F4CC1">
            <w:pPr>
              <w:spacing w:before="0" w:after="0" w:line="259" w:lineRule="auto"/>
              <w:jc w:val="center"/>
              <w:rPr>
                <w:sz w:val="20"/>
                <w:szCs w:val="18"/>
              </w:rPr>
            </w:pPr>
            <w:r>
              <w:rPr>
                <w:sz w:val="20"/>
                <w:szCs w:val="18"/>
              </w:rPr>
              <w:t>-</w:t>
            </w:r>
          </w:p>
        </w:tc>
      </w:tr>
      <w:tr w:rsidR="001D4369" w14:paraId="6A1FCA91" w14:textId="77777777" w:rsidTr="00A62069">
        <w:tc>
          <w:tcPr>
            <w:tcW w:w="506" w:type="pct"/>
            <w:tcBorders>
              <w:top w:val="single" w:sz="4" w:space="0" w:color="000000"/>
              <w:left w:val="double" w:sz="6" w:space="0" w:color="auto"/>
              <w:bottom w:val="single" w:sz="4" w:space="0" w:color="000000"/>
            </w:tcBorders>
            <w:vAlign w:val="center"/>
          </w:tcPr>
          <w:p w14:paraId="6FB77FE9" w14:textId="77777777" w:rsidR="001D4369" w:rsidRDefault="001D4369" w:rsidP="00EF2ED1">
            <w:pPr>
              <w:spacing w:before="0" w:after="0" w:line="259" w:lineRule="auto"/>
              <w:jc w:val="right"/>
              <w:rPr>
                <w:b/>
                <w:bCs/>
                <w:sz w:val="20"/>
                <w:szCs w:val="18"/>
              </w:rPr>
            </w:pPr>
            <w:r>
              <w:rPr>
                <w:b/>
                <w:bCs/>
                <w:sz w:val="20"/>
                <w:szCs w:val="18"/>
              </w:rPr>
              <w:t>11</w:t>
            </w:r>
          </w:p>
        </w:tc>
        <w:tc>
          <w:tcPr>
            <w:tcW w:w="2210" w:type="pct"/>
            <w:tcBorders>
              <w:top w:val="single" w:sz="4" w:space="0" w:color="000000"/>
              <w:bottom w:val="single" w:sz="4" w:space="0" w:color="000000"/>
              <w:right w:val="double" w:sz="6" w:space="0" w:color="auto"/>
            </w:tcBorders>
            <w:vAlign w:val="center"/>
          </w:tcPr>
          <w:p w14:paraId="6DB2F771" w14:textId="77777777" w:rsidR="001D4369" w:rsidRPr="00883DC1" w:rsidRDefault="001D4369" w:rsidP="00EF2ED1">
            <w:pPr>
              <w:spacing w:before="0" w:after="0" w:line="259" w:lineRule="auto"/>
              <w:jc w:val="right"/>
              <w:rPr>
                <w:sz w:val="20"/>
                <w:szCs w:val="18"/>
              </w:rPr>
            </w:pPr>
            <w:r>
              <w:rPr>
                <w:sz w:val="20"/>
                <w:szCs w:val="18"/>
              </w:rPr>
              <w:t>Cocinero</w:t>
            </w:r>
          </w:p>
        </w:tc>
        <w:tc>
          <w:tcPr>
            <w:tcW w:w="741" w:type="pct"/>
            <w:tcBorders>
              <w:left w:val="double" w:sz="6" w:space="0" w:color="auto"/>
            </w:tcBorders>
            <w:vAlign w:val="center"/>
          </w:tcPr>
          <w:p w14:paraId="05CB962D" w14:textId="77777777" w:rsidR="001D4369" w:rsidRPr="00425BA2" w:rsidRDefault="001D4369" w:rsidP="000F4CC1">
            <w:pPr>
              <w:spacing w:before="0" w:after="0" w:line="259" w:lineRule="auto"/>
              <w:jc w:val="center"/>
              <w:rPr>
                <w:sz w:val="20"/>
                <w:szCs w:val="18"/>
              </w:rPr>
            </w:pPr>
            <w:r>
              <w:rPr>
                <w:sz w:val="20"/>
                <w:szCs w:val="18"/>
              </w:rPr>
              <w:t>5.647</w:t>
            </w:r>
          </w:p>
        </w:tc>
        <w:tc>
          <w:tcPr>
            <w:tcW w:w="749" w:type="pct"/>
            <w:tcBorders>
              <w:right w:val="double" w:sz="6" w:space="0" w:color="auto"/>
            </w:tcBorders>
            <w:shd w:val="clear" w:color="auto" w:fill="auto"/>
            <w:vAlign w:val="center"/>
          </w:tcPr>
          <w:p w14:paraId="6E4CF404" w14:textId="77777777" w:rsidR="001D4369" w:rsidRPr="00B25800" w:rsidRDefault="001D4369" w:rsidP="000F4CC1">
            <w:pPr>
              <w:spacing w:before="0" w:after="0" w:line="259" w:lineRule="auto"/>
              <w:jc w:val="center"/>
              <w:rPr>
                <w:sz w:val="20"/>
                <w:szCs w:val="18"/>
              </w:rPr>
            </w:pPr>
            <w:r>
              <w:rPr>
                <w:sz w:val="20"/>
                <w:szCs w:val="18"/>
              </w:rPr>
              <w:t>5.286</w:t>
            </w:r>
          </w:p>
        </w:tc>
        <w:tc>
          <w:tcPr>
            <w:tcW w:w="794" w:type="pct"/>
            <w:tcBorders>
              <w:left w:val="double" w:sz="6" w:space="0" w:color="auto"/>
              <w:right w:val="double" w:sz="6" w:space="0" w:color="auto"/>
            </w:tcBorders>
            <w:vAlign w:val="center"/>
          </w:tcPr>
          <w:p w14:paraId="193A3C16" w14:textId="77777777" w:rsidR="001D4369" w:rsidRPr="00A669F0" w:rsidRDefault="001D4369" w:rsidP="000F4CC1">
            <w:pPr>
              <w:spacing w:before="0" w:after="0" w:line="259" w:lineRule="auto"/>
              <w:jc w:val="center"/>
              <w:rPr>
                <w:sz w:val="20"/>
                <w:szCs w:val="18"/>
              </w:rPr>
            </w:pPr>
            <w:r>
              <w:rPr>
                <w:sz w:val="20"/>
                <w:szCs w:val="18"/>
              </w:rPr>
              <w:t>-7%</w:t>
            </w:r>
          </w:p>
        </w:tc>
      </w:tr>
      <w:tr w:rsidR="001D4369" w14:paraId="6EA144FB" w14:textId="77777777" w:rsidTr="00A62069">
        <w:tc>
          <w:tcPr>
            <w:tcW w:w="506" w:type="pct"/>
            <w:tcBorders>
              <w:top w:val="single" w:sz="4" w:space="0" w:color="000000"/>
              <w:left w:val="double" w:sz="6" w:space="0" w:color="auto"/>
              <w:bottom w:val="single" w:sz="4" w:space="0" w:color="000000"/>
            </w:tcBorders>
            <w:vAlign w:val="center"/>
          </w:tcPr>
          <w:p w14:paraId="60AB0DD1" w14:textId="77777777" w:rsidR="001D4369" w:rsidRDefault="001D4369" w:rsidP="00EF2ED1">
            <w:pPr>
              <w:spacing w:before="0" w:after="0" w:line="259" w:lineRule="auto"/>
              <w:jc w:val="right"/>
              <w:rPr>
                <w:b/>
                <w:bCs/>
                <w:sz w:val="20"/>
                <w:szCs w:val="18"/>
              </w:rPr>
            </w:pPr>
            <w:r>
              <w:rPr>
                <w:b/>
                <w:bCs/>
                <w:sz w:val="20"/>
                <w:szCs w:val="18"/>
              </w:rPr>
              <w:t>12</w:t>
            </w:r>
          </w:p>
        </w:tc>
        <w:tc>
          <w:tcPr>
            <w:tcW w:w="2210" w:type="pct"/>
            <w:tcBorders>
              <w:top w:val="single" w:sz="4" w:space="0" w:color="000000"/>
              <w:bottom w:val="single" w:sz="4" w:space="0" w:color="000000"/>
              <w:right w:val="double" w:sz="6" w:space="0" w:color="auto"/>
            </w:tcBorders>
            <w:vAlign w:val="center"/>
          </w:tcPr>
          <w:p w14:paraId="1D3DEF68" w14:textId="77777777" w:rsidR="001D4369" w:rsidRPr="00883DC1" w:rsidRDefault="001D4369" w:rsidP="00EF2ED1">
            <w:pPr>
              <w:spacing w:before="0" w:after="0" w:line="259" w:lineRule="auto"/>
              <w:jc w:val="right"/>
              <w:rPr>
                <w:sz w:val="20"/>
                <w:szCs w:val="18"/>
              </w:rPr>
            </w:pPr>
            <w:r>
              <w:rPr>
                <w:sz w:val="20"/>
                <w:szCs w:val="18"/>
              </w:rPr>
              <w:t>Operador máquina</w:t>
            </w:r>
          </w:p>
        </w:tc>
        <w:tc>
          <w:tcPr>
            <w:tcW w:w="741" w:type="pct"/>
            <w:tcBorders>
              <w:left w:val="double" w:sz="6" w:space="0" w:color="auto"/>
            </w:tcBorders>
            <w:vAlign w:val="center"/>
          </w:tcPr>
          <w:p w14:paraId="6C163282"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right w:val="double" w:sz="6" w:space="0" w:color="auto"/>
            </w:tcBorders>
            <w:shd w:val="clear" w:color="auto" w:fill="auto"/>
            <w:vAlign w:val="center"/>
          </w:tcPr>
          <w:p w14:paraId="2A9C9B3E" w14:textId="77777777" w:rsidR="001D4369" w:rsidRPr="00B25800" w:rsidRDefault="001D4369" w:rsidP="000F4CC1">
            <w:pPr>
              <w:spacing w:before="0" w:after="0" w:line="259" w:lineRule="auto"/>
              <w:jc w:val="center"/>
              <w:rPr>
                <w:sz w:val="20"/>
                <w:szCs w:val="18"/>
              </w:rPr>
            </w:pPr>
            <w:r>
              <w:rPr>
                <w:sz w:val="20"/>
                <w:szCs w:val="18"/>
              </w:rPr>
              <w:t>31.840</w:t>
            </w:r>
          </w:p>
        </w:tc>
        <w:tc>
          <w:tcPr>
            <w:tcW w:w="794" w:type="pct"/>
            <w:tcBorders>
              <w:left w:val="double" w:sz="6" w:space="0" w:color="auto"/>
              <w:right w:val="double" w:sz="6" w:space="0" w:color="auto"/>
            </w:tcBorders>
            <w:vAlign w:val="center"/>
          </w:tcPr>
          <w:p w14:paraId="54FC504C" w14:textId="77777777" w:rsidR="001D4369" w:rsidRPr="00A669F0" w:rsidRDefault="001D4369" w:rsidP="000F4CC1">
            <w:pPr>
              <w:spacing w:before="0" w:after="0" w:line="259" w:lineRule="auto"/>
              <w:jc w:val="center"/>
              <w:rPr>
                <w:sz w:val="20"/>
                <w:szCs w:val="18"/>
              </w:rPr>
            </w:pPr>
            <w:r>
              <w:rPr>
                <w:sz w:val="20"/>
                <w:szCs w:val="18"/>
              </w:rPr>
              <w:t>100%</w:t>
            </w:r>
          </w:p>
        </w:tc>
      </w:tr>
      <w:tr w:rsidR="001D4369" w14:paraId="1BB80E65" w14:textId="77777777" w:rsidTr="00A62069">
        <w:tc>
          <w:tcPr>
            <w:tcW w:w="506" w:type="pct"/>
            <w:tcBorders>
              <w:top w:val="single" w:sz="4" w:space="0" w:color="000000"/>
              <w:left w:val="double" w:sz="6" w:space="0" w:color="auto"/>
              <w:bottom w:val="single" w:sz="4" w:space="0" w:color="000000"/>
            </w:tcBorders>
            <w:vAlign w:val="center"/>
          </w:tcPr>
          <w:p w14:paraId="3BE03510" w14:textId="77777777" w:rsidR="001D4369" w:rsidRDefault="001D4369" w:rsidP="00EF2ED1">
            <w:pPr>
              <w:spacing w:before="0" w:after="0" w:line="259" w:lineRule="auto"/>
              <w:jc w:val="right"/>
              <w:rPr>
                <w:b/>
                <w:bCs/>
                <w:sz w:val="20"/>
                <w:szCs w:val="18"/>
              </w:rPr>
            </w:pPr>
            <w:r>
              <w:rPr>
                <w:b/>
                <w:bCs/>
                <w:sz w:val="20"/>
                <w:szCs w:val="18"/>
              </w:rPr>
              <w:t>13</w:t>
            </w:r>
          </w:p>
        </w:tc>
        <w:tc>
          <w:tcPr>
            <w:tcW w:w="2210" w:type="pct"/>
            <w:tcBorders>
              <w:top w:val="single" w:sz="4" w:space="0" w:color="000000"/>
              <w:bottom w:val="single" w:sz="4" w:space="0" w:color="000000"/>
              <w:right w:val="double" w:sz="6" w:space="0" w:color="auto"/>
            </w:tcBorders>
            <w:vAlign w:val="center"/>
          </w:tcPr>
          <w:p w14:paraId="23608599" w14:textId="77777777" w:rsidR="001D4369" w:rsidRPr="00883DC1" w:rsidRDefault="001D4369" w:rsidP="00EF2ED1">
            <w:pPr>
              <w:spacing w:before="0" w:after="0" w:line="259" w:lineRule="auto"/>
              <w:jc w:val="right"/>
              <w:rPr>
                <w:sz w:val="20"/>
                <w:szCs w:val="18"/>
              </w:rPr>
            </w:pPr>
            <w:r>
              <w:rPr>
                <w:sz w:val="20"/>
                <w:szCs w:val="18"/>
              </w:rPr>
              <w:t>Oficial 1º Oficio</w:t>
            </w:r>
          </w:p>
        </w:tc>
        <w:tc>
          <w:tcPr>
            <w:tcW w:w="741" w:type="pct"/>
            <w:tcBorders>
              <w:left w:val="double" w:sz="6" w:space="0" w:color="auto"/>
            </w:tcBorders>
            <w:vAlign w:val="center"/>
          </w:tcPr>
          <w:p w14:paraId="48F20FCE" w14:textId="77777777" w:rsidR="001D4369" w:rsidRPr="00425BA2" w:rsidRDefault="001D4369" w:rsidP="000F4CC1">
            <w:pPr>
              <w:spacing w:before="0" w:after="0" w:line="259" w:lineRule="auto"/>
              <w:jc w:val="center"/>
              <w:rPr>
                <w:sz w:val="20"/>
                <w:szCs w:val="18"/>
              </w:rPr>
            </w:pPr>
            <w:r>
              <w:rPr>
                <w:sz w:val="20"/>
                <w:szCs w:val="18"/>
              </w:rPr>
              <w:t>11.909</w:t>
            </w:r>
          </w:p>
        </w:tc>
        <w:tc>
          <w:tcPr>
            <w:tcW w:w="749" w:type="pct"/>
            <w:tcBorders>
              <w:right w:val="double" w:sz="6" w:space="0" w:color="auto"/>
            </w:tcBorders>
            <w:shd w:val="clear" w:color="auto" w:fill="auto"/>
            <w:vAlign w:val="center"/>
          </w:tcPr>
          <w:p w14:paraId="095527C8" w14:textId="77777777" w:rsidR="001D4369" w:rsidRPr="00B25800" w:rsidRDefault="001D4369" w:rsidP="000F4CC1">
            <w:pPr>
              <w:spacing w:before="0" w:after="0" w:line="259" w:lineRule="auto"/>
              <w:jc w:val="center"/>
              <w:rPr>
                <w:sz w:val="20"/>
                <w:szCs w:val="18"/>
              </w:rPr>
            </w:pPr>
            <w:r>
              <w:rPr>
                <w:sz w:val="20"/>
                <w:szCs w:val="18"/>
              </w:rPr>
              <w:t>21.383</w:t>
            </w:r>
          </w:p>
        </w:tc>
        <w:tc>
          <w:tcPr>
            <w:tcW w:w="794" w:type="pct"/>
            <w:tcBorders>
              <w:left w:val="double" w:sz="6" w:space="0" w:color="auto"/>
              <w:right w:val="double" w:sz="6" w:space="0" w:color="auto"/>
            </w:tcBorders>
            <w:vAlign w:val="center"/>
          </w:tcPr>
          <w:p w14:paraId="22E3E43F" w14:textId="77777777" w:rsidR="001D4369" w:rsidRPr="00A669F0" w:rsidRDefault="001D4369" w:rsidP="000F4CC1">
            <w:pPr>
              <w:spacing w:before="0" w:after="0" w:line="259" w:lineRule="auto"/>
              <w:jc w:val="center"/>
              <w:rPr>
                <w:sz w:val="20"/>
                <w:szCs w:val="18"/>
              </w:rPr>
            </w:pPr>
            <w:r>
              <w:rPr>
                <w:sz w:val="20"/>
                <w:szCs w:val="18"/>
              </w:rPr>
              <w:t>44%</w:t>
            </w:r>
          </w:p>
        </w:tc>
      </w:tr>
      <w:tr w:rsidR="001D4369" w14:paraId="5C0D96AE" w14:textId="77777777" w:rsidTr="00A62069">
        <w:tc>
          <w:tcPr>
            <w:tcW w:w="506" w:type="pct"/>
            <w:tcBorders>
              <w:top w:val="single" w:sz="4" w:space="0" w:color="000000"/>
              <w:left w:val="double" w:sz="6" w:space="0" w:color="auto"/>
              <w:bottom w:val="single" w:sz="4" w:space="0" w:color="000000"/>
            </w:tcBorders>
            <w:vAlign w:val="center"/>
          </w:tcPr>
          <w:p w14:paraId="7F0CF36F" w14:textId="77777777" w:rsidR="001D4369" w:rsidRDefault="001D4369" w:rsidP="00EF2ED1">
            <w:pPr>
              <w:spacing w:before="0" w:after="0" w:line="259" w:lineRule="auto"/>
              <w:jc w:val="right"/>
              <w:rPr>
                <w:b/>
                <w:bCs/>
                <w:sz w:val="20"/>
                <w:szCs w:val="18"/>
              </w:rPr>
            </w:pPr>
            <w:r>
              <w:rPr>
                <w:b/>
                <w:bCs/>
                <w:sz w:val="20"/>
                <w:szCs w:val="18"/>
              </w:rPr>
              <w:t>14</w:t>
            </w:r>
          </w:p>
        </w:tc>
        <w:tc>
          <w:tcPr>
            <w:tcW w:w="2210" w:type="pct"/>
            <w:tcBorders>
              <w:top w:val="single" w:sz="4" w:space="0" w:color="000000"/>
              <w:bottom w:val="single" w:sz="4" w:space="0" w:color="000000"/>
              <w:right w:val="double" w:sz="6" w:space="0" w:color="auto"/>
            </w:tcBorders>
            <w:vAlign w:val="center"/>
          </w:tcPr>
          <w:p w14:paraId="2EE3D2C0" w14:textId="77777777" w:rsidR="001D4369" w:rsidRPr="00883DC1" w:rsidRDefault="001D4369" w:rsidP="00EF2ED1">
            <w:pPr>
              <w:spacing w:before="0" w:after="0" w:line="259" w:lineRule="auto"/>
              <w:jc w:val="right"/>
              <w:rPr>
                <w:sz w:val="20"/>
                <w:szCs w:val="18"/>
              </w:rPr>
            </w:pPr>
            <w:r>
              <w:rPr>
                <w:sz w:val="20"/>
                <w:szCs w:val="18"/>
              </w:rPr>
              <w:t>Capataz</w:t>
            </w:r>
          </w:p>
        </w:tc>
        <w:tc>
          <w:tcPr>
            <w:tcW w:w="741" w:type="pct"/>
            <w:tcBorders>
              <w:left w:val="double" w:sz="6" w:space="0" w:color="auto"/>
            </w:tcBorders>
            <w:vAlign w:val="center"/>
          </w:tcPr>
          <w:p w14:paraId="7518D91A"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right w:val="double" w:sz="6" w:space="0" w:color="auto"/>
            </w:tcBorders>
            <w:shd w:val="clear" w:color="auto" w:fill="auto"/>
            <w:vAlign w:val="center"/>
          </w:tcPr>
          <w:p w14:paraId="554DB3FA" w14:textId="77777777" w:rsidR="001D4369" w:rsidRPr="00B25800" w:rsidRDefault="001D4369" w:rsidP="000F4CC1">
            <w:pPr>
              <w:spacing w:before="0" w:after="0" w:line="259" w:lineRule="auto"/>
              <w:jc w:val="center"/>
              <w:rPr>
                <w:sz w:val="20"/>
                <w:szCs w:val="18"/>
              </w:rPr>
            </w:pPr>
            <w:r>
              <w:rPr>
                <w:sz w:val="20"/>
                <w:szCs w:val="18"/>
              </w:rPr>
              <w:t>27.626</w:t>
            </w:r>
          </w:p>
        </w:tc>
        <w:tc>
          <w:tcPr>
            <w:tcW w:w="794" w:type="pct"/>
            <w:tcBorders>
              <w:left w:val="double" w:sz="6" w:space="0" w:color="auto"/>
              <w:right w:val="double" w:sz="6" w:space="0" w:color="auto"/>
            </w:tcBorders>
            <w:vAlign w:val="center"/>
          </w:tcPr>
          <w:p w14:paraId="20FE6FA3" w14:textId="77777777" w:rsidR="001D4369" w:rsidRPr="00A669F0" w:rsidRDefault="001D4369" w:rsidP="000F4CC1">
            <w:pPr>
              <w:spacing w:before="0" w:after="0" w:line="259" w:lineRule="auto"/>
              <w:jc w:val="center"/>
              <w:rPr>
                <w:sz w:val="20"/>
                <w:szCs w:val="18"/>
              </w:rPr>
            </w:pPr>
            <w:r>
              <w:rPr>
                <w:sz w:val="20"/>
                <w:szCs w:val="18"/>
              </w:rPr>
              <w:t>100%</w:t>
            </w:r>
          </w:p>
        </w:tc>
      </w:tr>
      <w:tr w:rsidR="001D4369" w14:paraId="3339168E" w14:textId="77777777" w:rsidTr="00A62069">
        <w:tc>
          <w:tcPr>
            <w:tcW w:w="506" w:type="pct"/>
            <w:tcBorders>
              <w:top w:val="single" w:sz="4" w:space="0" w:color="000000"/>
              <w:left w:val="double" w:sz="6" w:space="0" w:color="auto"/>
              <w:bottom w:val="single" w:sz="4" w:space="0" w:color="000000"/>
            </w:tcBorders>
            <w:vAlign w:val="center"/>
          </w:tcPr>
          <w:p w14:paraId="105A8295" w14:textId="77777777" w:rsidR="001D4369" w:rsidRDefault="001D4369" w:rsidP="00EF2ED1">
            <w:pPr>
              <w:spacing w:before="0" w:after="0" w:line="259" w:lineRule="auto"/>
              <w:jc w:val="right"/>
              <w:rPr>
                <w:b/>
                <w:bCs/>
                <w:sz w:val="20"/>
                <w:szCs w:val="18"/>
              </w:rPr>
            </w:pPr>
            <w:r>
              <w:rPr>
                <w:b/>
                <w:bCs/>
                <w:sz w:val="20"/>
                <w:szCs w:val="18"/>
              </w:rPr>
              <w:t>15</w:t>
            </w:r>
          </w:p>
        </w:tc>
        <w:tc>
          <w:tcPr>
            <w:tcW w:w="2210" w:type="pct"/>
            <w:tcBorders>
              <w:top w:val="single" w:sz="4" w:space="0" w:color="000000"/>
              <w:bottom w:val="single" w:sz="4" w:space="0" w:color="000000"/>
              <w:right w:val="double" w:sz="6" w:space="0" w:color="auto"/>
            </w:tcBorders>
            <w:vAlign w:val="center"/>
          </w:tcPr>
          <w:p w14:paraId="7B503AC8" w14:textId="77777777" w:rsidR="001D4369" w:rsidRPr="00883DC1" w:rsidRDefault="001D4369" w:rsidP="00EF2ED1">
            <w:pPr>
              <w:spacing w:before="0" w:after="0" w:line="259" w:lineRule="auto"/>
              <w:jc w:val="right"/>
              <w:rPr>
                <w:sz w:val="20"/>
                <w:szCs w:val="18"/>
              </w:rPr>
            </w:pPr>
            <w:r>
              <w:rPr>
                <w:sz w:val="20"/>
                <w:szCs w:val="18"/>
              </w:rPr>
              <w:t>Técnico informático</w:t>
            </w:r>
          </w:p>
        </w:tc>
        <w:tc>
          <w:tcPr>
            <w:tcW w:w="741" w:type="pct"/>
            <w:tcBorders>
              <w:left w:val="double" w:sz="6" w:space="0" w:color="auto"/>
            </w:tcBorders>
            <w:vAlign w:val="center"/>
          </w:tcPr>
          <w:p w14:paraId="4FEC14C0" w14:textId="77777777" w:rsidR="001D4369" w:rsidRPr="00425BA2" w:rsidRDefault="001D4369" w:rsidP="000F4CC1">
            <w:pPr>
              <w:spacing w:before="0" w:after="0" w:line="259" w:lineRule="auto"/>
              <w:jc w:val="center"/>
              <w:rPr>
                <w:sz w:val="20"/>
                <w:szCs w:val="18"/>
              </w:rPr>
            </w:pPr>
            <w:r>
              <w:rPr>
                <w:sz w:val="20"/>
                <w:szCs w:val="18"/>
              </w:rPr>
              <w:t>29.880</w:t>
            </w:r>
          </w:p>
        </w:tc>
        <w:tc>
          <w:tcPr>
            <w:tcW w:w="749" w:type="pct"/>
            <w:tcBorders>
              <w:right w:val="double" w:sz="6" w:space="0" w:color="auto"/>
            </w:tcBorders>
            <w:shd w:val="clear" w:color="auto" w:fill="auto"/>
            <w:vAlign w:val="center"/>
          </w:tcPr>
          <w:p w14:paraId="2EE4DA99" w14:textId="77777777" w:rsidR="001D4369" w:rsidRPr="00B25800" w:rsidRDefault="001D4369" w:rsidP="000F4CC1">
            <w:pPr>
              <w:spacing w:before="0" w:after="0" w:line="259" w:lineRule="auto"/>
              <w:jc w:val="center"/>
              <w:rPr>
                <w:sz w:val="20"/>
                <w:szCs w:val="18"/>
              </w:rPr>
            </w:pPr>
            <w:r>
              <w:rPr>
                <w:sz w:val="20"/>
                <w:szCs w:val="18"/>
              </w:rPr>
              <w:t>27.098</w:t>
            </w:r>
          </w:p>
        </w:tc>
        <w:tc>
          <w:tcPr>
            <w:tcW w:w="794" w:type="pct"/>
            <w:tcBorders>
              <w:left w:val="double" w:sz="6" w:space="0" w:color="auto"/>
              <w:right w:val="double" w:sz="6" w:space="0" w:color="auto"/>
            </w:tcBorders>
            <w:vAlign w:val="center"/>
          </w:tcPr>
          <w:p w14:paraId="1CA2F90D" w14:textId="77777777" w:rsidR="001D4369" w:rsidRPr="00A669F0" w:rsidRDefault="001D4369" w:rsidP="000F4CC1">
            <w:pPr>
              <w:spacing w:before="0" w:after="0" w:line="259" w:lineRule="auto"/>
              <w:jc w:val="center"/>
              <w:rPr>
                <w:sz w:val="20"/>
                <w:szCs w:val="18"/>
              </w:rPr>
            </w:pPr>
            <w:r>
              <w:rPr>
                <w:sz w:val="20"/>
                <w:szCs w:val="18"/>
              </w:rPr>
              <w:t>-10%</w:t>
            </w:r>
          </w:p>
        </w:tc>
      </w:tr>
      <w:tr w:rsidR="001D4369" w14:paraId="08FB7686" w14:textId="77777777" w:rsidTr="00A62069">
        <w:tc>
          <w:tcPr>
            <w:tcW w:w="506" w:type="pct"/>
            <w:tcBorders>
              <w:top w:val="single" w:sz="4" w:space="0" w:color="000000"/>
              <w:left w:val="double" w:sz="6" w:space="0" w:color="auto"/>
              <w:bottom w:val="single" w:sz="4" w:space="0" w:color="000000"/>
            </w:tcBorders>
            <w:vAlign w:val="center"/>
          </w:tcPr>
          <w:p w14:paraId="30230D38" w14:textId="77777777" w:rsidR="001D4369" w:rsidRDefault="001D4369" w:rsidP="00EF2ED1">
            <w:pPr>
              <w:spacing w:before="0" w:after="0" w:line="259" w:lineRule="auto"/>
              <w:jc w:val="right"/>
              <w:rPr>
                <w:b/>
                <w:bCs/>
                <w:sz w:val="20"/>
                <w:szCs w:val="18"/>
              </w:rPr>
            </w:pPr>
            <w:r>
              <w:rPr>
                <w:b/>
                <w:bCs/>
                <w:sz w:val="20"/>
                <w:szCs w:val="18"/>
              </w:rPr>
              <w:t>16</w:t>
            </w:r>
          </w:p>
        </w:tc>
        <w:tc>
          <w:tcPr>
            <w:tcW w:w="2210" w:type="pct"/>
            <w:tcBorders>
              <w:top w:val="single" w:sz="4" w:space="0" w:color="000000"/>
              <w:bottom w:val="single" w:sz="4" w:space="0" w:color="000000"/>
              <w:right w:val="double" w:sz="6" w:space="0" w:color="auto"/>
            </w:tcBorders>
            <w:vAlign w:val="center"/>
          </w:tcPr>
          <w:p w14:paraId="4BBEE9B2" w14:textId="77777777" w:rsidR="001D4369" w:rsidRPr="00883DC1" w:rsidRDefault="001D4369" w:rsidP="00EF2ED1">
            <w:pPr>
              <w:spacing w:before="0" w:after="0" w:line="259" w:lineRule="auto"/>
              <w:jc w:val="right"/>
              <w:rPr>
                <w:sz w:val="20"/>
                <w:szCs w:val="18"/>
              </w:rPr>
            </w:pPr>
            <w:r>
              <w:rPr>
                <w:sz w:val="20"/>
                <w:szCs w:val="18"/>
              </w:rPr>
              <w:t>Técnico especialista</w:t>
            </w:r>
          </w:p>
        </w:tc>
        <w:tc>
          <w:tcPr>
            <w:tcW w:w="741" w:type="pct"/>
            <w:tcBorders>
              <w:left w:val="double" w:sz="6" w:space="0" w:color="auto"/>
            </w:tcBorders>
            <w:vAlign w:val="center"/>
          </w:tcPr>
          <w:p w14:paraId="76182F06" w14:textId="77777777" w:rsidR="001D4369" w:rsidRPr="00425BA2" w:rsidRDefault="001D4369" w:rsidP="000F4CC1">
            <w:pPr>
              <w:spacing w:before="0" w:after="0" w:line="259" w:lineRule="auto"/>
              <w:jc w:val="center"/>
              <w:rPr>
                <w:sz w:val="20"/>
                <w:szCs w:val="18"/>
              </w:rPr>
            </w:pPr>
            <w:r>
              <w:rPr>
                <w:sz w:val="20"/>
                <w:szCs w:val="18"/>
              </w:rPr>
              <w:t>20.275</w:t>
            </w:r>
          </w:p>
        </w:tc>
        <w:tc>
          <w:tcPr>
            <w:tcW w:w="749" w:type="pct"/>
            <w:tcBorders>
              <w:right w:val="double" w:sz="6" w:space="0" w:color="auto"/>
            </w:tcBorders>
            <w:shd w:val="clear" w:color="auto" w:fill="auto"/>
            <w:vAlign w:val="center"/>
          </w:tcPr>
          <w:p w14:paraId="18D0DF76" w14:textId="77777777" w:rsidR="001D4369" w:rsidRPr="00B25800" w:rsidRDefault="001D4369" w:rsidP="000F4CC1">
            <w:pPr>
              <w:spacing w:before="0" w:after="0" w:line="259" w:lineRule="auto"/>
              <w:jc w:val="center"/>
              <w:rPr>
                <w:sz w:val="20"/>
                <w:szCs w:val="18"/>
              </w:rPr>
            </w:pPr>
            <w:r>
              <w:rPr>
                <w:sz w:val="20"/>
                <w:szCs w:val="18"/>
              </w:rPr>
              <w:t>25.463</w:t>
            </w:r>
          </w:p>
        </w:tc>
        <w:tc>
          <w:tcPr>
            <w:tcW w:w="794" w:type="pct"/>
            <w:tcBorders>
              <w:left w:val="double" w:sz="6" w:space="0" w:color="auto"/>
              <w:right w:val="double" w:sz="6" w:space="0" w:color="auto"/>
            </w:tcBorders>
            <w:vAlign w:val="center"/>
          </w:tcPr>
          <w:p w14:paraId="20196319" w14:textId="77777777" w:rsidR="001D4369" w:rsidRPr="00A669F0" w:rsidRDefault="001D4369" w:rsidP="000F4CC1">
            <w:pPr>
              <w:spacing w:before="0" w:after="0" w:line="259" w:lineRule="auto"/>
              <w:jc w:val="center"/>
              <w:rPr>
                <w:sz w:val="20"/>
                <w:szCs w:val="18"/>
              </w:rPr>
            </w:pPr>
            <w:r>
              <w:rPr>
                <w:sz w:val="20"/>
                <w:szCs w:val="18"/>
              </w:rPr>
              <w:t>20%</w:t>
            </w:r>
          </w:p>
        </w:tc>
      </w:tr>
      <w:tr w:rsidR="001D4369" w14:paraId="4A756202" w14:textId="77777777" w:rsidTr="00A62069">
        <w:tc>
          <w:tcPr>
            <w:tcW w:w="506" w:type="pct"/>
            <w:tcBorders>
              <w:top w:val="single" w:sz="4" w:space="0" w:color="000000"/>
              <w:left w:val="double" w:sz="6" w:space="0" w:color="auto"/>
              <w:bottom w:val="single" w:sz="4" w:space="0" w:color="000000"/>
            </w:tcBorders>
            <w:vAlign w:val="center"/>
          </w:tcPr>
          <w:p w14:paraId="31FEAE40" w14:textId="77777777" w:rsidR="001D4369" w:rsidRDefault="001D4369" w:rsidP="00EF2ED1">
            <w:pPr>
              <w:spacing w:before="0" w:after="0" w:line="259" w:lineRule="auto"/>
              <w:jc w:val="right"/>
              <w:rPr>
                <w:b/>
                <w:bCs/>
                <w:sz w:val="20"/>
                <w:szCs w:val="18"/>
              </w:rPr>
            </w:pPr>
            <w:r>
              <w:rPr>
                <w:b/>
                <w:bCs/>
                <w:sz w:val="20"/>
                <w:szCs w:val="18"/>
              </w:rPr>
              <w:t>17</w:t>
            </w:r>
          </w:p>
        </w:tc>
        <w:tc>
          <w:tcPr>
            <w:tcW w:w="2210" w:type="pct"/>
            <w:tcBorders>
              <w:top w:val="single" w:sz="4" w:space="0" w:color="000000"/>
              <w:bottom w:val="single" w:sz="4" w:space="0" w:color="000000"/>
              <w:right w:val="double" w:sz="6" w:space="0" w:color="auto"/>
            </w:tcBorders>
            <w:vAlign w:val="center"/>
          </w:tcPr>
          <w:p w14:paraId="126F903D" w14:textId="77777777" w:rsidR="001D4369" w:rsidRPr="00883DC1" w:rsidRDefault="001D4369" w:rsidP="00EF2ED1">
            <w:pPr>
              <w:spacing w:before="0" w:after="0" w:line="259" w:lineRule="auto"/>
              <w:jc w:val="right"/>
              <w:rPr>
                <w:sz w:val="20"/>
                <w:szCs w:val="18"/>
              </w:rPr>
            </w:pPr>
            <w:r>
              <w:rPr>
                <w:sz w:val="20"/>
                <w:szCs w:val="18"/>
              </w:rPr>
              <w:t>Administrativo</w:t>
            </w:r>
          </w:p>
        </w:tc>
        <w:tc>
          <w:tcPr>
            <w:tcW w:w="741" w:type="pct"/>
            <w:tcBorders>
              <w:left w:val="double" w:sz="6" w:space="0" w:color="auto"/>
            </w:tcBorders>
            <w:vAlign w:val="center"/>
          </w:tcPr>
          <w:p w14:paraId="5CFD3678" w14:textId="77777777" w:rsidR="001D4369" w:rsidRPr="00425BA2" w:rsidRDefault="001D4369" w:rsidP="000F4CC1">
            <w:pPr>
              <w:spacing w:before="0" w:after="0" w:line="259" w:lineRule="auto"/>
              <w:jc w:val="center"/>
              <w:rPr>
                <w:sz w:val="20"/>
                <w:szCs w:val="18"/>
              </w:rPr>
            </w:pPr>
            <w:r>
              <w:rPr>
                <w:sz w:val="20"/>
                <w:szCs w:val="18"/>
              </w:rPr>
              <w:t>6.829</w:t>
            </w:r>
          </w:p>
        </w:tc>
        <w:tc>
          <w:tcPr>
            <w:tcW w:w="749" w:type="pct"/>
            <w:tcBorders>
              <w:right w:val="double" w:sz="6" w:space="0" w:color="auto"/>
            </w:tcBorders>
            <w:shd w:val="clear" w:color="auto" w:fill="auto"/>
            <w:vAlign w:val="center"/>
          </w:tcPr>
          <w:p w14:paraId="791F9047" w14:textId="77777777" w:rsidR="001D4369" w:rsidRPr="00B25800" w:rsidRDefault="001D4369" w:rsidP="000F4CC1">
            <w:pPr>
              <w:spacing w:before="0" w:after="0" w:line="259" w:lineRule="auto"/>
              <w:jc w:val="center"/>
              <w:rPr>
                <w:sz w:val="20"/>
                <w:szCs w:val="18"/>
              </w:rPr>
            </w:pPr>
            <w:r>
              <w:rPr>
                <w:sz w:val="20"/>
                <w:szCs w:val="18"/>
              </w:rPr>
              <w:t>-</w:t>
            </w:r>
          </w:p>
        </w:tc>
        <w:tc>
          <w:tcPr>
            <w:tcW w:w="794" w:type="pct"/>
            <w:tcBorders>
              <w:left w:val="double" w:sz="6" w:space="0" w:color="auto"/>
              <w:right w:val="double" w:sz="6" w:space="0" w:color="auto"/>
            </w:tcBorders>
            <w:vAlign w:val="center"/>
          </w:tcPr>
          <w:p w14:paraId="4AEEE935" w14:textId="77777777" w:rsidR="001D4369" w:rsidRPr="00A669F0" w:rsidRDefault="001D4369" w:rsidP="000F4CC1">
            <w:pPr>
              <w:spacing w:before="0" w:after="0" w:line="259" w:lineRule="auto"/>
              <w:jc w:val="center"/>
              <w:rPr>
                <w:sz w:val="20"/>
                <w:szCs w:val="18"/>
              </w:rPr>
            </w:pPr>
            <w:r>
              <w:rPr>
                <w:sz w:val="20"/>
                <w:szCs w:val="18"/>
              </w:rPr>
              <w:t>-</w:t>
            </w:r>
          </w:p>
        </w:tc>
      </w:tr>
      <w:tr w:rsidR="001D4369" w14:paraId="55995D8D" w14:textId="77777777" w:rsidTr="00A62069">
        <w:tc>
          <w:tcPr>
            <w:tcW w:w="506" w:type="pct"/>
            <w:tcBorders>
              <w:top w:val="single" w:sz="4" w:space="0" w:color="000000"/>
              <w:left w:val="double" w:sz="6" w:space="0" w:color="auto"/>
            </w:tcBorders>
            <w:vAlign w:val="center"/>
          </w:tcPr>
          <w:p w14:paraId="143DB2B5" w14:textId="77777777" w:rsidR="001D4369" w:rsidRDefault="001D4369" w:rsidP="00EF2ED1">
            <w:pPr>
              <w:spacing w:before="0" w:after="0" w:line="259" w:lineRule="auto"/>
              <w:jc w:val="right"/>
              <w:rPr>
                <w:b/>
                <w:bCs/>
                <w:sz w:val="20"/>
                <w:szCs w:val="18"/>
              </w:rPr>
            </w:pPr>
            <w:r>
              <w:rPr>
                <w:b/>
                <w:bCs/>
                <w:sz w:val="20"/>
                <w:szCs w:val="18"/>
              </w:rPr>
              <w:t>18</w:t>
            </w:r>
          </w:p>
        </w:tc>
        <w:tc>
          <w:tcPr>
            <w:tcW w:w="2210" w:type="pct"/>
            <w:tcBorders>
              <w:top w:val="single" w:sz="4" w:space="0" w:color="000000"/>
              <w:right w:val="double" w:sz="6" w:space="0" w:color="auto"/>
            </w:tcBorders>
            <w:vAlign w:val="center"/>
          </w:tcPr>
          <w:p w14:paraId="1DFD8446" w14:textId="77777777" w:rsidR="001D4369" w:rsidRPr="00883DC1" w:rsidRDefault="001D4369" w:rsidP="00EF2ED1">
            <w:pPr>
              <w:spacing w:before="0" w:after="0" w:line="259" w:lineRule="auto"/>
              <w:jc w:val="right"/>
              <w:rPr>
                <w:sz w:val="20"/>
                <w:szCs w:val="18"/>
              </w:rPr>
            </w:pPr>
            <w:r>
              <w:rPr>
                <w:sz w:val="20"/>
                <w:szCs w:val="18"/>
              </w:rPr>
              <w:t>Capataz agrario</w:t>
            </w:r>
          </w:p>
        </w:tc>
        <w:tc>
          <w:tcPr>
            <w:tcW w:w="741" w:type="pct"/>
            <w:tcBorders>
              <w:left w:val="double" w:sz="6" w:space="0" w:color="auto"/>
            </w:tcBorders>
            <w:vAlign w:val="center"/>
          </w:tcPr>
          <w:p w14:paraId="21C845F3" w14:textId="77777777" w:rsidR="001D4369" w:rsidRPr="00425BA2" w:rsidRDefault="001D4369" w:rsidP="000F4CC1">
            <w:pPr>
              <w:spacing w:before="0" w:after="0" w:line="259" w:lineRule="auto"/>
              <w:jc w:val="center"/>
              <w:rPr>
                <w:sz w:val="20"/>
                <w:szCs w:val="18"/>
              </w:rPr>
            </w:pPr>
            <w:r>
              <w:rPr>
                <w:sz w:val="20"/>
                <w:szCs w:val="18"/>
              </w:rPr>
              <w:t>-</w:t>
            </w:r>
          </w:p>
        </w:tc>
        <w:tc>
          <w:tcPr>
            <w:tcW w:w="749" w:type="pct"/>
            <w:tcBorders>
              <w:right w:val="double" w:sz="6" w:space="0" w:color="auto"/>
            </w:tcBorders>
            <w:shd w:val="clear" w:color="auto" w:fill="auto"/>
            <w:vAlign w:val="center"/>
          </w:tcPr>
          <w:p w14:paraId="1B3050EC" w14:textId="77777777" w:rsidR="001D4369" w:rsidRPr="00B25800" w:rsidRDefault="001D4369" w:rsidP="000F4CC1">
            <w:pPr>
              <w:spacing w:before="0" w:after="0" w:line="259" w:lineRule="auto"/>
              <w:jc w:val="center"/>
              <w:rPr>
                <w:sz w:val="20"/>
                <w:szCs w:val="18"/>
              </w:rPr>
            </w:pPr>
            <w:r>
              <w:rPr>
                <w:sz w:val="20"/>
                <w:szCs w:val="18"/>
              </w:rPr>
              <w:t>25.859</w:t>
            </w:r>
          </w:p>
        </w:tc>
        <w:tc>
          <w:tcPr>
            <w:tcW w:w="794" w:type="pct"/>
            <w:tcBorders>
              <w:left w:val="double" w:sz="6" w:space="0" w:color="auto"/>
              <w:right w:val="double" w:sz="6" w:space="0" w:color="auto"/>
            </w:tcBorders>
            <w:vAlign w:val="center"/>
          </w:tcPr>
          <w:p w14:paraId="279D38D0" w14:textId="77777777" w:rsidR="001D4369" w:rsidRPr="00A669F0" w:rsidRDefault="001D4369" w:rsidP="000F4CC1">
            <w:pPr>
              <w:spacing w:before="0" w:after="0" w:line="259" w:lineRule="auto"/>
              <w:jc w:val="center"/>
              <w:rPr>
                <w:sz w:val="20"/>
                <w:szCs w:val="18"/>
              </w:rPr>
            </w:pPr>
            <w:r>
              <w:rPr>
                <w:sz w:val="20"/>
                <w:szCs w:val="18"/>
              </w:rPr>
              <w:t>100%</w:t>
            </w:r>
          </w:p>
        </w:tc>
      </w:tr>
      <w:tr w:rsidR="001D4369" w14:paraId="37A9A7D1" w14:textId="77777777" w:rsidTr="00A62069">
        <w:tc>
          <w:tcPr>
            <w:tcW w:w="506" w:type="pct"/>
            <w:tcBorders>
              <w:left w:val="double" w:sz="6" w:space="0" w:color="auto"/>
              <w:bottom w:val="single" w:sz="4" w:space="0" w:color="000000"/>
            </w:tcBorders>
            <w:vAlign w:val="center"/>
          </w:tcPr>
          <w:p w14:paraId="77A6C9D4" w14:textId="77777777" w:rsidR="001D4369" w:rsidRDefault="001D4369" w:rsidP="00EF2ED1">
            <w:pPr>
              <w:spacing w:before="0" w:after="0" w:line="259" w:lineRule="auto"/>
              <w:jc w:val="right"/>
              <w:rPr>
                <w:b/>
                <w:bCs/>
                <w:sz w:val="20"/>
                <w:szCs w:val="18"/>
              </w:rPr>
            </w:pPr>
            <w:r>
              <w:rPr>
                <w:b/>
                <w:bCs/>
                <w:sz w:val="20"/>
                <w:szCs w:val="18"/>
              </w:rPr>
              <w:t>19</w:t>
            </w:r>
          </w:p>
        </w:tc>
        <w:tc>
          <w:tcPr>
            <w:tcW w:w="2210" w:type="pct"/>
            <w:tcBorders>
              <w:bottom w:val="single" w:sz="4" w:space="0" w:color="000000"/>
              <w:right w:val="double" w:sz="6" w:space="0" w:color="auto"/>
            </w:tcBorders>
            <w:vAlign w:val="center"/>
          </w:tcPr>
          <w:p w14:paraId="5499C186" w14:textId="77777777" w:rsidR="001D4369" w:rsidRPr="00883DC1" w:rsidRDefault="001D4369" w:rsidP="00EF2ED1">
            <w:pPr>
              <w:spacing w:before="0" w:after="0" w:line="259" w:lineRule="auto"/>
              <w:jc w:val="right"/>
              <w:rPr>
                <w:sz w:val="20"/>
                <w:szCs w:val="18"/>
              </w:rPr>
            </w:pPr>
            <w:r>
              <w:rPr>
                <w:sz w:val="20"/>
                <w:szCs w:val="18"/>
              </w:rPr>
              <w:t>Jefe de sala</w:t>
            </w:r>
          </w:p>
        </w:tc>
        <w:tc>
          <w:tcPr>
            <w:tcW w:w="741" w:type="pct"/>
            <w:tcBorders>
              <w:left w:val="double" w:sz="6" w:space="0" w:color="auto"/>
            </w:tcBorders>
            <w:vAlign w:val="center"/>
          </w:tcPr>
          <w:p w14:paraId="29A22718" w14:textId="77777777" w:rsidR="001D4369" w:rsidRPr="00425BA2" w:rsidRDefault="001D4369" w:rsidP="000F4CC1">
            <w:pPr>
              <w:spacing w:before="0" w:after="0" w:line="259" w:lineRule="auto"/>
              <w:jc w:val="center"/>
              <w:rPr>
                <w:sz w:val="20"/>
                <w:szCs w:val="18"/>
              </w:rPr>
            </w:pPr>
            <w:r>
              <w:rPr>
                <w:sz w:val="20"/>
                <w:szCs w:val="18"/>
              </w:rPr>
              <w:t>27.612</w:t>
            </w:r>
          </w:p>
        </w:tc>
        <w:tc>
          <w:tcPr>
            <w:tcW w:w="749" w:type="pct"/>
            <w:tcBorders>
              <w:right w:val="double" w:sz="6" w:space="0" w:color="auto"/>
            </w:tcBorders>
            <w:shd w:val="clear" w:color="auto" w:fill="auto"/>
            <w:vAlign w:val="center"/>
          </w:tcPr>
          <w:p w14:paraId="4CC28F65" w14:textId="77777777" w:rsidR="001D4369" w:rsidRPr="00B25800" w:rsidRDefault="001D4369" w:rsidP="000F4CC1">
            <w:pPr>
              <w:spacing w:before="0" w:after="0" w:line="259" w:lineRule="auto"/>
              <w:jc w:val="center"/>
              <w:rPr>
                <w:sz w:val="20"/>
                <w:szCs w:val="18"/>
              </w:rPr>
            </w:pPr>
            <w:r>
              <w:rPr>
                <w:sz w:val="20"/>
                <w:szCs w:val="18"/>
              </w:rPr>
              <w:t>32.737</w:t>
            </w:r>
          </w:p>
        </w:tc>
        <w:tc>
          <w:tcPr>
            <w:tcW w:w="794" w:type="pct"/>
            <w:tcBorders>
              <w:left w:val="double" w:sz="6" w:space="0" w:color="auto"/>
              <w:right w:val="double" w:sz="6" w:space="0" w:color="auto"/>
            </w:tcBorders>
            <w:vAlign w:val="center"/>
          </w:tcPr>
          <w:p w14:paraId="5F040110" w14:textId="77777777" w:rsidR="001D4369" w:rsidRPr="00A669F0" w:rsidRDefault="001D4369" w:rsidP="000F4CC1">
            <w:pPr>
              <w:spacing w:before="0" w:after="0" w:line="259" w:lineRule="auto"/>
              <w:jc w:val="center"/>
              <w:rPr>
                <w:sz w:val="20"/>
                <w:szCs w:val="18"/>
              </w:rPr>
            </w:pPr>
            <w:r>
              <w:rPr>
                <w:sz w:val="20"/>
                <w:szCs w:val="18"/>
              </w:rPr>
              <w:t>16%</w:t>
            </w:r>
          </w:p>
        </w:tc>
      </w:tr>
      <w:tr w:rsidR="001D4369" w14:paraId="42F2D801" w14:textId="77777777" w:rsidTr="00A62069">
        <w:tc>
          <w:tcPr>
            <w:tcW w:w="506" w:type="pct"/>
            <w:tcBorders>
              <w:left w:val="double" w:sz="6" w:space="0" w:color="auto"/>
              <w:bottom w:val="single" w:sz="4" w:space="0" w:color="000000"/>
            </w:tcBorders>
            <w:vAlign w:val="center"/>
          </w:tcPr>
          <w:p w14:paraId="0297D113" w14:textId="77777777" w:rsidR="001D4369" w:rsidRDefault="001D4369" w:rsidP="00EF2ED1">
            <w:pPr>
              <w:spacing w:before="0" w:after="0" w:line="259" w:lineRule="auto"/>
              <w:jc w:val="right"/>
              <w:rPr>
                <w:b/>
                <w:bCs/>
                <w:sz w:val="20"/>
                <w:szCs w:val="18"/>
              </w:rPr>
            </w:pPr>
            <w:r>
              <w:rPr>
                <w:b/>
                <w:bCs/>
                <w:sz w:val="20"/>
                <w:szCs w:val="18"/>
              </w:rPr>
              <w:t>20</w:t>
            </w:r>
          </w:p>
        </w:tc>
        <w:tc>
          <w:tcPr>
            <w:tcW w:w="2210" w:type="pct"/>
            <w:tcBorders>
              <w:bottom w:val="single" w:sz="4" w:space="0" w:color="000000"/>
              <w:right w:val="double" w:sz="6" w:space="0" w:color="auto"/>
            </w:tcBorders>
            <w:vAlign w:val="center"/>
          </w:tcPr>
          <w:p w14:paraId="153C78B5" w14:textId="77777777" w:rsidR="001D4369" w:rsidRPr="00883DC1" w:rsidRDefault="001D4369" w:rsidP="00EF2ED1">
            <w:pPr>
              <w:spacing w:before="0" w:after="0" w:line="259" w:lineRule="auto"/>
              <w:jc w:val="right"/>
              <w:rPr>
                <w:sz w:val="20"/>
                <w:szCs w:val="18"/>
              </w:rPr>
            </w:pPr>
            <w:r>
              <w:rPr>
                <w:sz w:val="20"/>
                <w:szCs w:val="18"/>
              </w:rPr>
              <w:t>Técnico Auxiliar de obras</w:t>
            </w:r>
          </w:p>
        </w:tc>
        <w:tc>
          <w:tcPr>
            <w:tcW w:w="741" w:type="pct"/>
            <w:tcBorders>
              <w:left w:val="double" w:sz="6" w:space="0" w:color="auto"/>
            </w:tcBorders>
            <w:vAlign w:val="center"/>
          </w:tcPr>
          <w:p w14:paraId="4BEF7113" w14:textId="77777777" w:rsidR="001D4369" w:rsidRPr="00425BA2" w:rsidRDefault="001D4369" w:rsidP="000F4CC1">
            <w:pPr>
              <w:spacing w:before="0" w:after="0" w:line="259" w:lineRule="auto"/>
              <w:jc w:val="center"/>
              <w:rPr>
                <w:sz w:val="20"/>
                <w:szCs w:val="18"/>
              </w:rPr>
            </w:pPr>
            <w:r>
              <w:rPr>
                <w:sz w:val="20"/>
                <w:szCs w:val="18"/>
              </w:rPr>
              <w:t>21.445</w:t>
            </w:r>
          </w:p>
        </w:tc>
        <w:tc>
          <w:tcPr>
            <w:tcW w:w="749" w:type="pct"/>
            <w:tcBorders>
              <w:right w:val="double" w:sz="6" w:space="0" w:color="auto"/>
            </w:tcBorders>
            <w:shd w:val="clear" w:color="auto" w:fill="auto"/>
            <w:vAlign w:val="center"/>
          </w:tcPr>
          <w:p w14:paraId="3BD1D506" w14:textId="77777777" w:rsidR="001D4369" w:rsidRPr="00B25800" w:rsidRDefault="001D4369" w:rsidP="000F4CC1">
            <w:pPr>
              <w:spacing w:before="0" w:after="0" w:line="259" w:lineRule="auto"/>
              <w:jc w:val="center"/>
              <w:rPr>
                <w:sz w:val="20"/>
                <w:szCs w:val="18"/>
              </w:rPr>
            </w:pPr>
            <w:r>
              <w:rPr>
                <w:sz w:val="20"/>
                <w:szCs w:val="18"/>
              </w:rPr>
              <w:t>32.719</w:t>
            </w:r>
          </w:p>
        </w:tc>
        <w:tc>
          <w:tcPr>
            <w:tcW w:w="794" w:type="pct"/>
            <w:tcBorders>
              <w:left w:val="double" w:sz="6" w:space="0" w:color="auto"/>
              <w:right w:val="double" w:sz="6" w:space="0" w:color="auto"/>
            </w:tcBorders>
            <w:vAlign w:val="center"/>
          </w:tcPr>
          <w:p w14:paraId="7BE608F7" w14:textId="77777777" w:rsidR="001D4369" w:rsidRPr="00A669F0" w:rsidRDefault="001D4369" w:rsidP="000F4CC1">
            <w:pPr>
              <w:spacing w:before="0" w:after="0" w:line="259" w:lineRule="auto"/>
              <w:jc w:val="center"/>
              <w:rPr>
                <w:sz w:val="20"/>
                <w:szCs w:val="18"/>
              </w:rPr>
            </w:pPr>
            <w:r>
              <w:rPr>
                <w:sz w:val="20"/>
                <w:szCs w:val="18"/>
              </w:rPr>
              <w:t>34%</w:t>
            </w:r>
          </w:p>
        </w:tc>
      </w:tr>
      <w:tr w:rsidR="001D4369" w14:paraId="013FDC6A" w14:textId="77777777" w:rsidTr="00A62069">
        <w:tc>
          <w:tcPr>
            <w:tcW w:w="506" w:type="pct"/>
            <w:tcBorders>
              <w:left w:val="double" w:sz="6" w:space="0" w:color="auto"/>
              <w:bottom w:val="single" w:sz="4" w:space="0" w:color="000000"/>
            </w:tcBorders>
            <w:vAlign w:val="center"/>
          </w:tcPr>
          <w:p w14:paraId="795563F8" w14:textId="77777777" w:rsidR="001D4369" w:rsidRDefault="001D4369" w:rsidP="00EF2ED1">
            <w:pPr>
              <w:spacing w:before="0" w:after="0" w:line="259" w:lineRule="auto"/>
              <w:jc w:val="right"/>
              <w:rPr>
                <w:b/>
                <w:bCs/>
                <w:sz w:val="20"/>
                <w:szCs w:val="18"/>
              </w:rPr>
            </w:pPr>
            <w:r>
              <w:rPr>
                <w:b/>
                <w:bCs/>
                <w:sz w:val="20"/>
                <w:szCs w:val="18"/>
              </w:rPr>
              <w:t>21</w:t>
            </w:r>
          </w:p>
        </w:tc>
        <w:tc>
          <w:tcPr>
            <w:tcW w:w="2210" w:type="pct"/>
            <w:tcBorders>
              <w:bottom w:val="single" w:sz="4" w:space="0" w:color="000000"/>
              <w:right w:val="double" w:sz="6" w:space="0" w:color="auto"/>
            </w:tcBorders>
            <w:vAlign w:val="center"/>
          </w:tcPr>
          <w:p w14:paraId="5BE9177B" w14:textId="77777777" w:rsidR="001D4369" w:rsidRPr="00883DC1" w:rsidRDefault="001D4369" w:rsidP="00EF2ED1">
            <w:pPr>
              <w:spacing w:before="0" w:after="0" w:line="259" w:lineRule="auto"/>
              <w:jc w:val="right"/>
              <w:rPr>
                <w:sz w:val="20"/>
                <w:szCs w:val="18"/>
              </w:rPr>
            </w:pPr>
            <w:r>
              <w:rPr>
                <w:sz w:val="20"/>
                <w:szCs w:val="18"/>
              </w:rPr>
              <w:t>Gobernante</w:t>
            </w:r>
          </w:p>
        </w:tc>
        <w:tc>
          <w:tcPr>
            <w:tcW w:w="741" w:type="pct"/>
            <w:tcBorders>
              <w:left w:val="double" w:sz="6" w:space="0" w:color="auto"/>
            </w:tcBorders>
            <w:vAlign w:val="center"/>
          </w:tcPr>
          <w:p w14:paraId="1836A33A" w14:textId="77777777" w:rsidR="001D4369" w:rsidRPr="00425BA2" w:rsidRDefault="001D4369" w:rsidP="000F4CC1">
            <w:pPr>
              <w:spacing w:before="0" w:after="0" w:line="259" w:lineRule="auto"/>
              <w:jc w:val="center"/>
              <w:rPr>
                <w:sz w:val="20"/>
                <w:szCs w:val="18"/>
              </w:rPr>
            </w:pPr>
            <w:r>
              <w:rPr>
                <w:sz w:val="20"/>
                <w:szCs w:val="18"/>
              </w:rPr>
              <w:t>13.762</w:t>
            </w:r>
          </w:p>
        </w:tc>
        <w:tc>
          <w:tcPr>
            <w:tcW w:w="749" w:type="pct"/>
            <w:tcBorders>
              <w:right w:val="double" w:sz="6" w:space="0" w:color="auto"/>
            </w:tcBorders>
            <w:shd w:val="clear" w:color="auto" w:fill="auto"/>
            <w:vAlign w:val="center"/>
          </w:tcPr>
          <w:p w14:paraId="03209DDF" w14:textId="77777777" w:rsidR="001D4369" w:rsidRPr="00B25800" w:rsidRDefault="001D4369" w:rsidP="000F4CC1">
            <w:pPr>
              <w:spacing w:before="0" w:after="0" w:line="259" w:lineRule="auto"/>
              <w:jc w:val="center"/>
              <w:rPr>
                <w:sz w:val="20"/>
                <w:szCs w:val="18"/>
              </w:rPr>
            </w:pPr>
            <w:r>
              <w:rPr>
                <w:sz w:val="20"/>
                <w:szCs w:val="18"/>
              </w:rPr>
              <w:t>-</w:t>
            </w:r>
          </w:p>
        </w:tc>
        <w:tc>
          <w:tcPr>
            <w:tcW w:w="794" w:type="pct"/>
            <w:tcBorders>
              <w:left w:val="double" w:sz="6" w:space="0" w:color="auto"/>
              <w:right w:val="double" w:sz="6" w:space="0" w:color="auto"/>
            </w:tcBorders>
            <w:vAlign w:val="center"/>
          </w:tcPr>
          <w:p w14:paraId="15553786" w14:textId="77777777" w:rsidR="001D4369" w:rsidRPr="00A669F0" w:rsidRDefault="001D4369" w:rsidP="000F4CC1">
            <w:pPr>
              <w:spacing w:before="0" w:after="0" w:line="259" w:lineRule="auto"/>
              <w:jc w:val="center"/>
              <w:rPr>
                <w:sz w:val="20"/>
                <w:szCs w:val="18"/>
              </w:rPr>
            </w:pPr>
            <w:r>
              <w:rPr>
                <w:sz w:val="20"/>
                <w:szCs w:val="18"/>
              </w:rPr>
              <w:t>-</w:t>
            </w:r>
          </w:p>
        </w:tc>
      </w:tr>
      <w:tr w:rsidR="001D4369" w14:paraId="27C0F36C" w14:textId="77777777" w:rsidTr="00A62069">
        <w:tc>
          <w:tcPr>
            <w:tcW w:w="506" w:type="pct"/>
            <w:tcBorders>
              <w:left w:val="double" w:sz="6" w:space="0" w:color="auto"/>
              <w:bottom w:val="single" w:sz="4" w:space="0" w:color="000000"/>
            </w:tcBorders>
            <w:vAlign w:val="center"/>
          </w:tcPr>
          <w:p w14:paraId="09F772A0" w14:textId="77777777" w:rsidR="001D4369" w:rsidRDefault="001D4369" w:rsidP="00EF2ED1">
            <w:pPr>
              <w:spacing w:before="0" w:after="0" w:line="259" w:lineRule="auto"/>
              <w:jc w:val="right"/>
              <w:rPr>
                <w:b/>
                <w:bCs/>
                <w:sz w:val="20"/>
                <w:szCs w:val="18"/>
              </w:rPr>
            </w:pPr>
            <w:r>
              <w:rPr>
                <w:b/>
                <w:bCs/>
                <w:sz w:val="20"/>
                <w:szCs w:val="18"/>
              </w:rPr>
              <w:t>22</w:t>
            </w:r>
          </w:p>
        </w:tc>
        <w:tc>
          <w:tcPr>
            <w:tcW w:w="2210" w:type="pct"/>
            <w:tcBorders>
              <w:bottom w:val="single" w:sz="4" w:space="0" w:color="000000"/>
              <w:right w:val="double" w:sz="6" w:space="0" w:color="auto"/>
            </w:tcBorders>
            <w:vAlign w:val="center"/>
          </w:tcPr>
          <w:p w14:paraId="74F52CBB" w14:textId="77777777" w:rsidR="001D4369" w:rsidRPr="00883DC1" w:rsidRDefault="001D4369" w:rsidP="00EF2ED1">
            <w:pPr>
              <w:spacing w:before="0" w:after="0" w:line="259" w:lineRule="auto"/>
              <w:jc w:val="right"/>
              <w:rPr>
                <w:sz w:val="20"/>
                <w:szCs w:val="18"/>
              </w:rPr>
            </w:pPr>
            <w:proofErr w:type="spellStart"/>
            <w:r>
              <w:rPr>
                <w:sz w:val="20"/>
                <w:szCs w:val="18"/>
              </w:rPr>
              <w:t>Téc</w:t>
            </w:r>
            <w:proofErr w:type="spellEnd"/>
            <w:r>
              <w:rPr>
                <w:sz w:val="20"/>
                <w:szCs w:val="18"/>
              </w:rPr>
              <w:t xml:space="preserve">. </w:t>
            </w:r>
            <w:proofErr w:type="spellStart"/>
            <w:r>
              <w:rPr>
                <w:sz w:val="20"/>
                <w:szCs w:val="18"/>
              </w:rPr>
              <w:t>Prac</w:t>
            </w:r>
            <w:proofErr w:type="spellEnd"/>
            <w:r>
              <w:rPr>
                <w:sz w:val="20"/>
                <w:szCs w:val="18"/>
              </w:rPr>
              <w:t>. Control y vigilancia de obra</w:t>
            </w:r>
          </w:p>
        </w:tc>
        <w:tc>
          <w:tcPr>
            <w:tcW w:w="741" w:type="pct"/>
            <w:tcBorders>
              <w:left w:val="double" w:sz="6" w:space="0" w:color="auto"/>
            </w:tcBorders>
            <w:vAlign w:val="center"/>
          </w:tcPr>
          <w:p w14:paraId="7CC1E7A5" w14:textId="77777777" w:rsidR="001D4369" w:rsidRPr="00425BA2" w:rsidRDefault="001D4369" w:rsidP="000F4CC1">
            <w:pPr>
              <w:spacing w:before="0" w:after="0" w:line="259" w:lineRule="auto"/>
              <w:jc w:val="center"/>
              <w:rPr>
                <w:sz w:val="20"/>
                <w:szCs w:val="18"/>
              </w:rPr>
            </w:pPr>
            <w:r>
              <w:rPr>
                <w:sz w:val="20"/>
                <w:szCs w:val="18"/>
              </w:rPr>
              <w:t>27.434</w:t>
            </w:r>
          </w:p>
        </w:tc>
        <w:tc>
          <w:tcPr>
            <w:tcW w:w="749" w:type="pct"/>
            <w:tcBorders>
              <w:right w:val="double" w:sz="6" w:space="0" w:color="auto"/>
            </w:tcBorders>
            <w:shd w:val="clear" w:color="auto" w:fill="auto"/>
            <w:vAlign w:val="center"/>
          </w:tcPr>
          <w:p w14:paraId="35E0A824" w14:textId="77777777" w:rsidR="001D4369" w:rsidRPr="00B25800" w:rsidRDefault="001D4369" w:rsidP="000F4CC1">
            <w:pPr>
              <w:spacing w:before="0" w:after="0" w:line="259" w:lineRule="auto"/>
              <w:jc w:val="center"/>
              <w:rPr>
                <w:sz w:val="20"/>
                <w:szCs w:val="18"/>
              </w:rPr>
            </w:pPr>
            <w:r>
              <w:rPr>
                <w:sz w:val="20"/>
                <w:szCs w:val="18"/>
              </w:rPr>
              <w:t>32.468</w:t>
            </w:r>
          </w:p>
        </w:tc>
        <w:tc>
          <w:tcPr>
            <w:tcW w:w="794" w:type="pct"/>
            <w:tcBorders>
              <w:left w:val="double" w:sz="6" w:space="0" w:color="auto"/>
              <w:right w:val="double" w:sz="6" w:space="0" w:color="auto"/>
            </w:tcBorders>
            <w:vAlign w:val="center"/>
          </w:tcPr>
          <w:p w14:paraId="069F4905" w14:textId="77777777" w:rsidR="001D4369" w:rsidRPr="00A669F0" w:rsidRDefault="001D4369" w:rsidP="000F4CC1">
            <w:pPr>
              <w:spacing w:before="0" w:after="0" w:line="259" w:lineRule="auto"/>
              <w:jc w:val="center"/>
              <w:rPr>
                <w:sz w:val="20"/>
                <w:szCs w:val="18"/>
              </w:rPr>
            </w:pPr>
            <w:r>
              <w:rPr>
                <w:sz w:val="20"/>
                <w:szCs w:val="18"/>
              </w:rPr>
              <w:t>16%</w:t>
            </w:r>
          </w:p>
        </w:tc>
      </w:tr>
      <w:tr w:rsidR="001D4369" w14:paraId="5A1A6D87" w14:textId="77777777" w:rsidTr="00A62069">
        <w:tc>
          <w:tcPr>
            <w:tcW w:w="506" w:type="pct"/>
            <w:tcBorders>
              <w:left w:val="double" w:sz="6" w:space="0" w:color="auto"/>
              <w:bottom w:val="single" w:sz="4" w:space="0" w:color="000000"/>
            </w:tcBorders>
            <w:vAlign w:val="center"/>
          </w:tcPr>
          <w:p w14:paraId="30474F53" w14:textId="77777777" w:rsidR="001D4369" w:rsidRDefault="001D4369" w:rsidP="00EF2ED1">
            <w:pPr>
              <w:spacing w:before="0" w:after="0" w:line="259" w:lineRule="auto"/>
              <w:jc w:val="right"/>
              <w:rPr>
                <w:b/>
                <w:bCs/>
                <w:sz w:val="20"/>
                <w:szCs w:val="18"/>
              </w:rPr>
            </w:pPr>
            <w:r>
              <w:rPr>
                <w:b/>
                <w:bCs/>
                <w:sz w:val="20"/>
                <w:szCs w:val="18"/>
              </w:rPr>
              <w:t>23</w:t>
            </w:r>
          </w:p>
        </w:tc>
        <w:tc>
          <w:tcPr>
            <w:tcW w:w="2210" w:type="pct"/>
            <w:tcBorders>
              <w:bottom w:val="single" w:sz="4" w:space="0" w:color="000000"/>
              <w:right w:val="double" w:sz="6" w:space="0" w:color="auto"/>
            </w:tcBorders>
            <w:vAlign w:val="center"/>
          </w:tcPr>
          <w:p w14:paraId="3ABAFBDE" w14:textId="77777777" w:rsidR="001D4369" w:rsidRPr="00883DC1" w:rsidRDefault="001D4369" w:rsidP="00EF2ED1">
            <w:pPr>
              <w:spacing w:before="0" w:after="0" w:line="259" w:lineRule="auto"/>
              <w:jc w:val="right"/>
              <w:rPr>
                <w:sz w:val="20"/>
                <w:szCs w:val="18"/>
              </w:rPr>
            </w:pPr>
            <w:proofErr w:type="spellStart"/>
            <w:r>
              <w:rPr>
                <w:sz w:val="20"/>
                <w:szCs w:val="18"/>
              </w:rPr>
              <w:t>Téc</w:t>
            </w:r>
            <w:proofErr w:type="spellEnd"/>
            <w:r>
              <w:rPr>
                <w:sz w:val="20"/>
                <w:szCs w:val="18"/>
              </w:rPr>
              <w:t xml:space="preserve">. </w:t>
            </w:r>
            <w:proofErr w:type="spellStart"/>
            <w:r>
              <w:rPr>
                <w:sz w:val="20"/>
                <w:szCs w:val="18"/>
              </w:rPr>
              <w:t>Gº</w:t>
            </w:r>
            <w:proofErr w:type="spellEnd"/>
            <w:r>
              <w:rPr>
                <w:sz w:val="20"/>
                <w:szCs w:val="18"/>
              </w:rPr>
              <w:t xml:space="preserve"> Medio informático</w:t>
            </w:r>
          </w:p>
        </w:tc>
        <w:tc>
          <w:tcPr>
            <w:tcW w:w="741" w:type="pct"/>
            <w:tcBorders>
              <w:left w:val="double" w:sz="6" w:space="0" w:color="auto"/>
            </w:tcBorders>
            <w:vAlign w:val="center"/>
          </w:tcPr>
          <w:p w14:paraId="325D4FE3" w14:textId="77777777" w:rsidR="001D4369" w:rsidRPr="00425BA2" w:rsidRDefault="001D4369" w:rsidP="000F4CC1">
            <w:pPr>
              <w:spacing w:before="0" w:after="0" w:line="259" w:lineRule="auto"/>
              <w:jc w:val="center"/>
              <w:rPr>
                <w:sz w:val="20"/>
                <w:szCs w:val="18"/>
              </w:rPr>
            </w:pPr>
            <w:r>
              <w:rPr>
                <w:sz w:val="20"/>
                <w:szCs w:val="18"/>
              </w:rPr>
              <w:t>32.693</w:t>
            </w:r>
          </w:p>
        </w:tc>
        <w:tc>
          <w:tcPr>
            <w:tcW w:w="749" w:type="pct"/>
            <w:tcBorders>
              <w:right w:val="double" w:sz="6" w:space="0" w:color="auto"/>
            </w:tcBorders>
            <w:shd w:val="clear" w:color="auto" w:fill="auto"/>
            <w:vAlign w:val="center"/>
          </w:tcPr>
          <w:p w14:paraId="40CE81F2" w14:textId="77777777" w:rsidR="001D4369" w:rsidRPr="00B25800" w:rsidRDefault="001D4369" w:rsidP="000F4CC1">
            <w:pPr>
              <w:spacing w:before="0" w:after="0" w:line="259" w:lineRule="auto"/>
              <w:jc w:val="center"/>
              <w:rPr>
                <w:sz w:val="20"/>
                <w:szCs w:val="18"/>
              </w:rPr>
            </w:pPr>
            <w:r>
              <w:rPr>
                <w:sz w:val="20"/>
                <w:szCs w:val="18"/>
              </w:rPr>
              <w:t>32.685</w:t>
            </w:r>
          </w:p>
        </w:tc>
        <w:tc>
          <w:tcPr>
            <w:tcW w:w="794" w:type="pct"/>
            <w:tcBorders>
              <w:left w:val="double" w:sz="6" w:space="0" w:color="auto"/>
              <w:right w:val="double" w:sz="6" w:space="0" w:color="auto"/>
            </w:tcBorders>
            <w:vAlign w:val="center"/>
          </w:tcPr>
          <w:p w14:paraId="4D5BE985" w14:textId="77777777" w:rsidR="001D4369" w:rsidRPr="00A669F0" w:rsidRDefault="001D4369" w:rsidP="000F4CC1">
            <w:pPr>
              <w:spacing w:before="0" w:after="0" w:line="259" w:lineRule="auto"/>
              <w:jc w:val="center"/>
              <w:rPr>
                <w:sz w:val="20"/>
                <w:szCs w:val="18"/>
              </w:rPr>
            </w:pPr>
            <w:r>
              <w:rPr>
                <w:sz w:val="20"/>
                <w:szCs w:val="18"/>
              </w:rPr>
              <w:t>0%</w:t>
            </w:r>
          </w:p>
        </w:tc>
      </w:tr>
      <w:tr w:rsidR="001D4369" w14:paraId="5C8E5BD0" w14:textId="77777777" w:rsidTr="00A62069">
        <w:tc>
          <w:tcPr>
            <w:tcW w:w="506" w:type="pct"/>
            <w:tcBorders>
              <w:left w:val="double" w:sz="6" w:space="0" w:color="auto"/>
              <w:bottom w:val="single" w:sz="4" w:space="0" w:color="000000"/>
            </w:tcBorders>
            <w:vAlign w:val="center"/>
          </w:tcPr>
          <w:p w14:paraId="42E8C88E" w14:textId="77777777" w:rsidR="001D4369" w:rsidRDefault="001D4369" w:rsidP="00EF2ED1">
            <w:pPr>
              <w:spacing w:before="0" w:after="0" w:line="259" w:lineRule="auto"/>
              <w:jc w:val="right"/>
              <w:rPr>
                <w:b/>
                <w:bCs/>
                <w:sz w:val="20"/>
                <w:szCs w:val="18"/>
              </w:rPr>
            </w:pPr>
            <w:r>
              <w:rPr>
                <w:b/>
                <w:bCs/>
                <w:sz w:val="20"/>
                <w:szCs w:val="18"/>
              </w:rPr>
              <w:t>24</w:t>
            </w:r>
          </w:p>
        </w:tc>
        <w:tc>
          <w:tcPr>
            <w:tcW w:w="2210" w:type="pct"/>
            <w:tcBorders>
              <w:bottom w:val="single" w:sz="4" w:space="0" w:color="000000"/>
              <w:right w:val="double" w:sz="6" w:space="0" w:color="auto"/>
            </w:tcBorders>
            <w:vAlign w:val="center"/>
          </w:tcPr>
          <w:p w14:paraId="7762DABB" w14:textId="77777777" w:rsidR="001D4369" w:rsidRPr="00883DC1" w:rsidRDefault="001D4369" w:rsidP="00EF2ED1">
            <w:pPr>
              <w:spacing w:before="0" w:after="0" w:line="259" w:lineRule="auto"/>
              <w:jc w:val="right"/>
              <w:rPr>
                <w:sz w:val="20"/>
                <w:szCs w:val="18"/>
              </w:rPr>
            </w:pPr>
            <w:r>
              <w:rPr>
                <w:sz w:val="20"/>
                <w:szCs w:val="18"/>
              </w:rPr>
              <w:t xml:space="preserve">Titulado </w:t>
            </w:r>
            <w:proofErr w:type="spellStart"/>
            <w:r>
              <w:rPr>
                <w:sz w:val="20"/>
                <w:szCs w:val="18"/>
              </w:rPr>
              <w:t>Gº</w:t>
            </w:r>
            <w:proofErr w:type="spellEnd"/>
            <w:r>
              <w:rPr>
                <w:sz w:val="20"/>
                <w:szCs w:val="18"/>
              </w:rPr>
              <w:t xml:space="preserve"> </w:t>
            </w:r>
            <w:proofErr w:type="spellStart"/>
            <w:r>
              <w:rPr>
                <w:sz w:val="20"/>
                <w:szCs w:val="18"/>
              </w:rPr>
              <w:t>Med</w:t>
            </w:r>
            <w:proofErr w:type="spellEnd"/>
            <w:r>
              <w:rPr>
                <w:sz w:val="20"/>
                <w:szCs w:val="18"/>
              </w:rPr>
              <w:t xml:space="preserve"> + </w:t>
            </w:r>
            <w:proofErr w:type="spellStart"/>
            <w:r>
              <w:rPr>
                <w:sz w:val="20"/>
                <w:szCs w:val="18"/>
              </w:rPr>
              <w:t>Téc</w:t>
            </w:r>
            <w:proofErr w:type="spellEnd"/>
            <w:r>
              <w:rPr>
                <w:sz w:val="20"/>
                <w:szCs w:val="18"/>
              </w:rPr>
              <w:t xml:space="preserve">. </w:t>
            </w:r>
            <w:proofErr w:type="spellStart"/>
            <w:r>
              <w:rPr>
                <w:sz w:val="20"/>
                <w:szCs w:val="18"/>
              </w:rPr>
              <w:t>Gº</w:t>
            </w:r>
            <w:proofErr w:type="spellEnd"/>
            <w:r>
              <w:rPr>
                <w:sz w:val="20"/>
                <w:szCs w:val="18"/>
              </w:rPr>
              <w:t xml:space="preserve"> </w:t>
            </w:r>
            <w:proofErr w:type="spellStart"/>
            <w:r>
              <w:rPr>
                <w:sz w:val="20"/>
                <w:szCs w:val="18"/>
              </w:rPr>
              <w:t>Med</w:t>
            </w:r>
            <w:proofErr w:type="spellEnd"/>
          </w:p>
        </w:tc>
        <w:tc>
          <w:tcPr>
            <w:tcW w:w="741" w:type="pct"/>
            <w:tcBorders>
              <w:left w:val="double" w:sz="6" w:space="0" w:color="auto"/>
            </w:tcBorders>
            <w:vAlign w:val="center"/>
          </w:tcPr>
          <w:p w14:paraId="266E2E66" w14:textId="77777777" w:rsidR="001D4369" w:rsidRPr="00425BA2" w:rsidRDefault="001D4369" w:rsidP="000F4CC1">
            <w:pPr>
              <w:spacing w:before="0" w:after="0" w:line="259" w:lineRule="auto"/>
              <w:jc w:val="center"/>
              <w:rPr>
                <w:sz w:val="20"/>
                <w:szCs w:val="18"/>
              </w:rPr>
            </w:pPr>
            <w:r>
              <w:rPr>
                <w:sz w:val="20"/>
                <w:szCs w:val="18"/>
              </w:rPr>
              <w:t>13.170</w:t>
            </w:r>
          </w:p>
        </w:tc>
        <w:tc>
          <w:tcPr>
            <w:tcW w:w="749" w:type="pct"/>
            <w:tcBorders>
              <w:right w:val="double" w:sz="6" w:space="0" w:color="auto"/>
            </w:tcBorders>
            <w:shd w:val="clear" w:color="auto" w:fill="auto"/>
            <w:vAlign w:val="center"/>
          </w:tcPr>
          <w:p w14:paraId="6BF6B946" w14:textId="77777777" w:rsidR="001D4369" w:rsidRPr="00B25800" w:rsidRDefault="001D4369" w:rsidP="000F4CC1">
            <w:pPr>
              <w:spacing w:before="0" w:after="0" w:line="259" w:lineRule="auto"/>
              <w:jc w:val="center"/>
              <w:rPr>
                <w:sz w:val="20"/>
                <w:szCs w:val="18"/>
              </w:rPr>
            </w:pPr>
            <w:r>
              <w:rPr>
                <w:sz w:val="20"/>
                <w:szCs w:val="18"/>
              </w:rPr>
              <w:t>10.885</w:t>
            </w:r>
          </w:p>
        </w:tc>
        <w:tc>
          <w:tcPr>
            <w:tcW w:w="794" w:type="pct"/>
            <w:tcBorders>
              <w:left w:val="double" w:sz="6" w:space="0" w:color="auto"/>
              <w:right w:val="double" w:sz="6" w:space="0" w:color="auto"/>
            </w:tcBorders>
            <w:vAlign w:val="center"/>
          </w:tcPr>
          <w:p w14:paraId="732E9170" w14:textId="77777777" w:rsidR="001D4369" w:rsidRPr="00A669F0" w:rsidRDefault="001D4369" w:rsidP="000F4CC1">
            <w:pPr>
              <w:spacing w:before="0" w:after="0" w:line="259" w:lineRule="auto"/>
              <w:jc w:val="center"/>
              <w:rPr>
                <w:sz w:val="20"/>
                <w:szCs w:val="18"/>
              </w:rPr>
            </w:pPr>
            <w:r>
              <w:rPr>
                <w:sz w:val="20"/>
                <w:szCs w:val="18"/>
              </w:rPr>
              <w:t>-21%</w:t>
            </w:r>
          </w:p>
        </w:tc>
      </w:tr>
      <w:tr w:rsidR="001D4369" w14:paraId="5D2AD8AA" w14:textId="77777777" w:rsidTr="00A62069">
        <w:tc>
          <w:tcPr>
            <w:tcW w:w="506" w:type="pct"/>
            <w:tcBorders>
              <w:left w:val="double" w:sz="6" w:space="0" w:color="auto"/>
              <w:bottom w:val="single" w:sz="4" w:space="0" w:color="000000"/>
            </w:tcBorders>
            <w:vAlign w:val="center"/>
          </w:tcPr>
          <w:p w14:paraId="5C652A94" w14:textId="77777777" w:rsidR="001D4369" w:rsidRDefault="001D4369" w:rsidP="00EF2ED1">
            <w:pPr>
              <w:spacing w:before="0" w:after="0" w:line="259" w:lineRule="auto"/>
              <w:jc w:val="right"/>
              <w:rPr>
                <w:b/>
                <w:bCs/>
                <w:sz w:val="20"/>
                <w:szCs w:val="18"/>
              </w:rPr>
            </w:pPr>
            <w:r>
              <w:rPr>
                <w:b/>
                <w:bCs/>
                <w:sz w:val="20"/>
                <w:szCs w:val="18"/>
              </w:rPr>
              <w:t>25</w:t>
            </w:r>
          </w:p>
        </w:tc>
        <w:tc>
          <w:tcPr>
            <w:tcW w:w="2210" w:type="pct"/>
            <w:tcBorders>
              <w:bottom w:val="single" w:sz="4" w:space="0" w:color="000000"/>
              <w:right w:val="double" w:sz="6" w:space="0" w:color="auto"/>
            </w:tcBorders>
            <w:vAlign w:val="center"/>
          </w:tcPr>
          <w:p w14:paraId="301F5ED0" w14:textId="77777777" w:rsidR="001D4369" w:rsidRPr="00883DC1" w:rsidRDefault="001D4369" w:rsidP="00EF2ED1">
            <w:pPr>
              <w:spacing w:before="0" w:after="0" w:line="259" w:lineRule="auto"/>
              <w:jc w:val="right"/>
              <w:rPr>
                <w:sz w:val="20"/>
                <w:szCs w:val="18"/>
              </w:rPr>
            </w:pPr>
            <w:proofErr w:type="spellStart"/>
            <w:r>
              <w:rPr>
                <w:sz w:val="20"/>
                <w:szCs w:val="18"/>
              </w:rPr>
              <w:t>Tec</w:t>
            </w:r>
            <w:proofErr w:type="spellEnd"/>
            <w:r>
              <w:rPr>
                <w:sz w:val="20"/>
                <w:szCs w:val="18"/>
              </w:rPr>
              <w:t xml:space="preserve">. </w:t>
            </w:r>
            <w:proofErr w:type="spellStart"/>
            <w:r>
              <w:rPr>
                <w:sz w:val="20"/>
                <w:szCs w:val="18"/>
              </w:rPr>
              <w:t>Expert</w:t>
            </w:r>
            <w:proofErr w:type="spellEnd"/>
            <w:r>
              <w:rPr>
                <w:sz w:val="20"/>
                <w:szCs w:val="18"/>
              </w:rPr>
              <w:t>. Informático</w:t>
            </w:r>
          </w:p>
        </w:tc>
        <w:tc>
          <w:tcPr>
            <w:tcW w:w="741" w:type="pct"/>
            <w:tcBorders>
              <w:left w:val="double" w:sz="6" w:space="0" w:color="auto"/>
            </w:tcBorders>
            <w:vAlign w:val="center"/>
          </w:tcPr>
          <w:p w14:paraId="3E850C62" w14:textId="77777777" w:rsidR="001D4369" w:rsidRPr="00425BA2" w:rsidRDefault="001D4369" w:rsidP="000F4CC1">
            <w:pPr>
              <w:spacing w:before="0" w:after="0" w:line="259" w:lineRule="auto"/>
              <w:jc w:val="center"/>
              <w:rPr>
                <w:sz w:val="20"/>
                <w:szCs w:val="18"/>
              </w:rPr>
            </w:pPr>
            <w:r>
              <w:rPr>
                <w:sz w:val="20"/>
                <w:szCs w:val="18"/>
              </w:rPr>
              <w:t>32.928</w:t>
            </w:r>
          </w:p>
        </w:tc>
        <w:tc>
          <w:tcPr>
            <w:tcW w:w="749" w:type="pct"/>
            <w:tcBorders>
              <w:right w:val="double" w:sz="6" w:space="0" w:color="auto"/>
            </w:tcBorders>
            <w:shd w:val="clear" w:color="auto" w:fill="auto"/>
            <w:vAlign w:val="center"/>
          </w:tcPr>
          <w:p w14:paraId="1138D5A2" w14:textId="77777777" w:rsidR="001D4369" w:rsidRPr="00B25800" w:rsidRDefault="001D4369" w:rsidP="000F4CC1">
            <w:pPr>
              <w:spacing w:before="0" w:after="0" w:line="259" w:lineRule="auto"/>
              <w:jc w:val="center"/>
              <w:rPr>
                <w:sz w:val="20"/>
                <w:szCs w:val="18"/>
              </w:rPr>
            </w:pPr>
            <w:r>
              <w:rPr>
                <w:sz w:val="20"/>
                <w:szCs w:val="18"/>
              </w:rPr>
              <w:t>36.931</w:t>
            </w:r>
          </w:p>
        </w:tc>
        <w:tc>
          <w:tcPr>
            <w:tcW w:w="794" w:type="pct"/>
            <w:tcBorders>
              <w:left w:val="double" w:sz="6" w:space="0" w:color="auto"/>
              <w:right w:val="double" w:sz="6" w:space="0" w:color="auto"/>
            </w:tcBorders>
            <w:vAlign w:val="center"/>
          </w:tcPr>
          <w:p w14:paraId="4C686D03" w14:textId="77777777" w:rsidR="001D4369" w:rsidRPr="00A669F0" w:rsidRDefault="001D4369" w:rsidP="000F4CC1">
            <w:pPr>
              <w:spacing w:before="0" w:after="0" w:line="259" w:lineRule="auto"/>
              <w:jc w:val="center"/>
              <w:rPr>
                <w:sz w:val="20"/>
                <w:szCs w:val="18"/>
              </w:rPr>
            </w:pPr>
            <w:r>
              <w:rPr>
                <w:sz w:val="20"/>
                <w:szCs w:val="18"/>
              </w:rPr>
              <w:t>11%</w:t>
            </w:r>
          </w:p>
        </w:tc>
      </w:tr>
      <w:tr w:rsidR="001D4369" w14:paraId="23220127" w14:textId="77777777" w:rsidTr="00A62069">
        <w:tc>
          <w:tcPr>
            <w:tcW w:w="506" w:type="pct"/>
            <w:tcBorders>
              <w:left w:val="double" w:sz="6" w:space="0" w:color="auto"/>
              <w:bottom w:val="single" w:sz="4" w:space="0" w:color="000000"/>
            </w:tcBorders>
            <w:vAlign w:val="center"/>
          </w:tcPr>
          <w:p w14:paraId="4FC6E406" w14:textId="77777777" w:rsidR="001D4369" w:rsidRDefault="001D4369" w:rsidP="00EF2ED1">
            <w:pPr>
              <w:spacing w:before="0" w:after="0" w:line="259" w:lineRule="auto"/>
              <w:jc w:val="right"/>
              <w:rPr>
                <w:b/>
                <w:bCs/>
                <w:sz w:val="20"/>
                <w:szCs w:val="18"/>
              </w:rPr>
            </w:pPr>
            <w:r>
              <w:rPr>
                <w:b/>
                <w:bCs/>
                <w:sz w:val="20"/>
                <w:szCs w:val="18"/>
              </w:rPr>
              <w:t>26</w:t>
            </w:r>
          </w:p>
        </w:tc>
        <w:tc>
          <w:tcPr>
            <w:tcW w:w="2210" w:type="pct"/>
            <w:tcBorders>
              <w:bottom w:val="single" w:sz="4" w:space="0" w:color="000000"/>
              <w:right w:val="double" w:sz="6" w:space="0" w:color="auto"/>
            </w:tcBorders>
            <w:vAlign w:val="center"/>
          </w:tcPr>
          <w:p w14:paraId="1C269419" w14:textId="77777777" w:rsidR="001D4369" w:rsidRPr="00883DC1" w:rsidRDefault="001D4369" w:rsidP="00EF2ED1">
            <w:pPr>
              <w:spacing w:before="0" w:after="0" w:line="259" w:lineRule="auto"/>
              <w:jc w:val="right"/>
              <w:rPr>
                <w:sz w:val="20"/>
                <w:szCs w:val="18"/>
              </w:rPr>
            </w:pPr>
            <w:r>
              <w:rPr>
                <w:sz w:val="20"/>
                <w:szCs w:val="18"/>
              </w:rPr>
              <w:t xml:space="preserve">Ingeniero </w:t>
            </w:r>
            <w:proofErr w:type="spellStart"/>
            <w:r>
              <w:rPr>
                <w:sz w:val="20"/>
                <w:szCs w:val="18"/>
              </w:rPr>
              <w:t>Téc</w:t>
            </w:r>
            <w:proofErr w:type="spellEnd"/>
            <w:r>
              <w:rPr>
                <w:sz w:val="20"/>
                <w:szCs w:val="18"/>
              </w:rPr>
              <w:t>.</w:t>
            </w:r>
          </w:p>
        </w:tc>
        <w:tc>
          <w:tcPr>
            <w:tcW w:w="741" w:type="pct"/>
            <w:tcBorders>
              <w:left w:val="double" w:sz="6" w:space="0" w:color="auto"/>
            </w:tcBorders>
            <w:vAlign w:val="center"/>
          </w:tcPr>
          <w:p w14:paraId="0F0C355D" w14:textId="77777777" w:rsidR="001D4369" w:rsidRPr="00425BA2" w:rsidRDefault="001D4369" w:rsidP="000F4CC1">
            <w:pPr>
              <w:spacing w:before="0" w:after="0" w:line="259" w:lineRule="auto"/>
              <w:jc w:val="center"/>
              <w:rPr>
                <w:sz w:val="20"/>
                <w:szCs w:val="18"/>
              </w:rPr>
            </w:pPr>
            <w:r>
              <w:rPr>
                <w:sz w:val="20"/>
                <w:szCs w:val="18"/>
              </w:rPr>
              <w:t>17.181</w:t>
            </w:r>
          </w:p>
        </w:tc>
        <w:tc>
          <w:tcPr>
            <w:tcW w:w="749" w:type="pct"/>
            <w:tcBorders>
              <w:right w:val="double" w:sz="6" w:space="0" w:color="auto"/>
            </w:tcBorders>
            <w:shd w:val="clear" w:color="auto" w:fill="auto"/>
            <w:vAlign w:val="center"/>
          </w:tcPr>
          <w:p w14:paraId="6267DFB0" w14:textId="77777777" w:rsidR="001D4369" w:rsidRPr="00B25800" w:rsidRDefault="001D4369" w:rsidP="000F4CC1">
            <w:pPr>
              <w:spacing w:before="0" w:after="0" w:line="259" w:lineRule="auto"/>
              <w:jc w:val="center"/>
              <w:rPr>
                <w:sz w:val="20"/>
                <w:szCs w:val="18"/>
              </w:rPr>
            </w:pPr>
            <w:r>
              <w:rPr>
                <w:sz w:val="20"/>
                <w:szCs w:val="18"/>
              </w:rPr>
              <w:t>38.601</w:t>
            </w:r>
          </w:p>
        </w:tc>
        <w:tc>
          <w:tcPr>
            <w:tcW w:w="794" w:type="pct"/>
            <w:tcBorders>
              <w:left w:val="double" w:sz="6" w:space="0" w:color="auto"/>
              <w:right w:val="double" w:sz="6" w:space="0" w:color="auto"/>
            </w:tcBorders>
            <w:vAlign w:val="center"/>
          </w:tcPr>
          <w:p w14:paraId="45FD57E7" w14:textId="77777777" w:rsidR="001D4369" w:rsidRPr="00A669F0" w:rsidRDefault="001D4369" w:rsidP="000F4CC1">
            <w:pPr>
              <w:spacing w:before="0" w:after="0" w:line="259" w:lineRule="auto"/>
              <w:jc w:val="center"/>
              <w:rPr>
                <w:sz w:val="20"/>
                <w:szCs w:val="18"/>
              </w:rPr>
            </w:pPr>
            <w:r>
              <w:rPr>
                <w:sz w:val="20"/>
                <w:szCs w:val="18"/>
              </w:rPr>
              <w:t>55%</w:t>
            </w:r>
          </w:p>
        </w:tc>
      </w:tr>
      <w:tr w:rsidR="001D4369" w14:paraId="242218E5" w14:textId="77777777" w:rsidTr="00A62069">
        <w:tc>
          <w:tcPr>
            <w:tcW w:w="506" w:type="pct"/>
            <w:tcBorders>
              <w:left w:val="double" w:sz="6" w:space="0" w:color="auto"/>
              <w:bottom w:val="single" w:sz="4" w:space="0" w:color="000000"/>
            </w:tcBorders>
            <w:vAlign w:val="center"/>
          </w:tcPr>
          <w:p w14:paraId="6A92EC8A" w14:textId="77777777" w:rsidR="001D4369" w:rsidRDefault="001D4369" w:rsidP="00EF2ED1">
            <w:pPr>
              <w:spacing w:before="0" w:after="0" w:line="259" w:lineRule="auto"/>
              <w:jc w:val="right"/>
              <w:rPr>
                <w:b/>
                <w:bCs/>
                <w:sz w:val="20"/>
                <w:szCs w:val="18"/>
              </w:rPr>
            </w:pPr>
            <w:r>
              <w:rPr>
                <w:b/>
                <w:bCs/>
                <w:sz w:val="20"/>
                <w:szCs w:val="18"/>
              </w:rPr>
              <w:t>27</w:t>
            </w:r>
          </w:p>
        </w:tc>
        <w:tc>
          <w:tcPr>
            <w:tcW w:w="2210" w:type="pct"/>
            <w:tcBorders>
              <w:bottom w:val="single" w:sz="4" w:space="0" w:color="000000"/>
              <w:right w:val="double" w:sz="6" w:space="0" w:color="auto"/>
            </w:tcBorders>
            <w:vAlign w:val="center"/>
          </w:tcPr>
          <w:p w14:paraId="21894CE4" w14:textId="77777777" w:rsidR="001D4369" w:rsidRPr="00883DC1" w:rsidRDefault="001D4369" w:rsidP="00EF2ED1">
            <w:pPr>
              <w:spacing w:before="0" w:after="0" w:line="259" w:lineRule="auto"/>
              <w:jc w:val="right"/>
              <w:rPr>
                <w:sz w:val="20"/>
                <w:szCs w:val="18"/>
              </w:rPr>
            </w:pPr>
            <w:r>
              <w:rPr>
                <w:sz w:val="20"/>
                <w:szCs w:val="18"/>
              </w:rPr>
              <w:t>Analista programador</w:t>
            </w:r>
          </w:p>
        </w:tc>
        <w:tc>
          <w:tcPr>
            <w:tcW w:w="741" w:type="pct"/>
            <w:tcBorders>
              <w:left w:val="double" w:sz="6" w:space="0" w:color="auto"/>
            </w:tcBorders>
            <w:vAlign w:val="center"/>
          </w:tcPr>
          <w:p w14:paraId="2B5789BE" w14:textId="77777777" w:rsidR="001D4369" w:rsidRPr="00425BA2" w:rsidRDefault="001D4369" w:rsidP="000F4CC1">
            <w:pPr>
              <w:spacing w:before="0" w:after="0" w:line="259" w:lineRule="auto"/>
              <w:jc w:val="center"/>
              <w:rPr>
                <w:sz w:val="20"/>
                <w:szCs w:val="18"/>
              </w:rPr>
            </w:pPr>
            <w:r>
              <w:rPr>
                <w:sz w:val="20"/>
                <w:szCs w:val="18"/>
              </w:rPr>
              <w:t>40.949</w:t>
            </w:r>
          </w:p>
        </w:tc>
        <w:tc>
          <w:tcPr>
            <w:tcW w:w="749" w:type="pct"/>
            <w:tcBorders>
              <w:right w:val="double" w:sz="6" w:space="0" w:color="auto"/>
            </w:tcBorders>
            <w:shd w:val="clear" w:color="auto" w:fill="auto"/>
            <w:vAlign w:val="center"/>
          </w:tcPr>
          <w:p w14:paraId="584BF95E" w14:textId="77777777" w:rsidR="001D4369" w:rsidRPr="00B25800" w:rsidRDefault="001D4369" w:rsidP="000F4CC1">
            <w:pPr>
              <w:spacing w:before="0" w:after="0" w:line="259" w:lineRule="auto"/>
              <w:jc w:val="center"/>
              <w:rPr>
                <w:sz w:val="20"/>
                <w:szCs w:val="18"/>
              </w:rPr>
            </w:pPr>
            <w:r>
              <w:rPr>
                <w:sz w:val="20"/>
                <w:szCs w:val="18"/>
              </w:rPr>
              <w:t>41.849</w:t>
            </w:r>
          </w:p>
        </w:tc>
        <w:tc>
          <w:tcPr>
            <w:tcW w:w="794" w:type="pct"/>
            <w:tcBorders>
              <w:left w:val="double" w:sz="6" w:space="0" w:color="auto"/>
              <w:right w:val="double" w:sz="6" w:space="0" w:color="auto"/>
            </w:tcBorders>
            <w:vAlign w:val="center"/>
          </w:tcPr>
          <w:p w14:paraId="75AA5F97" w14:textId="77777777" w:rsidR="001D4369" w:rsidRPr="00A669F0" w:rsidRDefault="001D4369" w:rsidP="000F4CC1">
            <w:pPr>
              <w:spacing w:before="0" w:after="0" w:line="259" w:lineRule="auto"/>
              <w:jc w:val="center"/>
              <w:rPr>
                <w:sz w:val="20"/>
                <w:szCs w:val="18"/>
              </w:rPr>
            </w:pPr>
            <w:r>
              <w:rPr>
                <w:sz w:val="20"/>
                <w:szCs w:val="18"/>
              </w:rPr>
              <w:t>2%</w:t>
            </w:r>
          </w:p>
        </w:tc>
      </w:tr>
      <w:tr w:rsidR="001D4369" w14:paraId="7C3ED666" w14:textId="77777777" w:rsidTr="00A62069">
        <w:tc>
          <w:tcPr>
            <w:tcW w:w="506" w:type="pct"/>
            <w:tcBorders>
              <w:left w:val="double" w:sz="6" w:space="0" w:color="auto"/>
              <w:bottom w:val="single" w:sz="4" w:space="0" w:color="000000"/>
            </w:tcBorders>
            <w:vAlign w:val="center"/>
          </w:tcPr>
          <w:p w14:paraId="4B21D88A" w14:textId="77777777" w:rsidR="001D4369" w:rsidRDefault="001D4369" w:rsidP="00EF2ED1">
            <w:pPr>
              <w:spacing w:before="0" w:after="0" w:line="259" w:lineRule="auto"/>
              <w:jc w:val="right"/>
              <w:rPr>
                <w:b/>
                <w:bCs/>
                <w:sz w:val="20"/>
                <w:szCs w:val="18"/>
              </w:rPr>
            </w:pPr>
            <w:r>
              <w:rPr>
                <w:b/>
                <w:bCs/>
                <w:sz w:val="20"/>
                <w:szCs w:val="18"/>
              </w:rPr>
              <w:t>28</w:t>
            </w:r>
          </w:p>
        </w:tc>
        <w:tc>
          <w:tcPr>
            <w:tcW w:w="2210" w:type="pct"/>
            <w:tcBorders>
              <w:bottom w:val="single" w:sz="4" w:space="0" w:color="000000"/>
              <w:right w:val="double" w:sz="6" w:space="0" w:color="auto"/>
            </w:tcBorders>
            <w:vAlign w:val="center"/>
          </w:tcPr>
          <w:p w14:paraId="6C7D0DAE" w14:textId="77777777" w:rsidR="001D4369" w:rsidRPr="00883DC1" w:rsidRDefault="001D4369" w:rsidP="00EF2ED1">
            <w:pPr>
              <w:spacing w:before="0" w:after="0" w:line="259" w:lineRule="auto"/>
              <w:jc w:val="right"/>
              <w:rPr>
                <w:sz w:val="20"/>
                <w:szCs w:val="18"/>
              </w:rPr>
            </w:pPr>
            <w:r>
              <w:rPr>
                <w:sz w:val="20"/>
                <w:szCs w:val="18"/>
              </w:rPr>
              <w:t xml:space="preserve">Titulado Superior + </w:t>
            </w:r>
            <w:proofErr w:type="spellStart"/>
            <w:r>
              <w:rPr>
                <w:sz w:val="20"/>
                <w:szCs w:val="18"/>
              </w:rPr>
              <w:t>Téc</w:t>
            </w:r>
            <w:proofErr w:type="spellEnd"/>
            <w:r>
              <w:rPr>
                <w:sz w:val="20"/>
                <w:szCs w:val="18"/>
              </w:rPr>
              <w:t>. Superior</w:t>
            </w:r>
          </w:p>
        </w:tc>
        <w:tc>
          <w:tcPr>
            <w:tcW w:w="741" w:type="pct"/>
            <w:tcBorders>
              <w:left w:val="double" w:sz="6" w:space="0" w:color="auto"/>
            </w:tcBorders>
            <w:vAlign w:val="center"/>
          </w:tcPr>
          <w:p w14:paraId="1482CD77" w14:textId="77777777" w:rsidR="001D4369" w:rsidRPr="00425BA2" w:rsidRDefault="001D4369" w:rsidP="000F4CC1">
            <w:pPr>
              <w:spacing w:before="0" w:after="0" w:line="259" w:lineRule="auto"/>
              <w:jc w:val="center"/>
              <w:rPr>
                <w:sz w:val="20"/>
                <w:szCs w:val="18"/>
              </w:rPr>
            </w:pPr>
            <w:r>
              <w:rPr>
                <w:sz w:val="20"/>
                <w:szCs w:val="18"/>
              </w:rPr>
              <w:t>41.848</w:t>
            </w:r>
          </w:p>
        </w:tc>
        <w:tc>
          <w:tcPr>
            <w:tcW w:w="749" w:type="pct"/>
            <w:tcBorders>
              <w:right w:val="double" w:sz="6" w:space="0" w:color="auto"/>
            </w:tcBorders>
            <w:shd w:val="clear" w:color="auto" w:fill="auto"/>
            <w:vAlign w:val="center"/>
          </w:tcPr>
          <w:p w14:paraId="79110E71" w14:textId="77777777" w:rsidR="001D4369" w:rsidRPr="00B25800" w:rsidRDefault="001D4369" w:rsidP="000F4CC1">
            <w:pPr>
              <w:spacing w:before="0" w:after="0" w:line="259" w:lineRule="auto"/>
              <w:jc w:val="center"/>
              <w:rPr>
                <w:sz w:val="20"/>
                <w:szCs w:val="18"/>
              </w:rPr>
            </w:pPr>
            <w:r>
              <w:rPr>
                <w:sz w:val="20"/>
                <w:szCs w:val="18"/>
              </w:rPr>
              <w:t>13.971</w:t>
            </w:r>
          </w:p>
        </w:tc>
        <w:tc>
          <w:tcPr>
            <w:tcW w:w="794" w:type="pct"/>
            <w:tcBorders>
              <w:left w:val="double" w:sz="6" w:space="0" w:color="auto"/>
              <w:right w:val="double" w:sz="6" w:space="0" w:color="auto"/>
            </w:tcBorders>
            <w:vAlign w:val="center"/>
          </w:tcPr>
          <w:p w14:paraId="1E63F871" w14:textId="77777777" w:rsidR="001D4369" w:rsidRPr="00A669F0" w:rsidRDefault="001D4369" w:rsidP="000F4CC1">
            <w:pPr>
              <w:spacing w:before="0" w:after="0" w:line="259" w:lineRule="auto"/>
              <w:jc w:val="center"/>
              <w:rPr>
                <w:sz w:val="20"/>
                <w:szCs w:val="18"/>
              </w:rPr>
            </w:pPr>
            <w:r>
              <w:rPr>
                <w:sz w:val="20"/>
                <w:szCs w:val="18"/>
              </w:rPr>
              <w:t>-200%</w:t>
            </w:r>
          </w:p>
        </w:tc>
      </w:tr>
      <w:tr w:rsidR="001D4369" w14:paraId="290CD7A0" w14:textId="77777777" w:rsidTr="00A62069">
        <w:tc>
          <w:tcPr>
            <w:tcW w:w="506" w:type="pct"/>
            <w:tcBorders>
              <w:left w:val="double" w:sz="6" w:space="0" w:color="auto"/>
              <w:bottom w:val="single" w:sz="4" w:space="0" w:color="000000"/>
            </w:tcBorders>
            <w:vAlign w:val="center"/>
          </w:tcPr>
          <w:p w14:paraId="11B3EE9C" w14:textId="77777777" w:rsidR="001D4369" w:rsidRDefault="001D4369" w:rsidP="00EF2ED1">
            <w:pPr>
              <w:spacing w:before="0" w:after="0" w:line="259" w:lineRule="auto"/>
              <w:jc w:val="right"/>
              <w:rPr>
                <w:b/>
                <w:bCs/>
                <w:sz w:val="20"/>
                <w:szCs w:val="18"/>
              </w:rPr>
            </w:pPr>
            <w:r>
              <w:rPr>
                <w:b/>
                <w:bCs/>
                <w:sz w:val="20"/>
                <w:szCs w:val="18"/>
              </w:rPr>
              <w:t>29</w:t>
            </w:r>
          </w:p>
        </w:tc>
        <w:tc>
          <w:tcPr>
            <w:tcW w:w="2210" w:type="pct"/>
            <w:tcBorders>
              <w:bottom w:val="single" w:sz="4" w:space="0" w:color="000000"/>
              <w:right w:val="double" w:sz="6" w:space="0" w:color="auto"/>
            </w:tcBorders>
            <w:vAlign w:val="center"/>
          </w:tcPr>
          <w:p w14:paraId="3ED58B59" w14:textId="77777777" w:rsidR="001D4369" w:rsidRPr="00883DC1" w:rsidRDefault="001D4369" w:rsidP="00EF2ED1">
            <w:pPr>
              <w:spacing w:before="0" w:after="0" w:line="259" w:lineRule="auto"/>
              <w:jc w:val="right"/>
              <w:rPr>
                <w:sz w:val="20"/>
                <w:szCs w:val="18"/>
              </w:rPr>
            </w:pPr>
            <w:r>
              <w:rPr>
                <w:sz w:val="20"/>
                <w:szCs w:val="18"/>
              </w:rPr>
              <w:t>Profesor</w:t>
            </w:r>
          </w:p>
        </w:tc>
        <w:tc>
          <w:tcPr>
            <w:tcW w:w="741" w:type="pct"/>
            <w:tcBorders>
              <w:left w:val="double" w:sz="6" w:space="0" w:color="auto"/>
            </w:tcBorders>
            <w:vAlign w:val="center"/>
          </w:tcPr>
          <w:p w14:paraId="214FA369" w14:textId="77777777" w:rsidR="001D4369" w:rsidRPr="00425BA2" w:rsidRDefault="001D4369" w:rsidP="000F4CC1">
            <w:pPr>
              <w:spacing w:before="0" w:after="0" w:line="259" w:lineRule="auto"/>
              <w:jc w:val="center"/>
              <w:rPr>
                <w:sz w:val="20"/>
                <w:szCs w:val="18"/>
              </w:rPr>
            </w:pPr>
            <w:r>
              <w:rPr>
                <w:sz w:val="20"/>
                <w:szCs w:val="18"/>
              </w:rPr>
              <w:t>12.474</w:t>
            </w:r>
          </w:p>
        </w:tc>
        <w:tc>
          <w:tcPr>
            <w:tcW w:w="749" w:type="pct"/>
            <w:tcBorders>
              <w:right w:val="double" w:sz="6" w:space="0" w:color="auto"/>
            </w:tcBorders>
            <w:shd w:val="clear" w:color="auto" w:fill="auto"/>
            <w:vAlign w:val="center"/>
          </w:tcPr>
          <w:p w14:paraId="073CB0F7" w14:textId="77777777" w:rsidR="001D4369" w:rsidRPr="00B25800" w:rsidRDefault="001D4369" w:rsidP="000F4CC1">
            <w:pPr>
              <w:spacing w:before="0" w:after="0" w:line="259" w:lineRule="auto"/>
              <w:jc w:val="center"/>
              <w:rPr>
                <w:sz w:val="20"/>
                <w:szCs w:val="18"/>
              </w:rPr>
            </w:pPr>
            <w:r>
              <w:rPr>
                <w:sz w:val="20"/>
                <w:szCs w:val="18"/>
              </w:rPr>
              <w:t>39.894</w:t>
            </w:r>
          </w:p>
        </w:tc>
        <w:tc>
          <w:tcPr>
            <w:tcW w:w="794" w:type="pct"/>
            <w:tcBorders>
              <w:left w:val="double" w:sz="6" w:space="0" w:color="auto"/>
              <w:right w:val="double" w:sz="6" w:space="0" w:color="auto"/>
            </w:tcBorders>
            <w:vAlign w:val="center"/>
          </w:tcPr>
          <w:p w14:paraId="3E5DA196" w14:textId="77777777" w:rsidR="001D4369" w:rsidRPr="00A669F0" w:rsidRDefault="001D4369" w:rsidP="000F4CC1">
            <w:pPr>
              <w:spacing w:before="0" w:after="0" w:line="259" w:lineRule="auto"/>
              <w:jc w:val="center"/>
              <w:rPr>
                <w:sz w:val="20"/>
                <w:szCs w:val="18"/>
              </w:rPr>
            </w:pPr>
            <w:r>
              <w:rPr>
                <w:sz w:val="20"/>
                <w:szCs w:val="18"/>
              </w:rPr>
              <w:t>69%</w:t>
            </w:r>
          </w:p>
        </w:tc>
      </w:tr>
      <w:tr w:rsidR="001D4369" w14:paraId="7B6CE6B8" w14:textId="77777777" w:rsidTr="00A62069">
        <w:tc>
          <w:tcPr>
            <w:tcW w:w="506" w:type="pct"/>
            <w:tcBorders>
              <w:left w:val="double" w:sz="6" w:space="0" w:color="auto"/>
              <w:bottom w:val="double" w:sz="6" w:space="0" w:color="auto"/>
            </w:tcBorders>
            <w:vAlign w:val="center"/>
          </w:tcPr>
          <w:p w14:paraId="6CB8F0AF" w14:textId="77777777" w:rsidR="001D4369" w:rsidRDefault="001D4369" w:rsidP="00EF2ED1">
            <w:pPr>
              <w:spacing w:before="0" w:after="0" w:line="259" w:lineRule="auto"/>
              <w:jc w:val="right"/>
              <w:rPr>
                <w:b/>
                <w:bCs/>
                <w:sz w:val="20"/>
                <w:szCs w:val="18"/>
              </w:rPr>
            </w:pPr>
            <w:r>
              <w:rPr>
                <w:b/>
                <w:bCs/>
                <w:sz w:val="20"/>
                <w:szCs w:val="18"/>
              </w:rPr>
              <w:t>30</w:t>
            </w:r>
          </w:p>
        </w:tc>
        <w:tc>
          <w:tcPr>
            <w:tcW w:w="2210" w:type="pct"/>
            <w:tcBorders>
              <w:bottom w:val="double" w:sz="6" w:space="0" w:color="auto"/>
              <w:right w:val="double" w:sz="6" w:space="0" w:color="auto"/>
            </w:tcBorders>
            <w:vAlign w:val="center"/>
          </w:tcPr>
          <w:p w14:paraId="0DF6686E" w14:textId="77777777" w:rsidR="001D4369" w:rsidRPr="00883DC1" w:rsidRDefault="001D4369" w:rsidP="00EF2ED1">
            <w:pPr>
              <w:spacing w:before="0" w:after="0" w:line="259" w:lineRule="auto"/>
              <w:jc w:val="right"/>
              <w:rPr>
                <w:sz w:val="20"/>
                <w:szCs w:val="18"/>
              </w:rPr>
            </w:pPr>
            <w:proofErr w:type="spellStart"/>
            <w:r>
              <w:rPr>
                <w:sz w:val="20"/>
                <w:szCs w:val="18"/>
              </w:rPr>
              <w:t>Tec</w:t>
            </w:r>
            <w:proofErr w:type="spellEnd"/>
            <w:r>
              <w:rPr>
                <w:sz w:val="20"/>
                <w:szCs w:val="18"/>
              </w:rPr>
              <w:t>. Superior informático</w:t>
            </w:r>
          </w:p>
        </w:tc>
        <w:tc>
          <w:tcPr>
            <w:tcW w:w="741" w:type="pct"/>
            <w:tcBorders>
              <w:left w:val="double" w:sz="6" w:space="0" w:color="auto"/>
              <w:bottom w:val="double" w:sz="6" w:space="0" w:color="auto"/>
            </w:tcBorders>
            <w:vAlign w:val="center"/>
          </w:tcPr>
          <w:p w14:paraId="41110B5E" w14:textId="77777777" w:rsidR="001D4369" w:rsidRPr="00425BA2" w:rsidRDefault="001D4369" w:rsidP="000F4CC1">
            <w:pPr>
              <w:spacing w:before="0" w:after="0" w:line="259" w:lineRule="auto"/>
              <w:jc w:val="center"/>
              <w:rPr>
                <w:sz w:val="20"/>
                <w:szCs w:val="18"/>
              </w:rPr>
            </w:pPr>
            <w:r>
              <w:rPr>
                <w:sz w:val="20"/>
                <w:szCs w:val="18"/>
              </w:rPr>
              <w:t>47.284</w:t>
            </w:r>
          </w:p>
        </w:tc>
        <w:tc>
          <w:tcPr>
            <w:tcW w:w="749" w:type="pct"/>
            <w:tcBorders>
              <w:bottom w:val="double" w:sz="6" w:space="0" w:color="auto"/>
              <w:right w:val="double" w:sz="6" w:space="0" w:color="auto"/>
            </w:tcBorders>
            <w:shd w:val="clear" w:color="auto" w:fill="auto"/>
            <w:vAlign w:val="center"/>
          </w:tcPr>
          <w:p w14:paraId="45EDF2F5" w14:textId="77777777" w:rsidR="001D4369" w:rsidRPr="00B25800" w:rsidRDefault="001D4369" w:rsidP="000F4CC1">
            <w:pPr>
              <w:spacing w:before="0" w:after="0" w:line="259" w:lineRule="auto"/>
              <w:jc w:val="center"/>
              <w:rPr>
                <w:sz w:val="20"/>
                <w:szCs w:val="18"/>
              </w:rPr>
            </w:pPr>
            <w:r>
              <w:rPr>
                <w:sz w:val="20"/>
                <w:szCs w:val="18"/>
              </w:rPr>
              <w:t>41.754</w:t>
            </w:r>
          </w:p>
        </w:tc>
        <w:tc>
          <w:tcPr>
            <w:tcW w:w="794" w:type="pct"/>
            <w:tcBorders>
              <w:left w:val="double" w:sz="6" w:space="0" w:color="auto"/>
              <w:bottom w:val="double" w:sz="6" w:space="0" w:color="auto"/>
              <w:right w:val="double" w:sz="6" w:space="0" w:color="auto"/>
            </w:tcBorders>
            <w:vAlign w:val="center"/>
          </w:tcPr>
          <w:p w14:paraId="548E8ABA" w14:textId="77777777" w:rsidR="001D4369" w:rsidRPr="00A669F0" w:rsidRDefault="001D4369" w:rsidP="000F4CC1">
            <w:pPr>
              <w:spacing w:before="0" w:after="0" w:line="259" w:lineRule="auto"/>
              <w:jc w:val="center"/>
              <w:rPr>
                <w:sz w:val="20"/>
                <w:szCs w:val="18"/>
              </w:rPr>
            </w:pPr>
            <w:r>
              <w:rPr>
                <w:sz w:val="20"/>
                <w:szCs w:val="18"/>
              </w:rPr>
              <w:t>-13%</w:t>
            </w:r>
          </w:p>
        </w:tc>
      </w:tr>
    </w:tbl>
    <w:p w14:paraId="0048BB25" w14:textId="784F8253" w:rsidR="0020763D" w:rsidRDefault="0020763D" w:rsidP="001D4369"/>
    <w:p w14:paraId="6F0B13C4" w14:textId="6C02BA4C" w:rsidR="00332DE1" w:rsidRDefault="001D4369" w:rsidP="00983982">
      <w:pPr>
        <w:rPr>
          <w:rFonts w:cs="Arial"/>
        </w:rPr>
      </w:pPr>
      <w:r>
        <w:t xml:space="preserve">Para finalizar, valga la pena poner la atención en </w:t>
      </w:r>
      <w:r w:rsidRPr="003007B6">
        <w:rPr>
          <w:b/>
          <w:bCs/>
        </w:rPr>
        <w:t>aquellas Categorías que tienen una brecha muy elevada favorable a los hombres</w:t>
      </w:r>
      <w:r w:rsidRPr="003007B6">
        <w:rPr>
          <w:rStyle w:val="Refdenotaalpie"/>
          <w:b/>
          <w:bCs/>
        </w:rPr>
        <w:footnoteReference w:id="6"/>
      </w:r>
      <w:r w:rsidRPr="003007B6">
        <w:rPr>
          <w:b/>
          <w:bCs/>
        </w:rPr>
        <w:t>, tanto en el promedio como en la mediana.</w:t>
      </w:r>
      <w:r>
        <w:t xml:space="preserve"> Se trata generalmente de Categorías históricamente masculinizadas, asociadas a factores de desempeño vinculadas con los roles masculinos, con la salvedad de la de Profesor. Aspectos vinculados con las horas efectivamente trabajadas al año y las circunstancias profesionales de las personas que ocupan estas categorías son el origen de estas brechas. </w:t>
      </w:r>
      <w:r w:rsidR="00332DE1">
        <w:rPr>
          <w:rFonts w:cs="Arial"/>
        </w:rPr>
        <w:br w:type="page"/>
      </w:r>
    </w:p>
    <w:p w14:paraId="0A325233" w14:textId="17714259" w:rsidR="00AD4A55" w:rsidRPr="00111DC0" w:rsidRDefault="00AD4A55" w:rsidP="004B6A1B">
      <w:pPr>
        <w:pStyle w:val="Ttulo3"/>
        <w:rPr>
          <w:rFonts w:cs="Arial"/>
        </w:rPr>
      </w:pPr>
      <w:r w:rsidRPr="00111DC0">
        <w:rPr>
          <w:rFonts w:cs="Arial"/>
        </w:rPr>
        <w:t>Conclusiones</w:t>
      </w:r>
    </w:p>
    <w:p w14:paraId="60E65510" w14:textId="46A74960" w:rsidR="00AD4A55" w:rsidRPr="00111DC0" w:rsidRDefault="005A5D43" w:rsidP="00DE69A1">
      <w:pPr>
        <w:pStyle w:val="Ttulo4"/>
        <w:rPr>
          <w:rFonts w:cs="Arial"/>
        </w:rPr>
      </w:pPr>
      <w:r w:rsidRPr="00111DC0">
        <w:rPr>
          <w:rFonts w:cs="Arial"/>
        </w:rPr>
        <w:t xml:space="preserve">Fortalezas </w:t>
      </w:r>
    </w:p>
    <w:p w14:paraId="1AB6B760" w14:textId="5ABF86FE" w:rsidR="00AD4A55" w:rsidRPr="00111DC0" w:rsidRDefault="00AD4A55" w:rsidP="00AD4A55">
      <w:pPr>
        <w:rPr>
          <w:rFonts w:cs="Arial"/>
        </w:rPr>
      </w:pPr>
      <w:r w:rsidRPr="00111DC0">
        <w:rPr>
          <w:rFonts w:cs="Arial"/>
          <w:noProof/>
          <w:sz w:val="20"/>
          <w:szCs w:val="18"/>
          <w:lang w:eastAsia="es-ES"/>
        </w:rPr>
        <w:drawing>
          <wp:inline distT="0" distB="0" distL="0" distR="0" wp14:anchorId="600AD920" wp14:editId="1B3884E2">
            <wp:extent cx="299923" cy="299923"/>
            <wp:effectExtent l="0" t="0" r="0" b="0"/>
            <wp:docPr id="152" name="Gráfico 152"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220412">
        <w:rPr>
          <w:rFonts w:cs="Arial"/>
          <w:b/>
          <w:bCs/>
        </w:rPr>
        <w:t>La mayoría de las empleadas (75%) y de los empleados (92%) considera que en la Administración General de La Rioja sí se garantiza la igualdad retributiva,</w:t>
      </w:r>
      <w:r w:rsidRPr="00111DC0">
        <w:rPr>
          <w:rFonts w:cs="Arial"/>
        </w:rPr>
        <w:t xml:space="preserve"> lo que da muestras de un estado generalizado de satisfacción respecto a la cultura corporativa compartida.</w:t>
      </w:r>
      <w:r w:rsidRPr="00111DC0">
        <w:rPr>
          <w:rFonts w:cs="Arial"/>
          <w:b/>
          <w:bCs/>
        </w:rPr>
        <w:t xml:space="preserve"> </w:t>
      </w:r>
      <w:r w:rsidRPr="00111DC0">
        <w:rPr>
          <w:rFonts w:cs="Arial"/>
        </w:rPr>
        <w:t xml:space="preserve"> </w:t>
      </w:r>
    </w:p>
    <w:p w14:paraId="00AAB351" w14:textId="1DDB3FC0" w:rsidR="005B3393" w:rsidRPr="00111DC0" w:rsidRDefault="005B3393" w:rsidP="00AD4A55">
      <w:pPr>
        <w:rPr>
          <w:rFonts w:cs="Arial"/>
        </w:rPr>
      </w:pPr>
      <w:r w:rsidRPr="00111DC0">
        <w:rPr>
          <w:rFonts w:cs="Arial"/>
          <w:noProof/>
          <w:sz w:val="20"/>
          <w:szCs w:val="18"/>
          <w:lang w:eastAsia="es-ES"/>
        </w:rPr>
        <w:drawing>
          <wp:inline distT="0" distB="0" distL="0" distR="0" wp14:anchorId="3A8E8AF5" wp14:editId="0975A147">
            <wp:extent cx="299923" cy="299923"/>
            <wp:effectExtent l="0" t="0" r="0" b="0"/>
            <wp:docPr id="21" name="Gráfico 21"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220412">
        <w:rPr>
          <w:rFonts w:cs="Arial"/>
          <w:b/>
          <w:bCs/>
        </w:rPr>
        <w:t>La brecha salarial de género en las retribuciones reales de la Administración General está muy lejos del 25% del umbral</w:t>
      </w:r>
      <w:r w:rsidRPr="00111DC0">
        <w:rPr>
          <w:rFonts w:cs="Arial"/>
        </w:rPr>
        <w:t xml:space="preserve"> identificado en la normativa, tope máximo que genera la sospecha de estar siendo debido a pautas discriminatorias y que debe ser justificado objetivamente en caso de existir. </w:t>
      </w:r>
    </w:p>
    <w:p w14:paraId="09A17D59" w14:textId="24771209" w:rsidR="005B3393" w:rsidRPr="00111DC0" w:rsidRDefault="00AD4A55" w:rsidP="00AD4A55">
      <w:pPr>
        <w:rPr>
          <w:rFonts w:cs="Arial"/>
        </w:rPr>
      </w:pPr>
      <w:r w:rsidRPr="00111DC0">
        <w:rPr>
          <w:rFonts w:cs="Arial"/>
          <w:noProof/>
          <w:sz w:val="20"/>
          <w:szCs w:val="18"/>
          <w:lang w:eastAsia="es-ES"/>
        </w:rPr>
        <w:drawing>
          <wp:inline distT="0" distB="0" distL="0" distR="0" wp14:anchorId="7E62FF3D" wp14:editId="36E6C8A4">
            <wp:extent cx="299923" cy="299923"/>
            <wp:effectExtent l="0" t="0" r="0" b="0"/>
            <wp:docPr id="153" name="Gráfico 153"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220412">
        <w:rPr>
          <w:rFonts w:cs="Arial"/>
          <w:b/>
          <w:bCs/>
        </w:rPr>
        <w:t>En el personal funcionario de los Servicios Generales, no se registra brecha salarial</w:t>
      </w:r>
      <w:r w:rsidRPr="00111DC0">
        <w:rPr>
          <w:rFonts w:cs="Arial"/>
        </w:rPr>
        <w:t xml:space="preserve"> entre el colectivo de Altos cargos (0%), y es mínima en el Grupo C2 (1%). </w:t>
      </w:r>
      <w:r w:rsidR="005B3393" w:rsidRPr="00111DC0">
        <w:rPr>
          <w:rFonts w:cs="Arial"/>
        </w:rPr>
        <w:t>Los Grupos E, A1 y A2 cuentan con una brecha inferior al 10% (del 5%, 6% y 7% respectivamente).</w:t>
      </w:r>
    </w:p>
    <w:p w14:paraId="407496F1" w14:textId="004700C2" w:rsidR="00AD4A55" w:rsidRPr="00111DC0" w:rsidRDefault="005B3393" w:rsidP="00AD4A55">
      <w:pPr>
        <w:rPr>
          <w:rFonts w:cs="Arial"/>
        </w:rPr>
      </w:pPr>
      <w:r w:rsidRPr="00111DC0">
        <w:rPr>
          <w:rFonts w:cs="Arial"/>
          <w:noProof/>
          <w:sz w:val="20"/>
          <w:szCs w:val="18"/>
          <w:lang w:eastAsia="es-ES"/>
        </w:rPr>
        <w:drawing>
          <wp:inline distT="0" distB="0" distL="0" distR="0" wp14:anchorId="5CFFC163" wp14:editId="5AAADCD6">
            <wp:extent cx="299923" cy="299923"/>
            <wp:effectExtent l="0" t="0" r="0" b="0"/>
            <wp:docPr id="20" name="Gráfico 20"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00AD4A55" w:rsidRPr="00220412">
        <w:rPr>
          <w:rFonts w:cs="Arial"/>
          <w:b/>
          <w:bCs/>
        </w:rPr>
        <w:t>En</w:t>
      </w:r>
      <w:r w:rsidRPr="00220412">
        <w:rPr>
          <w:rFonts w:cs="Arial"/>
          <w:b/>
          <w:bCs/>
        </w:rPr>
        <w:t xml:space="preserve"> </w:t>
      </w:r>
      <w:r w:rsidR="00AD4A55" w:rsidRPr="00220412">
        <w:rPr>
          <w:rFonts w:cs="Arial"/>
          <w:b/>
          <w:bCs/>
        </w:rPr>
        <w:t xml:space="preserve">el personal laboral, el Grupo C2 apenas indica una diferencia salarial </w:t>
      </w:r>
      <w:r w:rsidR="00AD4A55" w:rsidRPr="00111DC0">
        <w:rPr>
          <w:rFonts w:cs="Arial"/>
        </w:rPr>
        <w:t>del 1%, y es del 2% en el Grupo C1.</w:t>
      </w:r>
    </w:p>
    <w:p w14:paraId="6451886C" w14:textId="644B382F" w:rsidR="005B3393" w:rsidRPr="00111DC0" w:rsidRDefault="005B3393" w:rsidP="001D4369"/>
    <w:p w14:paraId="327CA1B4" w14:textId="77777777" w:rsidR="00332DE1" w:rsidRDefault="00332DE1" w:rsidP="00DE69A1">
      <w:pPr>
        <w:pStyle w:val="Ttulo4"/>
        <w:rPr>
          <w:rFonts w:cs="Arial"/>
        </w:rPr>
      </w:pPr>
      <w:r>
        <w:rPr>
          <w:rFonts w:cs="Arial"/>
        </w:rPr>
        <w:br w:type="page"/>
      </w:r>
    </w:p>
    <w:p w14:paraId="6615BE20" w14:textId="4A517830" w:rsidR="005A5D43" w:rsidRPr="00111DC0" w:rsidRDefault="00AD4A55" w:rsidP="00DE69A1">
      <w:pPr>
        <w:pStyle w:val="Ttulo4"/>
        <w:rPr>
          <w:rFonts w:cs="Arial"/>
        </w:rPr>
      </w:pPr>
      <w:r w:rsidRPr="00111DC0">
        <w:rPr>
          <w:rFonts w:cs="Arial"/>
        </w:rPr>
        <w:t>Á</w:t>
      </w:r>
      <w:r w:rsidR="005A5D43" w:rsidRPr="00111DC0">
        <w:rPr>
          <w:rFonts w:cs="Arial"/>
        </w:rPr>
        <w:t>reas de mejora</w:t>
      </w:r>
    </w:p>
    <w:p w14:paraId="77E68D2A" w14:textId="054B6872" w:rsidR="00C97D7C" w:rsidRPr="00111DC0" w:rsidRDefault="00AD4A55" w:rsidP="009C06D1">
      <w:pPr>
        <w:spacing w:after="0"/>
        <w:rPr>
          <w:rFonts w:cs="Arial"/>
        </w:rPr>
      </w:pPr>
      <w:r w:rsidRPr="00111DC0">
        <w:rPr>
          <w:rFonts w:cs="Arial"/>
          <w:noProof/>
          <w:sz w:val="20"/>
          <w:szCs w:val="18"/>
          <w:lang w:eastAsia="es-ES"/>
        </w:rPr>
        <w:drawing>
          <wp:inline distT="0" distB="0" distL="0" distR="0" wp14:anchorId="434F262E" wp14:editId="4E788B80">
            <wp:extent cx="277978" cy="277978"/>
            <wp:effectExtent l="0" t="0" r="0" b="0"/>
            <wp:docPr id="151" name="Gráfico 151"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1 </w:t>
      </w:r>
      <w:r w:rsidR="009C06D1" w:rsidRPr="00220412">
        <w:rPr>
          <w:rFonts w:cs="Arial"/>
          <w:b/>
          <w:bCs/>
        </w:rPr>
        <w:t>–</w:t>
      </w:r>
      <w:r w:rsidRPr="00220412">
        <w:rPr>
          <w:rFonts w:cs="Arial"/>
          <w:b/>
          <w:bCs/>
        </w:rPr>
        <w:t xml:space="preserve"> </w:t>
      </w:r>
      <w:r w:rsidR="009C06D1" w:rsidRPr="00220412">
        <w:rPr>
          <w:rFonts w:cs="Arial"/>
          <w:b/>
          <w:bCs/>
        </w:rPr>
        <w:t>Incluso lejos del umbral del 25% de brecha salarial de género, sí s</w:t>
      </w:r>
      <w:r w:rsidRPr="00220412">
        <w:rPr>
          <w:rFonts w:cs="Arial"/>
          <w:b/>
          <w:bCs/>
        </w:rPr>
        <w:t>e aprecian diferencias salariales</w:t>
      </w:r>
      <w:r w:rsidR="009C06D1" w:rsidRPr="00220412">
        <w:rPr>
          <w:rFonts w:cs="Arial"/>
          <w:b/>
          <w:bCs/>
        </w:rPr>
        <w:t xml:space="preserve"> en las retribuciones reales</w:t>
      </w:r>
      <w:r w:rsidR="009C06D1" w:rsidRPr="00111DC0">
        <w:rPr>
          <w:rFonts w:cs="Arial"/>
        </w:rPr>
        <w:t xml:space="preserve"> totales de la Administración General, en concreto, del 14% en el funcionariado, del 6% en el personal laboral y también del 6% en el Personal Docente. Estas diferencias se deben fundamentalmente a las </w:t>
      </w:r>
      <w:r w:rsidRPr="00111DC0">
        <w:rPr>
          <w:rFonts w:cs="Arial"/>
        </w:rPr>
        <w:t>circunstancias personales y profesionales</w:t>
      </w:r>
      <w:r w:rsidR="009C06D1" w:rsidRPr="00111DC0">
        <w:rPr>
          <w:rFonts w:cs="Arial"/>
        </w:rPr>
        <w:t xml:space="preserve"> que</w:t>
      </w:r>
      <w:r w:rsidRPr="00111DC0">
        <w:rPr>
          <w:rFonts w:cs="Arial"/>
        </w:rPr>
        <w:t xml:space="preserve"> sin duda </w:t>
      </w:r>
      <w:r w:rsidR="009C06D1" w:rsidRPr="00111DC0">
        <w:rPr>
          <w:rFonts w:cs="Arial"/>
        </w:rPr>
        <w:t xml:space="preserve">están </w:t>
      </w:r>
      <w:r w:rsidRPr="00111DC0">
        <w:rPr>
          <w:rFonts w:cs="Arial"/>
        </w:rPr>
        <w:t xml:space="preserve">afectadas por el sistema de género, </w:t>
      </w:r>
      <w:r w:rsidR="009C06D1" w:rsidRPr="00111DC0">
        <w:rPr>
          <w:rFonts w:cs="Arial"/>
        </w:rPr>
        <w:t>el cual</w:t>
      </w:r>
      <w:r w:rsidRPr="00111DC0">
        <w:rPr>
          <w:rFonts w:cs="Arial"/>
        </w:rPr>
        <w:t xml:space="preserve"> concentra menor masa retributiva real en las empleadas.</w:t>
      </w:r>
    </w:p>
    <w:p w14:paraId="0CA64E48" w14:textId="77777777" w:rsidR="009C06D1" w:rsidRPr="00111DC0" w:rsidRDefault="00AD4A55" w:rsidP="00C97D7C">
      <w:pPr>
        <w:spacing w:after="0"/>
        <w:rPr>
          <w:rFonts w:cs="Arial"/>
        </w:rPr>
      </w:pPr>
      <w:r w:rsidRPr="00111DC0">
        <w:rPr>
          <w:rFonts w:cs="Arial"/>
          <w:noProof/>
          <w:sz w:val="20"/>
          <w:szCs w:val="18"/>
          <w:lang w:eastAsia="es-ES"/>
        </w:rPr>
        <w:drawing>
          <wp:inline distT="0" distB="0" distL="0" distR="0" wp14:anchorId="2B0D84A0" wp14:editId="40A5C9B0">
            <wp:extent cx="277978" cy="277978"/>
            <wp:effectExtent l="0" t="0" r="0" b="0"/>
            <wp:docPr id="154" name="Gráfico 154"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2 </w:t>
      </w:r>
      <w:r w:rsidR="009C06D1" w:rsidRPr="00220412">
        <w:rPr>
          <w:rFonts w:cs="Arial"/>
          <w:b/>
          <w:bCs/>
        </w:rPr>
        <w:t>–</w:t>
      </w:r>
      <w:r w:rsidRPr="00220412">
        <w:rPr>
          <w:rFonts w:cs="Arial"/>
          <w:b/>
          <w:bCs/>
        </w:rPr>
        <w:t xml:space="preserve"> </w:t>
      </w:r>
      <w:r w:rsidR="009C06D1" w:rsidRPr="00220412">
        <w:rPr>
          <w:rFonts w:cs="Arial"/>
          <w:b/>
          <w:bCs/>
        </w:rPr>
        <w:t>En el funcionariado de los Servicios Generales,</w:t>
      </w:r>
      <w:r w:rsidR="009C06D1" w:rsidRPr="00111DC0">
        <w:rPr>
          <w:rFonts w:cs="Arial"/>
        </w:rPr>
        <w:t xml:space="preserve"> l</w:t>
      </w:r>
      <w:r w:rsidRPr="00111DC0">
        <w:rPr>
          <w:rFonts w:cs="Arial"/>
        </w:rPr>
        <w:t xml:space="preserve">a mayor </w:t>
      </w:r>
      <w:r w:rsidR="009C06D1" w:rsidRPr="00111DC0">
        <w:rPr>
          <w:rFonts w:cs="Arial"/>
        </w:rPr>
        <w:t>brecha de género</w:t>
      </w:r>
      <w:r w:rsidRPr="00111DC0">
        <w:rPr>
          <w:rFonts w:cs="Arial"/>
        </w:rPr>
        <w:t xml:space="preserve"> en las retribuciones reales se encuentra entre el Personal eventual (13%), seguida de la del Grupo C1 (11%). </w:t>
      </w:r>
    </w:p>
    <w:p w14:paraId="6E40B0DE" w14:textId="57576BC1" w:rsidR="00AD4A55" w:rsidRPr="00111DC0" w:rsidRDefault="009C06D1" w:rsidP="00C97D7C">
      <w:pPr>
        <w:spacing w:after="0"/>
        <w:rPr>
          <w:rFonts w:cs="Arial"/>
        </w:rPr>
      </w:pPr>
      <w:r w:rsidRPr="00111DC0">
        <w:rPr>
          <w:rFonts w:cs="Arial"/>
          <w:noProof/>
          <w:sz w:val="20"/>
          <w:szCs w:val="18"/>
          <w:lang w:eastAsia="es-ES"/>
        </w:rPr>
        <w:drawing>
          <wp:inline distT="0" distB="0" distL="0" distR="0" wp14:anchorId="0E2978B0" wp14:editId="6807C38A">
            <wp:extent cx="277978" cy="277978"/>
            <wp:effectExtent l="0" t="0" r="0" b="0"/>
            <wp:docPr id="29" name="Gráfico 29"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3 </w:t>
      </w:r>
      <w:r w:rsidRPr="00220412">
        <w:rPr>
          <w:rFonts w:cs="Arial"/>
          <w:b/>
          <w:bCs/>
        </w:rPr>
        <w:t xml:space="preserve">- </w:t>
      </w:r>
      <w:r w:rsidR="00AD4A55" w:rsidRPr="00220412">
        <w:rPr>
          <w:rFonts w:cs="Arial"/>
          <w:b/>
          <w:bCs/>
        </w:rPr>
        <w:t>Entre el personal laboral,</w:t>
      </w:r>
      <w:r w:rsidR="00AD4A55" w:rsidRPr="00111DC0">
        <w:rPr>
          <w:rFonts w:cs="Arial"/>
        </w:rPr>
        <w:t xml:space="preserve"> las mayores brechas se encuentran en el Grupo A2 (16%) y en el E (12%).</w:t>
      </w:r>
    </w:p>
    <w:p w14:paraId="4FCDA759" w14:textId="5EB347BD" w:rsidR="000E78B5" w:rsidRPr="00111DC0" w:rsidRDefault="000E78B5" w:rsidP="00C97D7C">
      <w:pPr>
        <w:spacing w:after="0"/>
        <w:rPr>
          <w:rFonts w:cs="Arial"/>
        </w:rPr>
      </w:pPr>
      <w:r w:rsidRPr="00111DC0">
        <w:rPr>
          <w:rFonts w:cs="Arial"/>
          <w:noProof/>
          <w:sz w:val="20"/>
          <w:szCs w:val="18"/>
          <w:lang w:eastAsia="es-ES"/>
        </w:rPr>
        <w:drawing>
          <wp:inline distT="0" distB="0" distL="0" distR="0" wp14:anchorId="5A9C45B4" wp14:editId="382AE7AD">
            <wp:extent cx="277978" cy="277978"/>
            <wp:effectExtent l="0" t="0" r="0" b="0"/>
            <wp:docPr id="30" name="Gráfico 30"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4 </w:t>
      </w:r>
      <w:r w:rsidRPr="00220412">
        <w:rPr>
          <w:rFonts w:cs="Arial"/>
          <w:b/>
          <w:bCs/>
        </w:rPr>
        <w:t>– En el colectivo docente,</w:t>
      </w:r>
      <w:r w:rsidRPr="00111DC0">
        <w:rPr>
          <w:rFonts w:cs="Arial"/>
        </w:rPr>
        <w:t xml:space="preserve"> la brecha salarial de </w:t>
      </w:r>
      <w:r w:rsidR="001D4369" w:rsidRPr="00111DC0">
        <w:rPr>
          <w:rFonts w:cs="Arial"/>
        </w:rPr>
        <w:t>género</w:t>
      </w:r>
      <w:r w:rsidRPr="00111DC0">
        <w:rPr>
          <w:rFonts w:cs="Arial"/>
        </w:rPr>
        <w:t xml:space="preserve"> en las retribuciones reales es del 5% tanto en el Grupo A1 como en el A2.</w:t>
      </w:r>
    </w:p>
    <w:p w14:paraId="7C077556" w14:textId="7160A642" w:rsidR="00AD4A55" w:rsidRDefault="00AD4A55" w:rsidP="00C97D7C">
      <w:pPr>
        <w:spacing w:after="0"/>
        <w:rPr>
          <w:rFonts w:cs="Arial"/>
        </w:rPr>
      </w:pPr>
      <w:r w:rsidRPr="00111DC0">
        <w:rPr>
          <w:rFonts w:cs="Arial"/>
          <w:noProof/>
          <w:sz w:val="20"/>
          <w:szCs w:val="18"/>
          <w:lang w:eastAsia="es-ES"/>
        </w:rPr>
        <w:drawing>
          <wp:inline distT="0" distB="0" distL="0" distR="0" wp14:anchorId="2F04AD86" wp14:editId="6181C98A">
            <wp:extent cx="277978" cy="277978"/>
            <wp:effectExtent l="0" t="0" r="0" b="0"/>
            <wp:docPr id="155" name="Gráfico 155"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w:t>
      </w:r>
      <w:r w:rsidR="000E78B5" w:rsidRPr="00111DC0">
        <w:rPr>
          <w:rFonts w:cs="Arial"/>
        </w:rPr>
        <w:t>5</w:t>
      </w:r>
      <w:r w:rsidRPr="00111DC0">
        <w:rPr>
          <w:rFonts w:cs="Arial"/>
        </w:rPr>
        <w:t xml:space="preserve"> </w:t>
      </w:r>
      <w:r w:rsidR="002F10DF" w:rsidRPr="00220412">
        <w:rPr>
          <w:rFonts w:cs="Arial"/>
          <w:b/>
          <w:bCs/>
        </w:rPr>
        <w:t>–</w:t>
      </w:r>
      <w:r w:rsidRPr="00220412">
        <w:rPr>
          <w:rFonts w:cs="Arial"/>
          <w:b/>
          <w:bCs/>
        </w:rPr>
        <w:t xml:space="preserve"> </w:t>
      </w:r>
      <w:r w:rsidR="002F10DF" w:rsidRPr="00220412">
        <w:rPr>
          <w:rFonts w:cs="Arial"/>
          <w:b/>
          <w:bCs/>
        </w:rPr>
        <w:t>Aunque en las retribuciones reales todas las diferencias estén por debajo del 25%, s</w:t>
      </w:r>
      <w:r w:rsidRPr="00220412">
        <w:rPr>
          <w:rFonts w:cs="Arial"/>
          <w:b/>
          <w:bCs/>
        </w:rPr>
        <w:t>e precisa seguir actuando en el fomento de la igualdad estructural</w:t>
      </w:r>
      <w:r w:rsidRPr="00111DC0">
        <w:rPr>
          <w:rFonts w:cs="Arial"/>
        </w:rPr>
        <w:t xml:space="preserve"> para reducir los índices de brecha salarial</w:t>
      </w:r>
      <w:r w:rsidR="002F10DF" w:rsidRPr="00111DC0">
        <w:rPr>
          <w:rFonts w:cs="Arial"/>
        </w:rPr>
        <w:t xml:space="preserve"> de género</w:t>
      </w:r>
      <w:r w:rsidRPr="00111DC0">
        <w:rPr>
          <w:rFonts w:cs="Arial"/>
        </w:rPr>
        <w:t>, adoptando medidas en ámbitos como las percepciones y actitudes hacia los modelos de género, la segregación ocupacional</w:t>
      </w:r>
      <w:r w:rsidR="002F10DF" w:rsidRPr="00111DC0">
        <w:rPr>
          <w:rFonts w:cs="Arial"/>
        </w:rPr>
        <w:t>,</w:t>
      </w:r>
      <w:r w:rsidRPr="00111DC0">
        <w:rPr>
          <w:rFonts w:cs="Arial"/>
        </w:rPr>
        <w:t xml:space="preserve"> la corresponsabilidad de los hombres hacia los trabajos de cuidados.</w:t>
      </w:r>
    </w:p>
    <w:p w14:paraId="121FDB4A" w14:textId="6B83B366" w:rsidR="001D4369" w:rsidRDefault="001D4369" w:rsidP="001D4369">
      <w:pPr>
        <w:spacing w:after="0"/>
      </w:pPr>
      <w:r w:rsidRPr="007345E8">
        <w:rPr>
          <w:noProof/>
          <w:sz w:val="20"/>
          <w:szCs w:val="18"/>
          <w:lang w:eastAsia="es-ES"/>
        </w:rPr>
        <w:drawing>
          <wp:inline distT="0" distB="0" distL="0" distR="0" wp14:anchorId="6B2C547C" wp14:editId="1EB21881">
            <wp:extent cx="277978" cy="277978"/>
            <wp:effectExtent l="0" t="0" r="0" b="0"/>
            <wp:docPr id="38" name="Gráfico 38"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t xml:space="preserve"> 6 </w:t>
      </w:r>
      <w:r w:rsidRPr="00220412">
        <w:rPr>
          <w:b/>
          <w:bCs/>
        </w:rPr>
        <w:t>– Estudiar con perspectiva de género el método de valoración de puestos de trabajo incluido en Convenio,</w:t>
      </w:r>
      <w:r>
        <w:t xml:space="preserve"> de manera que tod</w:t>
      </w:r>
      <w:r w:rsidR="00220412">
        <w:t>a</w:t>
      </w:r>
      <w:r>
        <w:t xml:space="preserve">s las Categorías respondan a los mismos criterios y factores de análisis, y a todas ellas se les aplique un mismo sistema de ponderación que determine el número de Conceptos Salariales adscritos a la Categoría y su cuantía. </w:t>
      </w:r>
    </w:p>
    <w:p w14:paraId="2FEBEA33" w14:textId="272DCA11" w:rsidR="00FE4363" w:rsidRDefault="00FE4363" w:rsidP="001D4369">
      <w:pPr>
        <w:spacing w:after="0"/>
      </w:pPr>
      <w:r w:rsidRPr="00FE4363">
        <w:rPr>
          <w:noProof/>
          <w:lang w:eastAsia="es-ES"/>
        </w:rPr>
        <w:drawing>
          <wp:inline distT="0" distB="0" distL="0" distR="0" wp14:anchorId="6A4B0FAA" wp14:editId="5CA4CFE3">
            <wp:extent cx="277978" cy="277978"/>
            <wp:effectExtent l="0" t="0" r="0" b="0"/>
            <wp:docPr id="48" name="Gráfico 48"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FE4363">
        <w:t xml:space="preserve"> </w:t>
      </w:r>
      <w:r>
        <w:t>7</w:t>
      </w:r>
      <w:r w:rsidRPr="00FE4363">
        <w:t xml:space="preserve"> </w:t>
      </w:r>
      <w:r w:rsidRPr="00220412">
        <w:rPr>
          <w:b/>
          <w:bCs/>
        </w:rPr>
        <w:t>– Aplicar la metodología de la Auditoría retributiva al personal funcionario,</w:t>
      </w:r>
      <w:r>
        <w:t xml:space="preserve"> de manera que se pueda indagar en el alcance de las desviaciones con la misma exhaustividad que en el Personal Laboral. </w:t>
      </w:r>
    </w:p>
    <w:p w14:paraId="23D7352E" w14:textId="77777777" w:rsidR="001D4369" w:rsidRPr="00111DC0" w:rsidRDefault="001D4369" w:rsidP="00C97D7C">
      <w:pPr>
        <w:spacing w:after="0"/>
        <w:rPr>
          <w:rFonts w:cs="Arial"/>
        </w:rPr>
      </w:pPr>
    </w:p>
    <w:p w14:paraId="2324C4DB" w14:textId="77777777" w:rsidR="00AD4A55" w:rsidRPr="00111DC0" w:rsidRDefault="00AD4A55" w:rsidP="00C97D7C">
      <w:pPr>
        <w:spacing w:after="0"/>
        <w:rPr>
          <w:rFonts w:cs="Arial"/>
        </w:rPr>
      </w:pPr>
    </w:p>
    <w:p w14:paraId="3EC9DD83" w14:textId="77777777" w:rsidR="00C97D7C" w:rsidRPr="00111DC0" w:rsidRDefault="00C97D7C" w:rsidP="00C97D7C">
      <w:pPr>
        <w:spacing w:after="0"/>
        <w:rPr>
          <w:rFonts w:cs="Arial"/>
        </w:rPr>
      </w:pPr>
    </w:p>
    <w:p w14:paraId="6143B6CA" w14:textId="77777777" w:rsidR="00C97D7C" w:rsidRPr="00111DC0" w:rsidRDefault="00C97D7C" w:rsidP="00C97D7C">
      <w:pPr>
        <w:spacing w:after="0"/>
        <w:jc w:val="left"/>
        <w:rPr>
          <w:rFonts w:cs="Arial"/>
        </w:rPr>
      </w:pPr>
    </w:p>
    <w:p w14:paraId="7DC8592B" w14:textId="77777777" w:rsidR="00C97D7C" w:rsidRPr="00111DC0" w:rsidRDefault="00C97D7C" w:rsidP="00C97D7C">
      <w:pPr>
        <w:spacing w:after="0"/>
        <w:rPr>
          <w:rFonts w:cs="Arial"/>
        </w:rPr>
      </w:pPr>
    </w:p>
    <w:p w14:paraId="3C6495CA" w14:textId="77777777" w:rsidR="001E7A80" w:rsidRPr="00111DC0" w:rsidRDefault="001E7A80">
      <w:pPr>
        <w:spacing w:before="0" w:after="160" w:line="259" w:lineRule="auto"/>
        <w:jc w:val="left"/>
        <w:rPr>
          <w:rFonts w:eastAsiaTheme="majorEastAsia" w:cs="Arial"/>
          <w:iCs/>
          <w:snapToGrid w:val="0"/>
          <w:color w:val="78BE20"/>
          <w:sz w:val="30"/>
          <w:szCs w:val="28"/>
        </w:rPr>
      </w:pPr>
      <w:r w:rsidRPr="00111DC0">
        <w:rPr>
          <w:rFonts w:cs="Arial"/>
        </w:rPr>
        <w:br w:type="page"/>
      </w:r>
    </w:p>
    <w:p w14:paraId="5600117D" w14:textId="36E9444B" w:rsidR="005B24C0" w:rsidRPr="00111DC0" w:rsidRDefault="005B24C0" w:rsidP="00024B4E">
      <w:pPr>
        <w:pStyle w:val="Ttulo2"/>
      </w:pPr>
      <w:bookmarkStart w:id="21" w:name="_Toc122080795"/>
      <w:r w:rsidRPr="00111DC0">
        <w:t>Conciliación y corresponsabilidad</w:t>
      </w:r>
      <w:bookmarkEnd w:id="21"/>
    </w:p>
    <w:p w14:paraId="5B8A0E5C" w14:textId="26846BF5" w:rsidR="005D4D7B" w:rsidRPr="00111DC0" w:rsidRDefault="005D4D7B" w:rsidP="00350BA5">
      <w:pPr>
        <w:spacing w:after="0"/>
        <w:rPr>
          <w:rFonts w:cs="Arial"/>
        </w:rPr>
      </w:pPr>
    </w:p>
    <w:p w14:paraId="6311B1A5" w14:textId="466E4EBF" w:rsidR="00D8252A" w:rsidRPr="00111DC0" w:rsidRDefault="005D4D7B" w:rsidP="009F18E8">
      <w:pPr>
        <w:rPr>
          <w:rFonts w:cs="Arial"/>
        </w:rPr>
      </w:pPr>
      <w:r w:rsidRPr="00111DC0">
        <w:rPr>
          <w:rFonts w:cs="Arial"/>
        </w:rPr>
        <w:t xml:space="preserve">Uno de los aspectos en los que la </w:t>
      </w:r>
      <w:r w:rsidR="00D8252A" w:rsidRPr="00111DC0">
        <w:rPr>
          <w:rFonts w:cs="Arial"/>
        </w:rPr>
        <w:t>opinión</w:t>
      </w:r>
      <w:r w:rsidRPr="00111DC0">
        <w:rPr>
          <w:rFonts w:cs="Arial"/>
        </w:rPr>
        <w:t xml:space="preserve"> de </w:t>
      </w:r>
      <w:r w:rsidR="00D8252A" w:rsidRPr="00111DC0">
        <w:rPr>
          <w:rFonts w:cs="Arial"/>
        </w:rPr>
        <w:t>empleadas</w:t>
      </w:r>
      <w:r w:rsidRPr="00111DC0">
        <w:rPr>
          <w:rFonts w:cs="Arial"/>
        </w:rPr>
        <w:t xml:space="preserve"> y </w:t>
      </w:r>
      <w:r w:rsidR="00D8252A" w:rsidRPr="00111DC0">
        <w:rPr>
          <w:rFonts w:cs="Arial"/>
        </w:rPr>
        <w:t>empleados</w:t>
      </w:r>
      <w:r w:rsidRPr="00111DC0">
        <w:rPr>
          <w:rFonts w:cs="Arial"/>
        </w:rPr>
        <w:t xml:space="preserve"> está más alineada</w:t>
      </w:r>
      <w:r w:rsidR="006C530A" w:rsidRPr="00111DC0">
        <w:rPr>
          <w:rFonts w:cs="Arial"/>
        </w:rPr>
        <w:t xml:space="preserve"> </w:t>
      </w:r>
      <w:r w:rsidR="002F10DF" w:rsidRPr="00111DC0">
        <w:rPr>
          <w:rFonts w:cs="Arial"/>
        </w:rPr>
        <w:t>tiene que ver con la disponibilidad</w:t>
      </w:r>
      <w:r w:rsidRPr="00111DC0">
        <w:rPr>
          <w:rFonts w:cs="Arial"/>
        </w:rPr>
        <w:t xml:space="preserve"> de medidas de conciliación</w:t>
      </w:r>
      <w:r w:rsidR="009F18E8">
        <w:rPr>
          <w:rFonts w:cs="Arial"/>
        </w:rPr>
        <w:t xml:space="preserve">, aunque en ambos casos una proporción importante </w:t>
      </w:r>
      <w:r w:rsidRPr="00111DC0">
        <w:rPr>
          <w:rFonts w:cs="Arial"/>
          <w:b/>
          <w:bCs/>
        </w:rPr>
        <w:t xml:space="preserve">considera que </w:t>
      </w:r>
      <w:r w:rsidR="00D8252A" w:rsidRPr="00111DC0">
        <w:rPr>
          <w:rFonts w:cs="Arial"/>
          <w:b/>
          <w:bCs/>
        </w:rPr>
        <w:t>las medidas de conciliación no son suficientes para equilibrar adecuadamente la vida laboral, personal y familiar</w:t>
      </w:r>
      <w:r w:rsidR="00B01877">
        <w:rPr>
          <w:rFonts w:cs="Arial"/>
          <w:b/>
          <w:bCs/>
        </w:rPr>
        <w:t>:</w:t>
      </w:r>
    </w:p>
    <w:p w14:paraId="7687040B" w14:textId="6B459FC1" w:rsidR="00D8252A" w:rsidRDefault="00D8252A" w:rsidP="0020763D">
      <w:r w:rsidRPr="00111DC0">
        <w:rPr>
          <w:noProof/>
          <w:lang w:eastAsia="es-ES"/>
        </w:rPr>
        <w:drawing>
          <wp:inline distT="0" distB="0" distL="0" distR="0" wp14:anchorId="571A9B99" wp14:editId="5CBBFCD4">
            <wp:extent cx="5353050" cy="2286000"/>
            <wp:effectExtent l="0" t="0" r="0" b="0"/>
            <wp:docPr id="57" name="Gráfico 57"/>
            <wp:cNvGraphicFramePr/>
            <a:graphic xmlns:a="http://schemas.openxmlformats.org/drawingml/2006/main">
              <a:graphicData uri="http://schemas.openxmlformats.org/drawingml/2006/chart">
                <c:chart xmlns:c="http://schemas.openxmlformats.org/drawingml/2006/chart" r:id="rId60"/>
              </a:graphicData>
            </a:graphic>
          </wp:inline>
        </w:drawing>
      </w:r>
    </w:p>
    <w:p w14:paraId="690E9610" w14:textId="77777777" w:rsidR="004627AE" w:rsidRPr="00111DC0" w:rsidRDefault="004627AE" w:rsidP="0020763D"/>
    <w:p w14:paraId="4FD3BFFC" w14:textId="469A0641" w:rsidR="00CF43E8" w:rsidRPr="00111DC0" w:rsidRDefault="000E2605" w:rsidP="004B6A1B">
      <w:pPr>
        <w:pStyle w:val="Ttulo3"/>
        <w:rPr>
          <w:rFonts w:cs="Arial"/>
        </w:rPr>
      </w:pPr>
      <w:r w:rsidRPr="00111DC0">
        <w:rPr>
          <w:rFonts w:cs="Arial"/>
        </w:rPr>
        <w:t xml:space="preserve">Excedencias </w:t>
      </w:r>
    </w:p>
    <w:p w14:paraId="65A3652D" w14:textId="7B6D0995" w:rsidR="00F316B2" w:rsidRPr="00111DC0" w:rsidRDefault="009F18E8" w:rsidP="00523661">
      <w:pPr>
        <w:rPr>
          <w:rFonts w:cs="Arial"/>
        </w:rPr>
      </w:pPr>
      <w:r>
        <w:rPr>
          <w:rFonts w:cs="Arial"/>
          <w:b/>
          <w:bCs/>
        </w:rPr>
        <w:t>L</w:t>
      </w:r>
      <w:r w:rsidR="005F4410" w:rsidRPr="00111DC0">
        <w:rPr>
          <w:rFonts w:cs="Arial"/>
          <w:b/>
          <w:bCs/>
        </w:rPr>
        <w:t xml:space="preserve">a inmensa mayoría </w:t>
      </w:r>
      <w:r>
        <w:rPr>
          <w:rFonts w:cs="Arial"/>
          <w:b/>
          <w:bCs/>
        </w:rPr>
        <w:t>de las excedencias</w:t>
      </w:r>
      <w:r w:rsidRPr="009F18E8">
        <w:rPr>
          <w:rFonts w:cs="Arial"/>
          <w:b/>
          <w:bCs/>
        </w:rPr>
        <w:t xml:space="preserve"> bien sea por cuidado de familiar como por cuidado de menores,</w:t>
      </w:r>
      <w:r w:rsidRPr="00111DC0">
        <w:rPr>
          <w:rFonts w:cs="Arial"/>
        </w:rPr>
        <w:t xml:space="preserve"> </w:t>
      </w:r>
      <w:r w:rsidR="005F4410" w:rsidRPr="00111DC0">
        <w:rPr>
          <w:rFonts w:cs="Arial"/>
          <w:b/>
          <w:bCs/>
        </w:rPr>
        <w:t>son cogidas por mujeres</w:t>
      </w:r>
      <w:r>
        <w:rPr>
          <w:rFonts w:cs="Arial"/>
          <w:b/>
          <w:bCs/>
        </w:rPr>
        <w:t>:</w:t>
      </w:r>
      <w:r w:rsidR="00B65EE9" w:rsidRPr="00111DC0">
        <w:rPr>
          <w:rFonts w:cs="Arial"/>
        </w:rPr>
        <w:t xml:space="preserve"> </w:t>
      </w:r>
    </w:p>
    <w:p w14:paraId="3F772839" w14:textId="08656959" w:rsidR="009A6F21" w:rsidRPr="00111DC0" w:rsidRDefault="009A6F21" w:rsidP="00523661">
      <w:pPr>
        <w:rPr>
          <w:rFonts w:cs="Arial"/>
        </w:rPr>
      </w:pPr>
      <w:r w:rsidRPr="00111DC0">
        <w:rPr>
          <w:rFonts w:cs="Arial"/>
          <w:noProof/>
          <w:lang w:eastAsia="es-ES"/>
        </w:rPr>
        <w:drawing>
          <wp:inline distT="0" distB="0" distL="0" distR="0" wp14:anchorId="43681820" wp14:editId="2669DDCA">
            <wp:extent cx="5286375" cy="2057400"/>
            <wp:effectExtent l="0" t="0" r="0" b="0"/>
            <wp:docPr id="78" name="Gráfico 78"/>
            <wp:cNvGraphicFramePr/>
            <a:graphic xmlns:a="http://schemas.openxmlformats.org/drawingml/2006/main">
              <a:graphicData uri="http://schemas.openxmlformats.org/drawingml/2006/chart">
                <c:chart xmlns:c="http://schemas.openxmlformats.org/drawingml/2006/chart" r:id="rId61"/>
              </a:graphicData>
            </a:graphic>
          </wp:inline>
        </w:drawing>
      </w:r>
    </w:p>
    <w:p w14:paraId="531B7579" w14:textId="77777777" w:rsidR="009F18E8" w:rsidRDefault="009F18E8">
      <w:pPr>
        <w:spacing w:before="0" w:after="160" w:line="259" w:lineRule="auto"/>
        <w:jc w:val="left"/>
      </w:pPr>
      <w:r>
        <w:br w:type="page"/>
      </w:r>
    </w:p>
    <w:p w14:paraId="580E3F9E" w14:textId="39B61BE5" w:rsidR="00AF6913" w:rsidRPr="00111DC0" w:rsidRDefault="00AF6913" w:rsidP="00AF6913">
      <w:pPr>
        <w:rPr>
          <w:rFonts w:cs="Arial"/>
          <w:b/>
          <w:bCs/>
        </w:rPr>
      </w:pPr>
      <w:r w:rsidRPr="00111DC0">
        <w:rPr>
          <w:rFonts w:cs="Arial"/>
        </w:rPr>
        <w:t xml:space="preserve">Entre el Personal Docente los datos son, todavía, más abrumadores. </w:t>
      </w:r>
      <w:r w:rsidRPr="00111DC0">
        <w:rPr>
          <w:rFonts w:cs="Arial"/>
          <w:b/>
          <w:bCs/>
        </w:rPr>
        <w:t xml:space="preserve">Solo en el año 2020, y quizá como efecto de las circunstancias motivadas por la pandemia y el confinamiento, la proporción de hombres acogidos a excedencias por cuidados supera el 10%. </w:t>
      </w:r>
    </w:p>
    <w:p w14:paraId="0065632F" w14:textId="42A85954" w:rsidR="00AF6913" w:rsidRPr="00111DC0" w:rsidRDefault="00AF6913" w:rsidP="00523661">
      <w:pPr>
        <w:rPr>
          <w:rFonts w:cs="Arial"/>
        </w:rPr>
      </w:pPr>
      <w:r w:rsidRPr="00111DC0">
        <w:rPr>
          <w:rFonts w:cs="Arial"/>
          <w:noProof/>
          <w:lang w:eastAsia="es-ES"/>
        </w:rPr>
        <w:drawing>
          <wp:inline distT="0" distB="0" distL="0" distR="0" wp14:anchorId="4F77D59D" wp14:editId="1C61B411">
            <wp:extent cx="5314950" cy="2466975"/>
            <wp:effectExtent l="0" t="0" r="0" b="0"/>
            <wp:docPr id="61" name="Gráfico 61"/>
            <wp:cNvGraphicFramePr/>
            <a:graphic xmlns:a="http://schemas.openxmlformats.org/drawingml/2006/main">
              <a:graphicData uri="http://schemas.openxmlformats.org/drawingml/2006/chart">
                <c:chart xmlns:c="http://schemas.openxmlformats.org/drawingml/2006/chart" r:id="rId62"/>
              </a:graphicData>
            </a:graphic>
          </wp:inline>
        </w:drawing>
      </w:r>
    </w:p>
    <w:p w14:paraId="21A4AAE9" w14:textId="02E22498" w:rsidR="00AF6913" w:rsidRPr="00111DC0" w:rsidRDefault="00AF6913" w:rsidP="00523661">
      <w:pPr>
        <w:rPr>
          <w:rFonts w:cs="Arial"/>
        </w:rPr>
      </w:pPr>
    </w:p>
    <w:p w14:paraId="42790A13" w14:textId="77777777" w:rsidR="004C7DAC" w:rsidRDefault="002905F3" w:rsidP="00A55D5D">
      <w:pPr>
        <w:rPr>
          <w:rFonts w:cs="Arial"/>
        </w:rPr>
      </w:pPr>
      <w:r w:rsidRPr="00111DC0">
        <w:rPr>
          <w:rFonts w:cs="Arial"/>
        </w:rPr>
        <w:t>En definitiva</w:t>
      </w:r>
      <w:r w:rsidR="00012476" w:rsidRPr="00111DC0">
        <w:rPr>
          <w:rFonts w:cs="Arial"/>
        </w:rPr>
        <w:t xml:space="preserve">, </w:t>
      </w:r>
      <w:r w:rsidRPr="00111DC0">
        <w:rPr>
          <w:rFonts w:cs="Arial"/>
        </w:rPr>
        <w:t xml:space="preserve">mujeres y hombres </w:t>
      </w:r>
      <w:r w:rsidR="00012476" w:rsidRPr="004627AE">
        <w:rPr>
          <w:rFonts w:cs="Arial"/>
        </w:rPr>
        <w:t xml:space="preserve">siguen respondiendo a los roles derivados de los procesos de socialización y subjetivación de los mandatos de género, que colocan a las mujeres como principales </w:t>
      </w:r>
      <w:r w:rsidR="00A71A8C" w:rsidRPr="004627AE">
        <w:rPr>
          <w:rFonts w:cs="Arial"/>
        </w:rPr>
        <w:t>proveedoras de los cuidados familiares</w:t>
      </w:r>
      <w:r w:rsidR="00012476" w:rsidRPr="004627AE">
        <w:rPr>
          <w:rFonts w:cs="Arial"/>
        </w:rPr>
        <w:t xml:space="preserve">. </w:t>
      </w:r>
    </w:p>
    <w:p w14:paraId="0BA6AEE9" w14:textId="533DAA2E" w:rsidR="0094389F" w:rsidRDefault="004627AE" w:rsidP="00F63CCB">
      <w:pPr>
        <w:rPr>
          <w:rFonts w:cs="Arial"/>
        </w:rPr>
      </w:pPr>
      <w:r w:rsidRPr="004627AE">
        <w:rPr>
          <w:rFonts w:cs="Arial"/>
          <w:b/>
          <w:bCs/>
        </w:rPr>
        <w:t>Se vuelve</w:t>
      </w:r>
      <w:r w:rsidR="00E84BD6" w:rsidRPr="004627AE">
        <w:rPr>
          <w:rFonts w:cs="Arial"/>
          <w:b/>
          <w:bCs/>
        </w:rPr>
        <w:t xml:space="preserve"> imprescindible que en la Administración General se promueva e</w:t>
      </w:r>
      <w:r w:rsidR="000030BC" w:rsidRPr="004627AE">
        <w:rPr>
          <w:rFonts w:cs="Arial"/>
          <w:b/>
          <w:bCs/>
        </w:rPr>
        <w:t xml:space="preserve">l reparto igualitario de las responsabilidades </w:t>
      </w:r>
      <w:r w:rsidR="00DE639C" w:rsidRPr="004627AE">
        <w:rPr>
          <w:rFonts w:cs="Arial"/>
          <w:b/>
          <w:bCs/>
        </w:rPr>
        <w:t>de</w:t>
      </w:r>
      <w:r w:rsidR="000030BC" w:rsidRPr="004627AE">
        <w:rPr>
          <w:rFonts w:cs="Arial"/>
          <w:b/>
          <w:bCs/>
        </w:rPr>
        <w:t xml:space="preserve"> cuidado</w:t>
      </w:r>
      <w:r w:rsidR="00DE639C" w:rsidRPr="004627AE">
        <w:rPr>
          <w:rFonts w:cs="Arial"/>
          <w:b/>
          <w:bCs/>
        </w:rPr>
        <w:t>s</w:t>
      </w:r>
      <w:r w:rsidR="004C7DAC">
        <w:rPr>
          <w:rFonts w:cs="Arial"/>
          <w:b/>
          <w:bCs/>
        </w:rPr>
        <w:t xml:space="preserve"> mediante </w:t>
      </w:r>
      <w:r w:rsidR="004C7DAC" w:rsidRPr="00111DC0">
        <w:rPr>
          <w:rFonts w:cs="Arial"/>
          <w:b/>
          <w:bCs/>
        </w:rPr>
        <w:t xml:space="preserve">campañas de sensibilización que promuevan la corresponsabilidad y nuevos modelos de masculinidad que apunten a una </w:t>
      </w:r>
      <w:proofErr w:type="spellStart"/>
      <w:r w:rsidR="004C7DAC" w:rsidRPr="00111DC0">
        <w:rPr>
          <w:rFonts w:cs="Arial"/>
          <w:b/>
          <w:bCs/>
        </w:rPr>
        <w:t>parentalidad</w:t>
      </w:r>
      <w:proofErr w:type="spellEnd"/>
      <w:r w:rsidR="004C7DAC" w:rsidRPr="00111DC0">
        <w:rPr>
          <w:rFonts w:cs="Arial"/>
          <w:b/>
          <w:bCs/>
        </w:rPr>
        <w:t xml:space="preserve"> positiva hacia los cuidados</w:t>
      </w:r>
      <w:r w:rsidR="004C7DAC">
        <w:rPr>
          <w:rFonts w:cs="Arial"/>
        </w:rPr>
        <w:t>,</w:t>
      </w:r>
      <w:r w:rsidR="000030BC" w:rsidRPr="004627AE">
        <w:rPr>
          <w:rFonts w:cs="Arial"/>
          <w:b/>
          <w:bCs/>
        </w:rPr>
        <w:t xml:space="preserve"> </w:t>
      </w:r>
      <w:r w:rsidR="000030BC" w:rsidRPr="00111DC0">
        <w:rPr>
          <w:rFonts w:cs="Arial"/>
        </w:rPr>
        <w:t>a fin de</w:t>
      </w:r>
      <w:r w:rsidR="00260D6E" w:rsidRPr="00111DC0">
        <w:rPr>
          <w:rFonts w:cs="Arial"/>
        </w:rPr>
        <w:t xml:space="preserve"> </w:t>
      </w:r>
      <w:r w:rsidR="004C7DAC">
        <w:rPr>
          <w:rFonts w:cs="Arial"/>
        </w:rPr>
        <w:t xml:space="preserve">favorecer </w:t>
      </w:r>
      <w:r w:rsidR="00260D6E" w:rsidRPr="00111DC0">
        <w:rPr>
          <w:rFonts w:cs="Arial"/>
        </w:rPr>
        <w:t>un cambio de modelo hacia una mayor corresponsabilidad social y</w:t>
      </w:r>
      <w:r w:rsidR="000030BC" w:rsidRPr="00111DC0">
        <w:rPr>
          <w:rFonts w:cs="Arial"/>
        </w:rPr>
        <w:t xml:space="preserve"> </w:t>
      </w:r>
      <w:r w:rsidR="00260D6E" w:rsidRPr="00111DC0">
        <w:rPr>
          <w:rFonts w:cs="Arial"/>
        </w:rPr>
        <w:t xml:space="preserve">evitar </w:t>
      </w:r>
      <w:r w:rsidR="00DE639C" w:rsidRPr="00111DC0">
        <w:rPr>
          <w:rFonts w:cs="Arial"/>
        </w:rPr>
        <w:t>las</w:t>
      </w:r>
      <w:r w:rsidR="00260D6E" w:rsidRPr="00111DC0">
        <w:rPr>
          <w:rFonts w:cs="Arial"/>
        </w:rPr>
        <w:t xml:space="preserve"> repercusi</w:t>
      </w:r>
      <w:r w:rsidR="00DE639C" w:rsidRPr="00111DC0">
        <w:rPr>
          <w:rFonts w:cs="Arial"/>
        </w:rPr>
        <w:t>ones</w:t>
      </w:r>
      <w:r w:rsidR="00260D6E" w:rsidRPr="00111DC0">
        <w:rPr>
          <w:rFonts w:cs="Arial"/>
        </w:rPr>
        <w:t xml:space="preserve"> negativa</w:t>
      </w:r>
      <w:r w:rsidR="00DE639C" w:rsidRPr="00111DC0">
        <w:rPr>
          <w:rFonts w:cs="Arial"/>
        </w:rPr>
        <w:t>s</w:t>
      </w:r>
      <w:r w:rsidR="000030BC" w:rsidRPr="00111DC0">
        <w:rPr>
          <w:rFonts w:cs="Arial"/>
        </w:rPr>
        <w:t xml:space="preserve"> </w:t>
      </w:r>
      <w:r w:rsidR="00DE639C" w:rsidRPr="00111DC0">
        <w:rPr>
          <w:rFonts w:cs="Arial"/>
        </w:rPr>
        <w:t xml:space="preserve">sobre las mujeres, bien sea en lo relativo a </w:t>
      </w:r>
      <w:r w:rsidR="00260D6E" w:rsidRPr="00111DC0">
        <w:rPr>
          <w:rFonts w:cs="Arial"/>
        </w:rPr>
        <w:t>las retribuciones</w:t>
      </w:r>
      <w:r w:rsidR="00A33E8F" w:rsidRPr="00111DC0">
        <w:rPr>
          <w:rFonts w:cs="Arial"/>
        </w:rPr>
        <w:t>,</w:t>
      </w:r>
      <w:r w:rsidR="000030BC" w:rsidRPr="00111DC0">
        <w:rPr>
          <w:rFonts w:cs="Arial"/>
        </w:rPr>
        <w:t xml:space="preserve"> </w:t>
      </w:r>
      <w:r w:rsidR="00DE639C" w:rsidRPr="00111DC0">
        <w:rPr>
          <w:rFonts w:cs="Arial"/>
        </w:rPr>
        <w:t>a los usos del tiempo, a su</w:t>
      </w:r>
      <w:r w:rsidR="000030BC" w:rsidRPr="00111DC0">
        <w:rPr>
          <w:rFonts w:cs="Arial"/>
        </w:rPr>
        <w:t xml:space="preserve"> participación en espacios públicos y sociales</w:t>
      </w:r>
      <w:r w:rsidR="00DE639C" w:rsidRPr="00111DC0">
        <w:rPr>
          <w:rFonts w:cs="Arial"/>
        </w:rPr>
        <w:t xml:space="preserve"> o a</w:t>
      </w:r>
      <w:r w:rsidR="00A33E8F" w:rsidRPr="00111DC0">
        <w:rPr>
          <w:rFonts w:cs="Arial"/>
        </w:rPr>
        <w:t xml:space="preserve"> su salud integral</w:t>
      </w:r>
      <w:r w:rsidR="000030BC" w:rsidRPr="00111DC0">
        <w:rPr>
          <w:rFonts w:cs="Arial"/>
        </w:rPr>
        <w:t>.</w:t>
      </w:r>
      <w:r w:rsidR="004C7DAC">
        <w:rPr>
          <w:rFonts w:cs="Arial"/>
        </w:rPr>
        <w:t xml:space="preserve"> </w:t>
      </w:r>
    </w:p>
    <w:p w14:paraId="7FB68352" w14:textId="77777777" w:rsidR="004C7DAC" w:rsidRDefault="004C7DAC" w:rsidP="00F63CCB"/>
    <w:p w14:paraId="682CFF42" w14:textId="0D50E0E3" w:rsidR="0095375B" w:rsidRPr="00111DC0" w:rsidRDefault="000E2605" w:rsidP="004B6A1B">
      <w:pPr>
        <w:pStyle w:val="Ttulo3"/>
        <w:rPr>
          <w:rFonts w:cs="Arial"/>
        </w:rPr>
      </w:pPr>
      <w:r w:rsidRPr="00111DC0">
        <w:rPr>
          <w:rFonts w:cs="Arial"/>
        </w:rPr>
        <w:t>Teletrabajo</w:t>
      </w:r>
    </w:p>
    <w:p w14:paraId="3BDB285A" w14:textId="17539A4B" w:rsidR="006D6B32" w:rsidRPr="00111DC0" w:rsidRDefault="006D6B32" w:rsidP="0043763D">
      <w:pPr>
        <w:rPr>
          <w:rFonts w:cs="Arial"/>
        </w:rPr>
      </w:pPr>
      <w:r w:rsidRPr="00111DC0">
        <w:rPr>
          <w:rFonts w:cs="Arial"/>
          <w:b/>
          <w:bCs/>
        </w:rPr>
        <w:t xml:space="preserve">En todos los años estudiados, la ratio </w:t>
      </w:r>
      <w:r w:rsidR="00C15EA6" w:rsidRPr="00111DC0">
        <w:rPr>
          <w:rFonts w:cs="Arial"/>
          <w:b/>
          <w:bCs/>
        </w:rPr>
        <w:t xml:space="preserve">total </w:t>
      </w:r>
      <w:r w:rsidRPr="00111DC0">
        <w:rPr>
          <w:rFonts w:cs="Arial"/>
          <w:b/>
          <w:bCs/>
        </w:rPr>
        <w:t xml:space="preserve">de empleadas </w:t>
      </w:r>
      <w:r w:rsidR="00C15EA6" w:rsidRPr="00111DC0">
        <w:rPr>
          <w:rFonts w:cs="Arial"/>
          <w:b/>
          <w:bCs/>
        </w:rPr>
        <w:t xml:space="preserve">de los Servicios Generales </w:t>
      </w:r>
      <w:r w:rsidRPr="00111DC0">
        <w:rPr>
          <w:rFonts w:cs="Arial"/>
          <w:b/>
          <w:bCs/>
        </w:rPr>
        <w:t xml:space="preserve">acogidas a teletrabajo </w:t>
      </w:r>
      <w:r w:rsidR="00C15EA6" w:rsidRPr="00111DC0">
        <w:rPr>
          <w:rFonts w:cs="Arial"/>
          <w:b/>
          <w:bCs/>
        </w:rPr>
        <w:t xml:space="preserve">por cualquiera de estas dos motivaciones </w:t>
      </w:r>
      <w:r w:rsidRPr="00111DC0">
        <w:rPr>
          <w:rFonts w:cs="Arial"/>
          <w:b/>
          <w:bCs/>
        </w:rPr>
        <w:t>no ha descendido del 74%,</w:t>
      </w:r>
      <w:r w:rsidRPr="00111DC0">
        <w:rPr>
          <w:rFonts w:cs="Arial"/>
        </w:rPr>
        <w:t xml:space="preserve"> y consecuentemente la de hombres no ha superado en ningún caso el 26%. </w:t>
      </w:r>
      <w:r w:rsidR="00B14BF5" w:rsidRPr="00111DC0">
        <w:rPr>
          <w:rFonts w:cs="Arial"/>
        </w:rPr>
        <w:t>Por consiguiente, las mujeres siguen siendo las que mayoritariamente se acogen a esta</w:t>
      </w:r>
      <w:r w:rsidR="00A5198E" w:rsidRPr="00111DC0">
        <w:rPr>
          <w:rFonts w:cs="Arial"/>
        </w:rPr>
        <w:t xml:space="preserve"> como a otras</w:t>
      </w:r>
      <w:r w:rsidR="00B14BF5" w:rsidRPr="00111DC0">
        <w:rPr>
          <w:rFonts w:cs="Arial"/>
        </w:rPr>
        <w:t xml:space="preserve"> medida</w:t>
      </w:r>
      <w:r w:rsidR="00A5198E" w:rsidRPr="00111DC0">
        <w:rPr>
          <w:rFonts w:cs="Arial"/>
        </w:rPr>
        <w:t>s</w:t>
      </w:r>
      <w:r w:rsidR="00B14BF5" w:rsidRPr="00111DC0">
        <w:rPr>
          <w:rFonts w:cs="Arial"/>
        </w:rPr>
        <w:t xml:space="preserve"> de flexibilidad.</w:t>
      </w:r>
    </w:p>
    <w:p w14:paraId="494E1374" w14:textId="432F0E7A" w:rsidR="006D6B32" w:rsidRDefault="006D6B32" w:rsidP="0094389F">
      <w:r w:rsidRPr="00111DC0">
        <w:rPr>
          <w:noProof/>
          <w:lang w:eastAsia="es-ES"/>
        </w:rPr>
        <w:drawing>
          <wp:inline distT="0" distB="0" distL="0" distR="0" wp14:anchorId="0B9C0AD9" wp14:editId="5996F296">
            <wp:extent cx="5276850" cy="2390775"/>
            <wp:effectExtent l="0" t="0" r="0" b="0"/>
            <wp:docPr id="81" name="Gráfico 81"/>
            <wp:cNvGraphicFramePr/>
            <a:graphic xmlns:a="http://schemas.openxmlformats.org/drawingml/2006/main">
              <a:graphicData uri="http://schemas.openxmlformats.org/drawingml/2006/chart">
                <c:chart xmlns:c="http://schemas.openxmlformats.org/drawingml/2006/chart" r:id="rId63"/>
              </a:graphicData>
            </a:graphic>
          </wp:inline>
        </w:drawing>
      </w:r>
    </w:p>
    <w:p w14:paraId="7F4B2CFE" w14:textId="77777777" w:rsidR="0094389F" w:rsidRPr="00111DC0" w:rsidRDefault="0094389F" w:rsidP="0094389F"/>
    <w:p w14:paraId="08EDF7CB" w14:textId="77777777" w:rsidR="004C7DAC" w:rsidRDefault="00563317" w:rsidP="005528E7">
      <w:r w:rsidRPr="00111DC0">
        <w:t>Desde la perspectiva</w:t>
      </w:r>
      <w:r w:rsidR="005315D1" w:rsidRPr="00111DC0">
        <w:t xml:space="preserve"> feminista</w:t>
      </w:r>
      <w:r w:rsidRPr="00111DC0">
        <w:t xml:space="preserve">, se </w:t>
      </w:r>
      <w:r w:rsidR="004C7DAC">
        <w:t>plantea la necesidad de</w:t>
      </w:r>
      <w:r w:rsidRPr="00111DC0">
        <w:t xml:space="preserve"> </w:t>
      </w:r>
      <w:r w:rsidR="00C519BE" w:rsidRPr="00111DC0">
        <w:t>promover la corresponsabilidad de los empleados</w:t>
      </w:r>
      <w:r w:rsidR="004C7DAC">
        <w:t xml:space="preserve"> y también</w:t>
      </w:r>
      <w:r w:rsidR="00D41D01" w:rsidRPr="00111DC0">
        <w:t xml:space="preserve"> </w:t>
      </w:r>
      <w:r w:rsidRPr="00111DC0">
        <w:t xml:space="preserve">eliminar </w:t>
      </w:r>
      <w:r w:rsidR="00D41D01" w:rsidRPr="00111DC0">
        <w:t>cualquier tipo de</w:t>
      </w:r>
      <w:r w:rsidRPr="00111DC0">
        <w:t xml:space="preserve"> barrera que </w:t>
      </w:r>
      <w:r w:rsidR="00D41D01" w:rsidRPr="00111DC0">
        <w:t>pueda dificultar</w:t>
      </w:r>
      <w:r w:rsidRPr="00111DC0">
        <w:t xml:space="preserve"> el ascenso y promoción profesional a través de esta forma de trabajo</w:t>
      </w:r>
      <w:r w:rsidR="001A282F" w:rsidRPr="00111DC0">
        <w:t xml:space="preserve">. </w:t>
      </w:r>
    </w:p>
    <w:p w14:paraId="0B0D5278" w14:textId="0E6662EE" w:rsidR="00A55D5D" w:rsidRPr="00111DC0" w:rsidRDefault="00832973" w:rsidP="005528E7">
      <w:r w:rsidRPr="00111DC0">
        <w:t>En</w:t>
      </w:r>
      <w:r w:rsidR="00F20159" w:rsidRPr="00111DC0">
        <w:t xml:space="preserve"> estos términos</w:t>
      </w:r>
      <w:r w:rsidRPr="00111DC0">
        <w:t>,</w:t>
      </w:r>
      <w:r w:rsidR="00F20159" w:rsidRPr="00111DC0">
        <w:t xml:space="preserve"> se trata de expresar que,</w:t>
      </w:r>
      <w:r w:rsidRPr="00111DC0">
        <w:t xml:space="preserve"> </w:t>
      </w:r>
      <w:r w:rsidRPr="005528E7">
        <w:rPr>
          <w:b/>
          <w:bCs/>
        </w:rPr>
        <w:t xml:space="preserve">a pesar de que se evidencia la fuerza con la que pervive el rol de género vinculado a los cuidados, </w:t>
      </w:r>
      <w:r w:rsidR="00F20159" w:rsidRPr="005528E7">
        <w:rPr>
          <w:b/>
          <w:bCs/>
        </w:rPr>
        <w:t xml:space="preserve">las </w:t>
      </w:r>
      <w:r w:rsidRPr="005528E7">
        <w:rPr>
          <w:b/>
          <w:bCs/>
        </w:rPr>
        <w:t>fórmulas de trabajo flexible como</w:t>
      </w:r>
      <w:r w:rsidR="00F20159" w:rsidRPr="005528E7">
        <w:rPr>
          <w:b/>
          <w:bCs/>
        </w:rPr>
        <w:t xml:space="preserve"> </w:t>
      </w:r>
      <w:r w:rsidRPr="005528E7">
        <w:rPr>
          <w:b/>
          <w:bCs/>
        </w:rPr>
        <w:t xml:space="preserve">el teletrabajo tienen un impacto positivo en </w:t>
      </w:r>
      <w:r w:rsidR="00345AEC" w:rsidRPr="005528E7">
        <w:rPr>
          <w:b/>
          <w:bCs/>
        </w:rPr>
        <w:t>el</w:t>
      </w:r>
      <w:r w:rsidRPr="005528E7">
        <w:rPr>
          <w:b/>
          <w:bCs/>
        </w:rPr>
        <w:t xml:space="preserve"> empleo femenino</w:t>
      </w:r>
      <w:r w:rsidR="00BE3266" w:rsidRPr="00111DC0">
        <w:t>. A</w:t>
      </w:r>
      <w:r w:rsidRPr="00111DC0">
        <w:t>l permitir ajustar los tiempos y desarrollar el trabajo profesional sin tener que reducir</w:t>
      </w:r>
      <w:r w:rsidR="00345AEC" w:rsidRPr="00111DC0">
        <w:t xml:space="preserve"> necesariamente la</w:t>
      </w:r>
      <w:r w:rsidRPr="00111DC0">
        <w:t xml:space="preserve"> jornada o suspender temporalmente relaciones laborales</w:t>
      </w:r>
      <w:r w:rsidR="007A553A" w:rsidRPr="00111DC0">
        <w:t xml:space="preserve">, </w:t>
      </w:r>
      <w:r w:rsidR="00BE3266" w:rsidRPr="00111DC0">
        <w:t>se está produciendo un</w:t>
      </w:r>
      <w:r w:rsidR="00960AD5" w:rsidRPr="00111DC0">
        <w:t xml:space="preserve"> efecto </w:t>
      </w:r>
      <w:r w:rsidR="00BE3266" w:rsidRPr="00111DC0">
        <w:t>positivo</w:t>
      </w:r>
      <w:r w:rsidR="00960AD5" w:rsidRPr="00111DC0">
        <w:t xml:space="preserve"> en los</w:t>
      </w:r>
      <w:r w:rsidR="007A553A" w:rsidRPr="00111DC0">
        <w:t xml:space="preserve"> beneficios salariales y sociales</w:t>
      </w:r>
      <w:r w:rsidR="00960AD5" w:rsidRPr="00111DC0">
        <w:t xml:space="preserve"> de las </w:t>
      </w:r>
      <w:r w:rsidR="00BE3266" w:rsidRPr="00111DC0">
        <w:t>mujeres</w:t>
      </w:r>
      <w:r w:rsidRPr="00111DC0">
        <w:t>.</w:t>
      </w:r>
    </w:p>
    <w:p w14:paraId="3D36D7AA" w14:textId="77777777" w:rsidR="00D30D05" w:rsidRPr="00111DC0" w:rsidRDefault="00D30D05" w:rsidP="002A47E6"/>
    <w:p w14:paraId="33E1D18B" w14:textId="3BEB807F" w:rsidR="000E2605" w:rsidRPr="00111DC0" w:rsidRDefault="00D856C2" w:rsidP="004B6A1B">
      <w:pPr>
        <w:pStyle w:val="Ttulo3"/>
        <w:rPr>
          <w:rFonts w:cs="Arial"/>
        </w:rPr>
      </w:pPr>
      <w:r w:rsidRPr="00111DC0">
        <w:rPr>
          <w:rFonts w:cs="Arial"/>
        </w:rPr>
        <w:t>R</w:t>
      </w:r>
      <w:r w:rsidR="000E2605" w:rsidRPr="00111DC0">
        <w:rPr>
          <w:rFonts w:cs="Arial"/>
        </w:rPr>
        <w:t xml:space="preserve">educciones de jornada </w:t>
      </w:r>
    </w:p>
    <w:p w14:paraId="096A7C07" w14:textId="54A1497E" w:rsidR="000B1CEE" w:rsidRPr="00111DC0" w:rsidRDefault="00BE3266" w:rsidP="002010BA">
      <w:pPr>
        <w:rPr>
          <w:rFonts w:cs="Arial"/>
        </w:rPr>
      </w:pPr>
      <w:r w:rsidRPr="00111DC0">
        <w:rPr>
          <w:rFonts w:cs="Arial"/>
        </w:rPr>
        <w:t>E</w:t>
      </w:r>
      <w:r w:rsidR="000B1CEE" w:rsidRPr="00111DC0">
        <w:rPr>
          <w:rFonts w:cs="Arial"/>
        </w:rPr>
        <w:t xml:space="preserve">n las reducciones de jornada </w:t>
      </w:r>
      <w:r w:rsidRPr="00111DC0">
        <w:rPr>
          <w:rFonts w:cs="Arial"/>
        </w:rPr>
        <w:t>los datos son similares a los</w:t>
      </w:r>
      <w:r w:rsidR="00E076CD" w:rsidRPr="00111DC0">
        <w:rPr>
          <w:rFonts w:cs="Arial"/>
        </w:rPr>
        <w:t xml:space="preserve"> anteriores casos</w:t>
      </w:r>
      <w:r w:rsidR="000B1CEE" w:rsidRPr="00111DC0">
        <w:rPr>
          <w:rFonts w:cs="Arial"/>
        </w:rPr>
        <w:t>.</w:t>
      </w:r>
      <w:r w:rsidR="00D72EF0" w:rsidRPr="00111DC0">
        <w:rPr>
          <w:rFonts w:cs="Arial"/>
        </w:rPr>
        <w:t xml:space="preserve"> Independientemente del motivo, </w:t>
      </w:r>
      <w:r w:rsidR="00621DF5" w:rsidRPr="00111DC0">
        <w:rPr>
          <w:rFonts w:cs="Arial"/>
          <w:b/>
          <w:bCs/>
        </w:rPr>
        <w:t>las empleadas se acogen a dichas reducciones en proporciones siempre por encima del 80%.</w:t>
      </w:r>
      <w:r w:rsidR="00621DF5" w:rsidRPr="00111DC0">
        <w:rPr>
          <w:rFonts w:cs="Arial"/>
        </w:rPr>
        <w:t xml:space="preserve"> </w:t>
      </w:r>
    </w:p>
    <w:tbl>
      <w:tblPr>
        <w:tblStyle w:val="Tablaconcuadrcula"/>
        <w:tblW w:w="4938" w:type="pct"/>
        <w:tblInd w:w="108" w:type="dxa"/>
        <w:tblLook w:val="04A0" w:firstRow="1" w:lastRow="0" w:firstColumn="1" w:lastColumn="0" w:noHBand="0" w:noVBand="1"/>
      </w:tblPr>
      <w:tblGrid>
        <w:gridCol w:w="2795"/>
        <w:gridCol w:w="2038"/>
        <w:gridCol w:w="2038"/>
        <w:gridCol w:w="1741"/>
      </w:tblGrid>
      <w:tr w:rsidR="00C56F6E" w:rsidRPr="00111DC0" w14:paraId="2B9B68F8" w14:textId="77777777" w:rsidTr="006A78EF">
        <w:trPr>
          <w:trHeight w:val="744"/>
        </w:trPr>
        <w:tc>
          <w:tcPr>
            <w:tcW w:w="5000" w:type="pct"/>
            <w:gridSpan w:val="4"/>
            <w:tcBorders>
              <w:top w:val="double" w:sz="4" w:space="0" w:color="auto"/>
              <w:left w:val="double" w:sz="4" w:space="0" w:color="auto"/>
              <w:bottom w:val="double" w:sz="4" w:space="0" w:color="auto"/>
              <w:right w:val="double" w:sz="4" w:space="0" w:color="auto"/>
            </w:tcBorders>
            <w:shd w:val="clear" w:color="auto" w:fill="78BE20"/>
            <w:vAlign w:val="center"/>
          </w:tcPr>
          <w:p w14:paraId="10691D72" w14:textId="373D5C64" w:rsidR="00EA468C" w:rsidRPr="00111DC0" w:rsidRDefault="00C56F6E" w:rsidP="00B41197">
            <w:pPr>
              <w:widowControl w:val="0"/>
              <w:spacing w:before="0" w:after="0" w:line="240" w:lineRule="auto"/>
              <w:jc w:val="left"/>
              <w:rPr>
                <w:rFonts w:eastAsiaTheme="majorEastAsia" w:cs="Arial"/>
                <w:snapToGrid w:val="0"/>
                <w:color w:val="78BE20"/>
                <w:szCs w:val="26"/>
              </w:rPr>
            </w:pPr>
            <w:r w:rsidRPr="00A20210">
              <w:rPr>
                <w:rFonts w:cs="Arial"/>
                <w:b/>
                <w:bCs/>
                <w:color w:val="FFFFFF" w:themeColor="background1"/>
                <w:szCs w:val="20"/>
              </w:rPr>
              <w:t xml:space="preserve">Tabla </w:t>
            </w:r>
            <w:r w:rsidR="00A20210">
              <w:rPr>
                <w:rFonts w:cs="Arial"/>
                <w:b/>
                <w:bCs/>
                <w:color w:val="FFFFFF" w:themeColor="background1"/>
                <w:szCs w:val="20"/>
              </w:rPr>
              <w:t>19</w:t>
            </w:r>
            <w:r w:rsidRPr="00A20210">
              <w:rPr>
                <w:rFonts w:cs="Arial"/>
                <w:b/>
                <w:bCs/>
                <w:color w:val="FFFFFF" w:themeColor="background1"/>
                <w:szCs w:val="20"/>
              </w:rPr>
              <w:t>.</w:t>
            </w:r>
            <w:r w:rsidRPr="00111DC0">
              <w:rPr>
                <w:rFonts w:cs="Arial"/>
                <w:b/>
                <w:bCs/>
                <w:color w:val="FFFFFF" w:themeColor="background1"/>
                <w:szCs w:val="20"/>
              </w:rPr>
              <w:t xml:space="preserve"> </w:t>
            </w:r>
            <w:r w:rsidR="00EA468C" w:rsidRPr="00111DC0">
              <w:rPr>
                <w:rFonts w:cs="Arial"/>
                <w:b/>
                <w:bCs/>
                <w:color w:val="FFFFFF" w:themeColor="background1"/>
                <w:szCs w:val="20"/>
              </w:rPr>
              <w:t>Distribución</w:t>
            </w:r>
            <w:r w:rsidRPr="00111DC0">
              <w:rPr>
                <w:rFonts w:cs="Arial"/>
                <w:b/>
                <w:bCs/>
                <w:color w:val="FFFFFF" w:themeColor="background1"/>
                <w:szCs w:val="20"/>
              </w:rPr>
              <w:t xml:space="preserve"> </w:t>
            </w:r>
            <w:r w:rsidR="003601D5" w:rsidRPr="00111DC0">
              <w:rPr>
                <w:rFonts w:cs="Arial"/>
                <w:b/>
                <w:bCs/>
                <w:color w:val="FFFFFF" w:themeColor="background1"/>
                <w:szCs w:val="20"/>
              </w:rPr>
              <w:t>de mujeres y hombres</w:t>
            </w:r>
            <w:r w:rsidRPr="00111DC0">
              <w:rPr>
                <w:rFonts w:cs="Arial"/>
                <w:b/>
                <w:bCs/>
                <w:color w:val="FFFFFF" w:themeColor="background1"/>
                <w:szCs w:val="20"/>
              </w:rPr>
              <w:t xml:space="preserve"> en </w:t>
            </w:r>
            <w:r w:rsidR="00EA468C" w:rsidRPr="00111DC0">
              <w:rPr>
                <w:rFonts w:cs="Arial"/>
                <w:b/>
                <w:bCs/>
                <w:color w:val="FFFFFF" w:themeColor="background1"/>
                <w:szCs w:val="20"/>
              </w:rPr>
              <w:t>las reducciones</w:t>
            </w:r>
            <w:r w:rsidRPr="00111DC0">
              <w:rPr>
                <w:rFonts w:cs="Arial"/>
                <w:b/>
                <w:bCs/>
                <w:color w:val="FFFFFF" w:themeColor="background1"/>
                <w:szCs w:val="20"/>
              </w:rPr>
              <w:t xml:space="preserve"> de jornada, según motivo</w:t>
            </w:r>
            <w:r w:rsidR="00B41197" w:rsidRPr="00111DC0">
              <w:rPr>
                <w:rFonts w:cs="Arial"/>
                <w:b/>
                <w:bCs/>
                <w:color w:val="FFFFFF" w:themeColor="background1"/>
                <w:szCs w:val="20"/>
              </w:rPr>
              <w:t xml:space="preserve"> </w:t>
            </w:r>
            <w:r w:rsidR="00EA468C" w:rsidRPr="00111DC0">
              <w:rPr>
                <w:rFonts w:cs="Arial"/>
                <w:snapToGrid w:val="0"/>
                <w:color w:val="FFFFFF" w:themeColor="background1"/>
                <w:szCs w:val="20"/>
              </w:rPr>
              <w:t>(Servicios Generales)</w:t>
            </w:r>
          </w:p>
        </w:tc>
      </w:tr>
      <w:tr w:rsidR="00C56F6E" w:rsidRPr="00111DC0" w14:paraId="2445F4BC" w14:textId="77777777" w:rsidTr="00A969B7">
        <w:trPr>
          <w:trHeight w:val="413"/>
        </w:trPr>
        <w:tc>
          <w:tcPr>
            <w:tcW w:w="1623" w:type="pct"/>
            <w:tcBorders>
              <w:top w:val="double" w:sz="4" w:space="0" w:color="auto"/>
              <w:left w:val="double" w:sz="4" w:space="0" w:color="auto"/>
              <w:bottom w:val="double" w:sz="4" w:space="0" w:color="auto"/>
              <w:right w:val="double" w:sz="4" w:space="0" w:color="auto"/>
            </w:tcBorders>
            <w:vAlign w:val="center"/>
          </w:tcPr>
          <w:p w14:paraId="0DE036DD" w14:textId="2D5B6EBC" w:rsidR="00C56F6E" w:rsidRPr="00716673" w:rsidRDefault="00C56F6E" w:rsidP="00716673">
            <w:pPr>
              <w:spacing w:before="0" w:after="0" w:line="259" w:lineRule="auto"/>
              <w:jc w:val="right"/>
              <w:rPr>
                <w:rFonts w:cs="Arial"/>
                <w:sz w:val="20"/>
                <w:szCs w:val="18"/>
              </w:rPr>
            </w:pPr>
            <w:r w:rsidRPr="00716673">
              <w:rPr>
                <w:rFonts w:eastAsiaTheme="majorEastAsia" w:cs="Arial"/>
                <w:snapToGrid w:val="0"/>
                <w:color w:val="78BE20"/>
                <w:szCs w:val="26"/>
              </w:rPr>
              <w:t>Motivo</w:t>
            </w:r>
          </w:p>
        </w:tc>
        <w:tc>
          <w:tcPr>
            <w:tcW w:w="1183" w:type="pct"/>
            <w:tcBorders>
              <w:top w:val="double" w:sz="4" w:space="0" w:color="auto"/>
              <w:left w:val="double" w:sz="4" w:space="0" w:color="auto"/>
              <w:bottom w:val="double" w:sz="4" w:space="0" w:color="auto"/>
              <w:right w:val="single" w:sz="4" w:space="0" w:color="auto"/>
            </w:tcBorders>
            <w:vAlign w:val="center"/>
          </w:tcPr>
          <w:p w14:paraId="6DA57681" w14:textId="30874307" w:rsidR="00C56F6E" w:rsidRPr="00111DC0" w:rsidRDefault="00C56F6E" w:rsidP="0043763D">
            <w:pPr>
              <w:spacing w:before="0" w:after="0" w:line="259" w:lineRule="auto"/>
              <w:jc w:val="center"/>
              <w:rPr>
                <w:rFonts w:cs="Arial"/>
                <w:sz w:val="20"/>
                <w:szCs w:val="18"/>
              </w:rPr>
            </w:pPr>
            <w:r w:rsidRPr="00111DC0">
              <w:rPr>
                <w:rFonts w:cs="Arial"/>
                <w:b/>
                <w:bCs/>
                <w:sz w:val="20"/>
                <w:szCs w:val="18"/>
              </w:rPr>
              <w:t>MUJERES</w:t>
            </w:r>
          </w:p>
        </w:tc>
        <w:tc>
          <w:tcPr>
            <w:tcW w:w="1183" w:type="pct"/>
            <w:tcBorders>
              <w:top w:val="double" w:sz="4" w:space="0" w:color="auto"/>
              <w:left w:val="single" w:sz="4" w:space="0" w:color="auto"/>
              <w:bottom w:val="double" w:sz="4" w:space="0" w:color="auto"/>
              <w:right w:val="double" w:sz="4" w:space="0" w:color="auto"/>
            </w:tcBorders>
            <w:shd w:val="clear" w:color="auto" w:fill="auto"/>
            <w:vAlign w:val="center"/>
          </w:tcPr>
          <w:p w14:paraId="7FC011DE" w14:textId="5023428D" w:rsidR="00C56F6E" w:rsidRPr="00111DC0" w:rsidRDefault="00C56F6E" w:rsidP="0043763D">
            <w:pPr>
              <w:spacing w:before="0" w:after="0" w:line="259" w:lineRule="auto"/>
              <w:jc w:val="center"/>
              <w:rPr>
                <w:rFonts w:cs="Arial"/>
                <w:sz w:val="20"/>
                <w:szCs w:val="18"/>
              </w:rPr>
            </w:pPr>
            <w:r w:rsidRPr="00111DC0">
              <w:rPr>
                <w:rFonts w:cs="Arial"/>
                <w:b/>
                <w:bCs/>
                <w:sz w:val="20"/>
                <w:szCs w:val="18"/>
              </w:rPr>
              <w:t>HOMBRES</w:t>
            </w:r>
          </w:p>
        </w:tc>
        <w:tc>
          <w:tcPr>
            <w:tcW w:w="1011" w:type="pct"/>
            <w:tcBorders>
              <w:top w:val="double" w:sz="4" w:space="0" w:color="auto"/>
              <w:left w:val="double" w:sz="4" w:space="0" w:color="auto"/>
              <w:bottom w:val="double" w:sz="4" w:space="0" w:color="auto"/>
              <w:right w:val="double" w:sz="4" w:space="0" w:color="auto"/>
            </w:tcBorders>
            <w:vAlign w:val="center"/>
          </w:tcPr>
          <w:p w14:paraId="067A7E25" w14:textId="0423777E" w:rsidR="00C56F6E" w:rsidRPr="00111DC0" w:rsidRDefault="00A51D48" w:rsidP="0043763D">
            <w:pPr>
              <w:spacing w:before="0" w:after="0" w:line="259" w:lineRule="auto"/>
              <w:jc w:val="center"/>
              <w:rPr>
                <w:rFonts w:cs="Arial"/>
                <w:b/>
                <w:bCs/>
                <w:sz w:val="20"/>
                <w:szCs w:val="18"/>
              </w:rPr>
            </w:pPr>
            <w:r w:rsidRPr="00111DC0">
              <w:rPr>
                <w:rFonts w:cs="Arial"/>
                <w:b/>
                <w:bCs/>
                <w:sz w:val="20"/>
                <w:szCs w:val="18"/>
              </w:rPr>
              <w:t>TOTAL</w:t>
            </w:r>
            <w:r w:rsidR="00C56F6E" w:rsidRPr="00111DC0">
              <w:rPr>
                <w:rFonts w:cs="Arial"/>
                <w:b/>
                <w:bCs/>
                <w:sz w:val="20"/>
                <w:szCs w:val="18"/>
              </w:rPr>
              <w:t xml:space="preserve"> CASOS</w:t>
            </w:r>
          </w:p>
        </w:tc>
      </w:tr>
      <w:tr w:rsidR="00C56F6E" w:rsidRPr="00111DC0" w14:paraId="69E9A426" w14:textId="77777777" w:rsidTr="00A969B7">
        <w:tc>
          <w:tcPr>
            <w:tcW w:w="1623" w:type="pct"/>
            <w:tcBorders>
              <w:top w:val="double" w:sz="4" w:space="0" w:color="auto"/>
              <w:left w:val="double" w:sz="4" w:space="0" w:color="auto"/>
              <w:bottom w:val="single" w:sz="4" w:space="0" w:color="000000"/>
              <w:right w:val="double" w:sz="4" w:space="0" w:color="auto"/>
            </w:tcBorders>
            <w:vAlign w:val="center"/>
          </w:tcPr>
          <w:p w14:paraId="64CD1D56" w14:textId="633B094C" w:rsidR="00C56F6E" w:rsidRPr="00716673" w:rsidRDefault="00C56F6E" w:rsidP="00716673">
            <w:pPr>
              <w:spacing w:before="0" w:after="0" w:line="259" w:lineRule="auto"/>
              <w:jc w:val="right"/>
              <w:rPr>
                <w:rFonts w:cs="Arial"/>
                <w:sz w:val="20"/>
                <w:szCs w:val="18"/>
              </w:rPr>
            </w:pPr>
            <w:r w:rsidRPr="00716673">
              <w:rPr>
                <w:rFonts w:cs="Arial"/>
                <w:sz w:val="20"/>
                <w:szCs w:val="18"/>
              </w:rPr>
              <w:t>Cáncer de menor</w:t>
            </w:r>
          </w:p>
        </w:tc>
        <w:tc>
          <w:tcPr>
            <w:tcW w:w="1183" w:type="pct"/>
            <w:tcBorders>
              <w:top w:val="double" w:sz="4" w:space="0" w:color="auto"/>
              <w:left w:val="double" w:sz="4" w:space="0" w:color="auto"/>
              <w:right w:val="single" w:sz="4" w:space="0" w:color="auto"/>
            </w:tcBorders>
            <w:vAlign w:val="center"/>
          </w:tcPr>
          <w:p w14:paraId="2BEB52AC" w14:textId="7C66009F" w:rsidR="00C56F6E" w:rsidRPr="00111DC0" w:rsidRDefault="004F68AA" w:rsidP="0043763D">
            <w:pPr>
              <w:spacing w:before="0" w:after="0" w:line="259" w:lineRule="auto"/>
              <w:jc w:val="center"/>
              <w:rPr>
                <w:rFonts w:cs="Arial"/>
                <w:sz w:val="20"/>
                <w:szCs w:val="18"/>
              </w:rPr>
            </w:pPr>
            <w:r w:rsidRPr="00111DC0">
              <w:rPr>
                <w:rFonts w:cs="Arial"/>
                <w:sz w:val="20"/>
                <w:szCs w:val="18"/>
              </w:rPr>
              <w:t>100%</w:t>
            </w:r>
          </w:p>
        </w:tc>
        <w:tc>
          <w:tcPr>
            <w:tcW w:w="1183" w:type="pct"/>
            <w:tcBorders>
              <w:top w:val="double" w:sz="4" w:space="0" w:color="auto"/>
              <w:left w:val="single" w:sz="4" w:space="0" w:color="auto"/>
              <w:right w:val="double" w:sz="4" w:space="0" w:color="auto"/>
            </w:tcBorders>
            <w:shd w:val="clear" w:color="auto" w:fill="auto"/>
            <w:vAlign w:val="center"/>
          </w:tcPr>
          <w:p w14:paraId="7DCF4F92" w14:textId="48133069" w:rsidR="00C56F6E" w:rsidRPr="00111DC0" w:rsidRDefault="004F68AA" w:rsidP="0043763D">
            <w:pPr>
              <w:spacing w:before="0" w:after="0" w:line="259" w:lineRule="auto"/>
              <w:jc w:val="center"/>
              <w:rPr>
                <w:rFonts w:cs="Arial"/>
                <w:sz w:val="20"/>
                <w:szCs w:val="18"/>
              </w:rPr>
            </w:pPr>
            <w:r w:rsidRPr="00111DC0">
              <w:rPr>
                <w:rFonts w:cs="Arial"/>
                <w:sz w:val="20"/>
                <w:szCs w:val="18"/>
              </w:rPr>
              <w:t>0%</w:t>
            </w:r>
          </w:p>
        </w:tc>
        <w:tc>
          <w:tcPr>
            <w:tcW w:w="1011" w:type="pct"/>
            <w:tcBorders>
              <w:top w:val="double" w:sz="4" w:space="0" w:color="auto"/>
              <w:left w:val="double" w:sz="4" w:space="0" w:color="auto"/>
              <w:right w:val="double" w:sz="4" w:space="0" w:color="auto"/>
            </w:tcBorders>
            <w:vAlign w:val="center"/>
          </w:tcPr>
          <w:p w14:paraId="152C91FF" w14:textId="797E43E8" w:rsidR="00C56F6E" w:rsidRPr="00111DC0" w:rsidRDefault="00A51D48" w:rsidP="0043763D">
            <w:pPr>
              <w:spacing w:before="0" w:after="0" w:line="259" w:lineRule="auto"/>
              <w:jc w:val="center"/>
              <w:rPr>
                <w:rFonts w:cs="Arial"/>
                <w:sz w:val="20"/>
                <w:szCs w:val="18"/>
              </w:rPr>
            </w:pPr>
            <w:r w:rsidRPr="00111DC0">
              <w:rPr>
                <w:rFonts w:cs="Arial"/>
                <w:sz w:val="20"/>
                <w:szCs w:val="18"/>
              </w:rPr>
              <w:t>3</w:t>
            </w:r>
          </w:p>
        </w:tc>
      </w:tr>
      <w:tr w:rsidR="004F68AA" w:rsidRPr="00111DC0" w14:paraId="3DCDA093" w14:textId="77777777" w:rsidTr="00A969B7">
        <w:tc>
          <w:tcPr>
            <w:tcW w:w="1623" w:type="pct"/>
            <w:tcBorders>
              <w:top w:val="single" w:sz="4" w:space="0" w:color="000000"/>
              <w:left w:val="double" w:sz="4" w:space="0" w:color="auto"/>
              <w:bottom w:val="single" w:sz="4" w:space="0" w:color="000000"/>
              <w:right w:val="double" w:sz="4" w:space="0" w:color="auto"/>
            </w:tcBorders>
            <w:vAlign w:val="center"/>
          </w:tcPr>
          <w:p w14:paraId="434B2EB4" w14:textId="10E88421" w:rsidR="00C56F6E" w:rsidRPr="00716673" w:rsidRDefault="00C56F6E" w:rsidP="00716673">
            <w:pPr>
              <w:spacing w:before="0" w:after="0" w:line="259" w:lineRule="auto"/>
              <w:jc w:val="right"/>
              <w:rPr>
                <w:rFonts w:cs="Arial"/>
                <w:sz w:val="20"/>
                <w:szCs w:val="18"/>
              </w:rPr>
            </w:pPr>
            <w:r w:rsidRPr="00716673">
              <w:rPr>
                <w:rFonts w:cs="Arial"/>
                <w:sz w:val="20"/>
                <w:szCs w:val="18"/>
              </w:rPr>
              <w:t>Cuidado familiar</w:t>
            </w:r>
          </w:p>
        </w:tc>
        <w:tc>
          <w:tcPr>
            <w:tcW w:w="1183" w:type="pct"/>
            <w:tcBorders>
              <w:left w:val="double" w:sz="4" w:space="0" w:color="auto"/>
              <w:bottom w:val="single" w:sz="4" w:space="0" w:color="000000"/>
              <w:right w:val="single" w:sz="4" w:space="0" w:color="auto"/>
            </w:tcBorders>
            <w:vAlign w:val="center"/>
          </w:tcPr>
          <w:p w14:paraId="364B949F" w14:textId="62E1C374" w:rsidR="00C56F6E" w:rsidRPr="00111DC0" w:rsidRDefault="004F68AA" w:rsidP="0043763D">
            <w:pPr>
              <w:spacing w:before="0" w:after="0" w:line="259" w:lineRule="auto"/>
              <w:jc w:val="center"/>
              <w:rPr>
                <w:rFonts w:cs="Arial"/>
                <w:sz w:val="20"/>
                <w:szCs w:val="18"/>
              </w:rPr>
            </w:pPr>
            <w:r w:rsidRPr="00111DC0">
              <w:rPr>
                <w:rFonts w:cs="Arial"/>
                <w:sz w:val="20"/>
                <w:szCs w:val="18"/>
              </w:rPr>
              <w:t>80%</w:t>
            </w:r>
          </w:p>
        </w:tc>
        <w:tc>
          <w:tcPr>
            <w:tcW w:w="1183" w:type="pct"/>
            <w:tcBorders>
              <w:left w:val="single" w:sz="4" w:space="0" w:color="auto"/>
              <w:right w:val="double" w:sz="4" w:space="0" w:color="auto"/>
            </w:tcBorders>
            <w:shd w:val="clear" w:color="auto" w:fill="auto"/>
            <w:vAlign w:val="center"/>
          </w:tcPr>
          <w:p w14:paraId="0C915A74" w14:textId="70BE638F" w:rsidR="00C56F6E" w:rsidRPr="00111DC0" w:rsidRDefault="004F68AA" w:rsidP="0043763D">
            <w:pPr>
              <w:spacing w:before="0" w:after="0" w:line="259" w:lineRule="auto"/>
              <w:jc w:val="center"/>
              <w:rPr>
                <w:rFonts w:cs="Arial"/>
                <w:sz w:val="20"/>
                <w:szCs w:val="18"/>
              </w:rPr>
            </w:pPr>
            <w:r w:rsidRPr="00111DC0">
              <w:rPr>
                <w:rFonts w:cs="Arial"/>
                <w:sz w:val="20"/>
                <w:szCs w:val="18"/>
              </w:rPr>
              <w:t>20%</w:t>
            </w:r>
          </w:p>
        </w:tc>
        <w:tc>
          <w:tcPr>
            <w:tcW w:w="1011" w:type="pct"/>
            <w:tcBorders>
              <w:left w:val="double" w:sz="4" w:space="0" w:color="auto"/>
              <w:right w:val="double" w:sz="4" w:space="0" w:color="auto"/>
            </w:tcBorders>
            <w:vAlign w:val="center"/>
          </w:tcPr>
          <w:p w14:paraId="3F47BA94" w14:textId="273A431D" w:rsidR="00C56F6E" w:rsidRPr="00111DC0" w:rsidRDefault="00A51D48" w:rsidP="0043763D">
            <w:pPr>
              <w:spacing w:before="0" w:after="0" w:line="259" w:lineRule="auto"/>
              <w:jc w:val="center"/>
              <w:rPr>
                <w:rFonts w:cs="Arial"/>
                <w:sz w:val="20"/>
                <w:szCs w:val="18"/>
              </w:rPr>
            </w:pPr>
            <w:r w:rsidRPr="00111DC0">
              <w:rPr>
                <w:rFonts w:cs="Arial"/>
                <w:sz w:val="20"/>
                <w:szCs w:val="18"/>
              </w:rPr>
              <w:t>15</w:t>
            </w:r>
          </w:p>
        </w:tc>
      </w:tr>
      <w:tr w:rsidR="004F68AA" w:rsidRPr="00111DC0" w14:paraId="21014BCD" w14:textId="77777777" w:rsidTr="00A969B7">
        <w:tc>
          <w:tcPr>
            <w:tcW w:w="1623" w:type="pct"/>
            <w:tcBorders>
              <w:top w:val="single" w:sz="4" w:space="0" w:color="000000"/>
              <w:left w:val="double" w:sz="4" w:space="0" w:color="auto"/>
              <w:bottom w:val="single" w:sz="4" w:space="0" w:color="000000"/>
              <w:right w:val="double" w:sz="4" w:space="0" w:color="auto"/>
            </w:tcBorders>
            <w:vAlign w:val="center"/>
          </w:tcPr>
          <w:p w14:paraId="1495F4F5" w14:textId="34472CB5" w:rsidR="00C56F6E" w:rsidRPr="00716673" w:rsidRDefault="00134591" w:rsidP="00716673">
            <w:pPr>
              <w:spacing w:before="0" w:after="0" w:line="259" w:lineRule="auto"/>
              <w:jc w:val="right"/>
              <w:rPr>
                <w:rFonts w:cs="Arial"/>
                <w:sz w:val="20"/>
                <w:szCs w:val="18"/>
              </w:rPr>
            </w:pPr>
            <w:r w:rsidRPr="00716673">
              <w:rPr>
                <w:rFonts w:cs="Arial"/>
                <w:sz w:val="20"/>
                <w:szCs w:val="18"/>
              </w:rPr>
              <w:t>Guardia legal menores</w:t>
            </w:r>
          </w:p>
        </w:tc>
        <w:tc>
          <w:tcPr>
            <w:tcW w:w="1183" w:type="pct"/>
            <w:tcBorders>
              <w:top w:val="single" w:sz="4" w:space="0" w:color="000000"/>
              <w:left w:val="double" w:sz="4" w:space="0" w:color="auto"/>
              <w:right w:val="single" w:sz="4" w:space="0" w:color="auto"/>
            </w:tcBorders>
            <w:vAlign w:val="center"/>
          </w:tcPr>
          <w:p w14:paraId="57E30E67" w14:textId="5651D6A2" w:rsidR="00C56F6E" w:rsidRPr="00111DC0" w:rsidRDefault="004F68AA" w:rsidP="0043763D">
            <w:pPr>
              <w:spacing w:before="0" w:after="0" w:line="259" w:lineRule="auto"/>
              <w:jc w:val="center"/>
              <w:rPr>
                <w:rFonts w:cs="Arial"/>
                <w:sz w:val="20"/>
                <w:szCs w:val="18"/>
              </w:rPr>
            </w:pPr>
            <w:r w:rsidRPr="00111DC0">
              <w:rPr>
                <w:rFonts w:cs="Arial"/>
                <w:sz w:val="20"/>
                <w:szCs w:val="18"/>
              </w:rPr>
              <w:t>90%</w:t>
            </w:r>
          </w:p>
        </w:tc>
        <w:tc>
          <w:tcPr>
            <w:tcW w:w="1183" w:type="pct"/>
            <w:tcBorders>
              <w:left w:val="single" w:sz="4" w:space="0" w:color="auto"/>
              <w:right w:val="double" w:sz="4" w:space="0" w:color="auto"/>
            </w:tcBorders>
            <w:shd w:val="clear" w:color="auto" w:fill="auto"/>
            <w:vAlign w:val="center"/>
          </w:tcPr>
          <w:p w14:paraId="3CAC767C" w14:textId="47331ADF" w:rsidR="00C56F6E" w:rsidRPr="00111DC0" w:rsidRDefault="004F68AA" w:rsidP="0043763D">
            <w:pPr>
              <w:spacing w:before="0" w:after="0" w:line="259" w:lineRule="auto"/>
              <w:jc w:val="center"/>
              <w:rPr>
                <w:rFonts w:cs="Arial"/>
                <w:sz w:val="20"/>
                <w:szCs w:val="18"/>
              </w:rPr>
            </w:pPr>
            <w:r w:rsidRPr="00111DC0">
              <w:rPr>
                <w:rFonts w:cs="Arial"/>
                <w:sz w:val="20"/>
                <w:szCs w:val="18"/>
              </w:rPr>
              <w:t>10%</w:t>
            </w:r>
          </w:p>
        </w:tc>
        <w:tc>
          <w:tcPr>
            <w:tcW w:w="1011" w:type="pct"/>
            <w:tcBorders>
              <w:left w:val="double" w:sz="4" w:space="0" w:color="auto"/>
              <w:right w:val="double" w:sz="4" w:space="0" w:color="auto"/>
            </w:tcBorders>
            <w:vAlign w:val="center"/>
          </w:tcPr>
          <w:p w14:paraId="3F4A508F" w14:textId="0CB8C24F" w:rsidR="00C56F6E" w:rsidRPr="00111DC0" w:rsidRDefault="00A51D48" w:rsidP="0043763D">
            <w:pPr>
              <w:spacing w:before="0" w:after="0" w:line="259" w:lineRule="auto"/>
              <w:jc w:val="center"/>
              <w:rPr>
                <w:rFonts w:cs="Arial"/>
                <w:sz w:val="20"/>
                <w:szCs w:val="18"/>
              </w:rPr>
            </w:pPr>
            <w:r w:rsidRPr="00111DC0">
              <w:rPr>
                <w:rFonts w:cs="Arial"/>
                <w:sz w:val="20"/>
                <w:szCs w:val="18"/>
              </w:rPr>
              <w:t>128</w:t>
            </w:r>
          </w:p>
        </w:tc>
      </w:tr>
      <w:tr w:rsidR="004F68AA" w:rsidRPr="00111DC0" w14:paraId="1D74C1FC" w14:textId="77777777" w:rsidTr="00A969B7">
        <w:tc>
          <w:tcPr>
            <w:tcW w:w="1623" w:type="pct"/>
            <w:tcBorders>
              <w:top w:val="single" w:sz="4" w:space="0" w:color="000000"/>
              <w:left w:val="double" w:sz="4" w:space="0" w:color="auto"/>
              <w:bottom w:val="single" w:sz="4" w:space="0" w:color="000000"/>
              <w:right w:val="double" w:sz="4" w:space="0" w:color="auto"/>
            </w:tcBorders>
            <w:vAlign w:val="center"/>
          </w:tcPr>
          <w:p w14:paraId="49C5C6BF" w14:textId="3BB8F65E" w:rsidR="00C56F6E" w:rsidRPr="00716673" w:rsidRDefault="00C56F6E" w:rsidP="00716673">
            <w:pPr>
              <w:spacing w:before="0" w:after="0" w:line="259" w:lineRule="auto"/>
              <w:jc w:val="right"/>
              <w:rPr>
                <w:rFonts w:cs="Arial"/>
                <w:sz w:val="20"/>
                <w:szCs w:val="18"/>
              </w:rPr>
            </w:pPr>
            <w:r w:rsidRPr="00716673">
              <w:rPr>
                <w:rFonts w:cs="Arial"/>
                <w:sz w:val="20"/>
                <w:szCs w:val="18"/>
              </w:rPr>
              <w:t>Enfermedad propia</w:t>
            </w:r>
          </w:p>
        </w:tc>
        <w:tc>
          <w:tcPr>
            <w:tcW w:w="1183" w:type="pct"/>
            <w:tcBorders>
              <w:left w:val="double" w:sz="4" w:space="0" w:color="auto"/>
              <w:right w:val="single" w:sz="4" w:space="0" w:color="auto"/>
            </w:tcBorders>
            <w:vAlign w:val="center"/>
          </w:tcPr>
          <w:p w14:paraId="43666DF8" w14:textId="67FA4E88" w:rsidR="00C56F6E" w:rsidRPr="00111DC0" w:rsidRDefault="004F68AA" w:rsidP="0043763D">
            <w:pPr>
              <w:spacing w:before="0" w:after="0" w:line="259" w:lineRule="auto"/>
              <w:jc w:val="center"/>
              <w:rPr>
                <w:rFonts w:cs="Arial"/>
                <w:sz w:val="20"/>
                <w:szCs w:val="18"/>
              </w:rPr>
            </w:pPr>
            <w:r w:rsidRPr="00111DC0">
              <w:rPr>
                <w:rFonts w:cs="Arial"/>
                <w:sz w:val="20"/>
                <w:szCs w:val="18"/>
              </w:rPr>
              <w:t>100%</w:t>
            </w:r>
          </w:p>
        </w:tc>
        <w:tc>
          <w:tcPr>
            <w:tcW w:w="1183" w:type="pct"/>
            <w:tcBorders>
              <w:left w:val="single" w:sz="4" w:space="0" w:color="auto"/>
              <w:right w:val="double" w:sz="4" w:space="0" w:color="auto"/>
            </w:tcBorders>
            <w:shd w:val="clear" w:color="auto" w:fill="auto"/>
            <w:vAlign w:val="center"/>
          </w:tcPr>
          <w:p w14:paraId="4B95A21A" w14:textId="5E603225" w:rsidR="00C56F6E" w:rsidRPr="00111DC0" w:rsidRDefault="004F68AA" w:rsidP="0043763D">
            <w:pPr>
              <w:spacing w:before="0" w:after="0" w:line="259" w:lineRule="auto"/>
              <w:jc w:val="center"/>
              <w:rPr>
                <w:rFonts w:cs="Arial"/>
                <w:sz w:val="20"/>
                <w:szCs w:val="18"/>
              </w:rPr>
            </w:pPr>
            <w:r w:rsidRPr="00111DC0">
              <w:rPr>
                <w:rFonts w:cs="Arial"/>
                <w:sz w:val="20"/>
                <w:szCs w:val="18"/>
              </w:rPr>
              <w:t>0%</w:t>
            </w:r>
          </w:p>
        </w:tc>
        <w:tc>
          <w:tcPr>
            <w:tcW w:w="1011" w:type="pct"/>
            <w:tcBorders>
              <w:left w:val="double" w:sz="4" w:space="0" w:color="auto"/>
              <w:right w:val="double" w:sz="4" w:space="0" w:color="auto"/>
            </w:tcBorders>
            <w:vAlign w:val="center"/>
          </w:tcPr>
          <w:p w14:paraId="4678A593" w14:textId="2703164F" w:rsidR="00C56F6E" w:rsidRPr="00111DC0" w:rsidRDefault="00A51D48" w:rsidP="0043763D">
            <w:pPr>
              <w:spacing w:before="0" w:after="0" w:line="259" w:lineRule="auto"/>
              <w:jc w:val="center"/>
              <w:rPr>
                <w:rFonts w:cs="Arial"/>
                <w:sz w:val="20"/>
                <w:szCs w:val="18"/>
              </w:rPr>
            </w:pPr>
            <w:r w:rsidRPr="00111DC0">
              <w:rPr>
                <w:rFonts w:cs="Arial"/>
                <w:sz w:val="20"/>
                <w:szCs w:val="18"/>
              </w:rPr>
              <w:t>4</w:t>
            </w:r>
          </w:p>
        </w:tc>
      </w:tr>
      <w:tr w:rsidR="004F68AA" w:rsidRPr="00111DC0" w14:paraId="325D69B5" w14:textId="77777777" w:rsidTr="00A969B7">
        <w:tc>
          <w:tcPr>
            <w:tcW w:w="1623" w:type="pct"/>
            <w:tcBorders>
              <w:top w:val="single" w:sz="4" w:space="0" w:color="000000"/>
              <w:left w:val="double" w:sz="4" w:space="0" w:color="auto"/>
              <w:bottom w:val="double" w:sz="4" w:space="0" w:color="auto"/>
              <w:right w:val="double" w:sz="4" w:space="0" w:color="auto"/>
            </w:tcBorders>
            <w:vAlign w:val="center"/>
          </w:tcPr>
          <w:p w14:paraId="2342A243" w14:textId="3F60964F" w:rsidR="00C56F6E" w:rsidRPr="00716673" w:rsidRDefault="00C56F6E" w:rsidP="00716673">
            <w:pPr>
              <w:spacing w:before="0" w:after="0" w:line="259" w:lineRule="auto"/>
              <w:jc w:val="right"/>
              <w:rPr>
                <w:rFonts w:cs="Arial"/>
                <w:sz w:val="20"/>
                <w:szCs w:val="18"/>
              </w:rPr>
            </w:pPr>
            <w:r w:rsidRPr="00716673">
              <w:rPr>
                <w:rFonts w:cs="Arial"/>
                <w:sz w:val="20"/>
                <w:szCs w:val="18"/>
              </w:rPr>
              <w:t>Interés particular</w:t>
            </w:r>
          </w:p>
        </w:tc>
        <w:tc>
          <w:tcPr>
            <w:tcW w:w="1183" w:type="pct"/>
            <w:tcBorders>
              <w:left w:val="double" w:sz="4" w:space="0" w:color="auto"/>
              <w:bottom w:val="double" w:sz="4" w:space="0" w:color="auto"/>
              <w:right w:val="single" w:sz="4" w:space="0" w:color="auto"/>
            </w:tcBorders>
            <w:vAlign w:val="center"/>
          </w:tcPr>
          <w:p w14:paraId="4E57A347" w14:textId="2A7FBD38" w:rsidR="00C56F6E" w:rsidRPr="00111DC0" w:rsidRDefault="004F68AA" w:rsidP="0043763D">
            <w:pPr>
              <w:spacing w:before="0" w:after="0" w:line="259" w:lineRule="auto"/>
              <w:jc w:val="center"/>
              <w:rPr>
                <w:rFonts w:cs="Arial"/>
                <w:sz w:val="20"/>
                <w:szCs w:val="18"/>
              </w:rPr>
            </w:pPr>
            <w:r w:rsidRPr="00111DC0">
              <w:rPr>
                <w:rFonts w:cs="Arial"/>
                <w:sz w:val="20"/>
                <w:szCs w:val="18"/>
              </w:rPr>
              <w:t>90%</w:t>
            </w:r>
          </w:p>
        </w:tc>
        <w:tc>
          <w:tcPr>
            <w:tcW w:w="1183" w:type="pct"/>
            <w:tcBorders>
              <w:left w:val="single" w:sz="4" w:space="0" w:color="auto"/>
              <w:bottom w:val="double" w:sz="4" w:space="0" w:color="auto"/>
              <w:right w:val="double" w:sz="4" w:space="0" w:color="auto"/>
            </w:tcBorders>
            <w:shd w:val="clear" w:color="auto" w:fill="auto"/>
            <w:vAlign w:val="center"/>
          </w:tcPr>
          <w:p w14:paraId="131FCAD0" w14:textId="5B5DDE41" w:rsidR="00C56F6E" w:rsidRPr="00111DC0" w:rsidRDefault="004F68AA" w:rsidP="0043763D">
            <w:pPr>
              <w:spacing w:before="0" w:after="0" w:line="259" w:lineRule="auto"/>
              <w:jc w:val="center"/>
              <w:rPr>
                <w:rFonts w:cs="Arial"/>
                <w:sz w:val="20"/>
                <w:szCs w:val="18"/>
              </w:rPr>
            </w:pPr>
            <w:r w:rsidRPr="00111DC0">
              <w:rPr>
                <w:rFonts w:cs="Arial"/>
                <w:sz w:val="20"/>
                <w:szCs w:val="18"/>
              </w:rPr>
              <w:t>10%</w:t>
            </w:r>
          </w:p>
        </w:tc>
        <w:tc>
          <w:tcPr>
            <w:tcW w:w="1011" w:type="pct"/>
            <w:tcBorders>
              <w:left w:val="double" w:sz="4" w:space="0" w:color="auto"/>
              <w:bottom w:val="double" w:sz="4" w:space="0" w:color="auto"/>
              <w:right w:val="double" w:sz="4" w:space="0" w:color="auto"/>
            </w:tcBorders>
            <w:vAlign w:val="center"/>
          </w:tcPr>
          <w:p w14:paraId="45B4563E" w14:textId="6E6B26BE" w:rsidR="00C56F6E" w:rsidRPr="00111DC0" w:rsidRDefault="00A51D48" w:rsidP="0043763D">
            <w:pPr>
              <w:spacing w:before="0" w:after="0" w:line="259" w:lineRule="auto"/>
              <w:jc w:val="center"/>
              <w:rPr>
                <w:rFonts w:cs="Arial"/>
                <w:sz w:val="20"/>
                <w:szCs w:val="18"/>
              </w:rPr>
            </w:pPr>
            <w:r w:rsidRPr="00111DC0">
              <w:rPr>
                <w:rFonts w:cs="Arial"/>
                <w:sz w:val="20"/>
                <w:szCs w:val="18"/>
              </w:rPr>
              <w:t>10</w:t>
            </w:r>
          </w:p>
        </w:tc>
      </w:tr>
    </w:tbl>
    <w:p w14:paraId="6F15B1EF" w14:textId="77777777" w:rsidR="00C56F6E" w:rsidRPr="00111DC0" w:rsidRDefault="00C56F6E" w:rsidP="000B1CEE">
      <w:pPr>
        <w:spacing w:line="280" w:lineRule="exact"/>
        <w:rPr>
          <w:rFonts w:eastAsia="Helvetica Neue" w:cs="Arial"/>
        </w:rPr>
      </w:pPr>
    </w:p>
    <w:p w14:paraId="7A5934AF" w14:textId="03BAAF21" w:rsidR="00605BD8" w:rsidRPr="00111DC0" w:rsidRDefault="009C020B" w:rsidP="002010BA">
      <w:pPr>
        <w:rPr>
          <w:rFonts w:cs="Arial"/>
        </w:rPr>
      </w:pPr>
      <w:r w:rsidRPr="00111DC0">
        <w:rPr>
          <w:rFonts w:cs="Arial"/>
          <w:b/>
          <w:bCs/>
        </w:rPr>
        <w:t xml:space="preserve">Así, los datos evidencian reiteradamente </w:t>
      </w:r>
      <w:r w:rsidR="00B41197" w:rsidRPr="00111DC0">
        <w:rPr>
          <w:rFonts w:cs="Arial"/>
          <w:b/>
          <w:bCs/>
        </w:rPr>
        <w:t>que</w:t>
      </w:r>
      <w:r w:rsidRPr="00111DC0">
        <w:rPr>
          <w:rFonts w:cs="Arial"/>
          <w:b/>
          <w:bCs/>
        </w:rPr>
        <w:t xml:space="preserve"> son las mujeres las que se acogen a todas </w:t>
      </w:r>
      <w:r w:rsidR="00B41197" w:rsidRPr="00111DC0">
        <w:rPr>
          <w:rFonts w:cs="Arial"/>
          <w:b/>
          <w:bCs/>
        </w:rPr>
        <w:t>las</w:t>
      </w:r>
      <w:r w:rsidRPr="00111DC0">
        <w:rPr>
          <w:rFonts w:cs="Arial"/>
          <w:b/>
          <w:bCs/>
        </w:rPr>
        <w:t xml:space="preserve"> medidas que </w:t>
      </w:r>
      <w:r w:rsidR="001A7920" w:rsidRPr="00111DC0">
        <w:rPr>
          <w:rFonts w:cs="Arial"/>
          <w:b/>
          <w:bCs/>
        </w:rPr>
        <w:t xml:space="preserve">facilitan la respuesta a las responsabilidades de cuidados en el entorno familiar. </w:t>
      </w:r>
      <w:r w:rsidR="008E5634" w:rsidRPr="00111DC0">
        <w:rPr>
          <w:rFonts w:cs="Arial"/>
        </w:rPr>
        <w:t xml:space="preserve">Esta realidad </w:t>
      </w:r>
      <w:r w:rsidR="00C014F9" w:rsidRPr="00111DC0">
        <w:rPr>
          <w:rFonts w:cs="Arial"/>
        </w:rPr>
        <w:t xml:space="preserve">hace posible hablar de circunstancias como la “doble jornada”, estrechamente </w:t>
      </w:r>
      <w:r w:rsidR="00CF4EC2" w:rsidRPr="00111DC0">
        <w:rPr>
          <w:rFonts w:cs="Arial"/>
        </w:rPr>
        <w:t>vinculada</w:t>
      </w:r>
      <w:r w:rsidR="00C014F9" w:rsidRPr="00111DC0">
        <w:rPr>
          <w:rFonts w:cs="Arial"/>
        </w:rPr>
        <w:t xml:space="preserve"> con la </w:t>
      </w:r>
      <w:r w:rsidR="00CF4EC2" w:rsidRPr="00111DC0">
        <w:rPr>
          <w:rFonts w:cs="Arial"/>
        </w:rPr>
        <w:t>expectativa</w:t>
      </w:r>
      <w:r w:rsidR="00C014F9" w:rsidRPr="00111DC0">
        <w:rPr>
          <w:rFonts w:cs="Arial"/>
        </w:rPr>
        <w:t xml:space="preserve"> de género de que son las mujeres las mejores y</w:t>
      </w:r>
      <w:r w:rsidR="00CF4EC2" w:rsidRPr="00111DC0">
        <w:rPr>
          <w:rFonts w:cs="Arial"/>
        </w:rPr>
        <w:t xml:space="preserve"> principales garantes del bienestar familiar</w:t>
      </w:r>
      <w:r w:rsidR="00B41197" w:rsidRPr="00111DC0">
        <w:rPr>
          <w:rFonts w:cs="Arial"/>
        </w:rPr>
        <w:t xml:space="preserve"> por medio de la provisión de cuidados. </w:t>
      </w:r>
    </w:p>
    <w:p w14:paraId="37188F75" w14:textId="75430350" w:rsidR="009826B0" w:rsidRPr="00111DC0" w:rsidRDefault="007F12DF" w:rsidP="002010BA">
      <w:pPr>
        <w:rPr>
          <w:rFonts w:cs="Arial"/>
        </w:rPr>
      </w:pPr>
      <w:r w:rsidRPr="00111DC0">
        <w:rPr>
          <w:rFonts w:cs="Arial"/>
          <w:b/>
          <w:bCs/>
        </w:rPr>
        <w:t xml:space="preserve">Entre el </w:t>
      </w:r>
      <w:r w:rsidR="00832653" w:rsidRPr="00111DC0">
        <w:rPr>
          <w:rFonts w:cs="Arial"/>
          <w:b/>
          <w:bCs/>
        </w:rPr>
        <w:t>Personal Docente</w:t>
      </w:r>
      <w:r w:rsidRPr="00111DC0">
        <w:rPr>
          <w:rFonts w:cs="Arial"/>
          <w:b/>
          <w:bCs/>
        </w:rPr>
        <w:t xml:space="preserve"> se repite este escenario</w:t>
      </w:r>
      <w:r w:rsidR="004C7DAC">
        <w:rPr>
          <w:rFonts w:cs="Arial"/>
          <w:b/>
          <w:bCs/>
        </w:rPr>
        <w:t xml:space="preserve">, hecho que puede </w:t>
      </w:r>
      <w:r w:rsidR="004C7DAC" w:rsidRPr="00111DC0">
        <w:rPr>
          <w:rFonts w:cs="Arial"/>
        </w:rPr>
        <w:t>contribuir a la socialización diferenciada por razón de género que se trasmite desde el entorno educativo como parte del proceso socializador las niñas y niños</w:t>
      </w:r>
      <w:r w:rsidR="00EA468C" w:rsidRPr="00111DC0">
        <w:rPr>
          <w:rFonts w:cs="Arial"/>
          <w:b/>
          <w:bCs/>
        </w:rPr>
        <w:t xml:space="preserve">: </w:t>
      </w:r>
    </w:p>
    <w:tbl>
      <w:tblPr>
        <w:tblStyle w:val="Tablaconcuadrcula"/>
        <w:tblW w:w="4938" w:type="pct"/>
        <w:tblInd w:w="108" w:type="dxa"/>
        <w:tblLook w:val="04A0" w:firstRow="1" w:lastRow="0" w:firstColumn="1" w:lastColumn="0" w:noHBand="0" w:noVBand="1"/>
      </w:tblPr>
      <w:tblGrid>
        <w:gridCol w:w="2795"/>
        <w:gridCol w:w="2038"/>
        <w:gridCol w:w="2038"/>
        <w:gridCol w:w="1741"/>
      </w:tblGrid>
      <w:tr w:rsidR="002010BA" w:rsidRPr="00111DC0" w14:paraId="16F20441" w14:textId="77777777" w:rsidTr="006A78EF">
        <w:trPr>
          <w:trHeight w:val="744"/>
        </w:trPr>
        <w:tc>
          <w:tcPr>
            <w:tcW w:w="5000" w:type="pct"/>
            <w:gridSpan w:val="4"/>
            <w:tcBorders>
              <w:top w:val="double" w:sz="4" w:space="0" w:color="auto"/>
              <w:left w:val="double" w:sz="4" w:space="0" w:color="auto"/>
              <w:bottom w:val="double" w:sz="4" w:space="0" w:color="auto"/>
              <w:right w:val="double" w:sz="4" w:space="0" w:color="auto"/>
            </w:tcBorders>
            <w:shd w:val="clear" w:color="auto" w:fill="78BE20"/>
            <w:vAlign w:val="center"/>
          </w:tcPr>
          <w:p w14:paraId="091F75AC" w14:textId="35670806" w:rsidR="002010BA" w:rsidRPr="00111DC0" w:rsidRDefault="00A20210" w:rsidP="009826B0">
            <w:pPr>
              <w:widowControl w:val="0"/>
              <w:spacing w:before="0" w:after="0" w:line="240" w:lineRule="auto"/>
              <w:jc w:val="left"/>
              <w:rPr>
                <w:rFonts w:eastAsiaTheme="majorEastAsia" w:cs="Arial"/>
                <w:snapToGrid w:val="0"/>
                <w:color w:val="78BE20"/>
                <w:szCs w:val="26"/>
              </w:rPr>
            </w:pPr>
            <w:r w:rsidRPr="00A20210">
              <w:rPr>
                <w:rFonts w:cs="Arial"/>
                <w:b/>
                <w:bCs/>
                <w:color w:val="FFFFFF" w:themeColor="background1"/>
                <w:szCs w:val="20"/>
              </w:rPr>
              <w:t xml:space="preserve">Tabla </w:t>
            </w:r>
            <w:r>
              <w:rPr>
                <w:rFonts w:cs="Arial"/>
                <w:b/>
                <w:bCs/>
                <w:color w:val="FFFFFF" w:themeColor="background1"/>
                <w:szCs w:val="20"/>
              </w:rPr>
              <w:t>20</w:t>
            </w:r>
            <w:r w:rsidRPr="00A20210">
              <w:rPr>
                <w:rFonts w:cs="Arial"/>
                <w:b/>
                <w:bCs/>
                <w:color w:val="FFFFFF" w:themeColor="background1"/>
                <w:szCs w:val="20"/>
              </w:rPr>
              <w:t>.</w:t>
            </w:r>
            <w:r w:rsidRPr="00111DC0">
              <w:rPr>
                <w:rFonts w:cs="Arial"/>
                <w:b/>
                <w:bCs/>
                <w:color w:val="FFFFFF" w:themeColor="background1"/>
                <w:szCs w:val="20"/>
              </w:rPr>
              <w:t xml:space="preserve"> </w:t>
            </w:r>
            <w:r w:rsidR="002010BA" w:rsidRPr="00111DC0">
              <w:rPr>
                <w:rFonts w:cs="Arial"/>
                <w:b/>
                <w:bCs/>
                <w:color w:val="FFFFFF" w:themeColor="background1"/>
                <w:szCs w:val="20"/>
              </w:rPr>
              <w:t xml:space="preserve">Distribución </w:t>
            </w:r>
            <w:r w:rsidR="003601D5" w:rsidRPr="00A20210">
              <w:rPr>
                <w:rFonts w:cs="Arial"/>
                <w:b/>
                <w:bCs/>
                <w:color w:val="FFFFFF" w:themeColor="background1"/>
                <w:szCs w:val="20"/>
              </w:rPr>
              <w:t>de mujeres y</w:t>
            </w:r>
            <w:r w:rsidR="003601D5" w:rsidRPr="00111DC0">
              <w:rPr>
                <w:rFonts w:cs="Arial"/>
              </w:rPr>
              <w:t xml:space="preserve"> </w:t>
            </w:r>
            <w:r w:rsidR="003601D5" w:rsidRPr="00A20210">
              <w:rPr>
                <w:rFonts w:cs="Arial"/>
                <w:b/>
                <w:bCs/>
                <w:color w:val="FFFFFF" w:themeColor="background1"/>
                <w:szCs w:val="20"/>
              </w:rPr>
              <w:t>hombres</w:t>
            </w:r>
            <w:r w:rsidR="003601D5" w:rsidRPr="00111DC0">
              <w:rPr>
                <w:rFonts w:cs="Arial"/>
              </w:rPr>
              <w:t xml:space="preserve"> </w:t>
            </w:r>
            <w:r w:rsidR="002010BA" w:rsidRPr="00111DC0">
              <w:rPr>
                <w:rFonts w:cs="Arial"/>
                <w:b/>
                <w:bCs/>
                <w:color w:val="FFFFFF" w:themeColor="background1"/>
                <w:szCs w:val="20"/>
              </w:rPr>
              <w:t>en las reducciones de jornada, según motivo</w:t>
            </w:r>
            <w:r w:rsidR="009826B0" w:rsidRPr="00111DC0">
              <w:rPr>
                <w:rFonts w:cs="Arial"/>
                <w:b/>
                <w:bCs/>
                <w:color w:val="FFFFFF" w:themeColor="background1"/>
                <w:szCs w:val="20"/>
              </w:rPr>
              <w:t xml:space="preserve"> </w:t>
            </w:r>
            <w:r w:rsidR="00134591" w:rsidRPr="00111DC0">
              <w:rPr>
                <w:rFonts w:cs="Arial"/>
                <w:snapToGrid w:val="0"/>
                <w:color w:val="FFFFFF" w:themeColor="background1"/>
                <w:szCs w:val="20"/>
              </w:rPr>
              <w:t>(Personal Docente)</w:t>
            </w:r>
          </w:p>
        </w:tc>
      </w:tr>
      <w:tr w:rsidR="002010BA" w:rsidRPr="00111DC0" w14:paraId="6A6A5B25" w14:textId="77777777" w:rsidTr="006A78EF">
        <w:trPr>
          <w:trHeight w:val="413"/>
        </w:trPr>
        <w:tc>
          <w:tcPr>
            <w:tcW w:w="1623" w:type="pct"/>
            <w:tcBorders>
              <w:top w:val="double" w:sz="4" w:space="0" w:color="auto"/>
              <w:left w:val="double" w:sz="4" w:space="0" w:color="auto"/>
              <w:bottom w:val="double" w:sz="4" w:space="0" w:color="auto"/>
              <w:right w:val="double" w:sz="4" w:space="0" w:color="auto"/>
            </w:tcBorders>
            <w:vAlign w:val="center"/>
          </w:tcPr>
          <w:p w14:paraId="5D99F100" w14:textId="77777777" w:rsidR="002010BA" w:rsidRPr="00A969B7" w:rsidRDefault="002010BA" w:rsidP="00A969B7">
            <w:pPr>
              <w:spacing w:before="0" w:after="0" w:line="259" w:lineRule="auto"/>
              <w:jc w:val="right"/>
              <w:rPr>
                <w:rFonts w:cs="Arial"/>
                <w:sz w:val="20"/>
                <w:szCs w:val="18"/>
              </w:rPr>
            </w:pPr>
            <w:r w:rsidRPr="00A969B7">
              <w:rPr>
                <w:rFonts w:eastAsiaTheme="majorEastAsia" w:cs="Arial"/>
                <w:snapToGrid w:val="0"/>
                <w:color w:val="78BE20"/>
                <w:szCs w:val="26"/>
              </w:rPr>
              <w:t>Motivo</w:t>
            </w:r>
          </w:p>
        </w:tc>
        <w:tc>
          <w:tcPr>
            <w:tcW w:w="1183" w:type="pct"/>
            <w:tcBorders>
              <w:top w:val="double" w:sz="4" w:space="0" w:color="auto"/>
              <w:left w:val="double" w:sz="4" w:space="0" w:color="auto"/>
              <w:bottom w:val="double" w:sz="4" w:space="0" w:color="auto"/>
            </w:tcBorders>
            <w:vAlign w:val="center"/>
          </w:tcPr>
          <w:p w14:paraId="75BF8076" w14:textId="77777777" w:rsidR="002010BA" w:rsidRPr="00111DC0" w:rsidRDefault="002010BA" w:rsidP="000F4CC1">
            <w:pPr>
              <w:spacing w:before="0" w:after="0" w:line="259" w:lineRule="auto"/>
              <w:jc w:val="center"/>
              <w:rPr>
                <w:rFonts w:cs="Arial"/>
                <w:sz w:val="20"/>
                <w:szCs w:val="18"/>
              </w:rPr>
            </w:pPr>
            <w:r w:rsidRPr="00111DC0">
              <w:rPr>
                <w:rFonts w:cs="Arial"/>
                <w:b/>
                <w:bCs/>
                <w:sz w:val="20"/>
                <w:szCs w:val="18"/>
              </w:rPr>
              <w:t>MUJERES</w:t>
            </w:r>
          </w:p>
        </w:tc>
        <w:tc>
          <w:tcPr>
            <w:tcW w:w="1183" w:type="pct"/>
            <w:tcBorders>
              <w:top w:val="double" w:sz="4" w:space="0" w:color="auto"/>
              <w:bottom w:val="double" w:sz="4" w:space="0" w:color="auto"/>
              <w:right w:val="double" w:sz="4" w:space="0" w:color="auto"/>
            </w:tcBorders>
            <w:shd w:val="clear" w:color="auto" w:fill="auto"/>
            <w:vAlign w:val="center"/>
          </w:tcPr>
          <w:p w14:paraId="4EB02B8C" w14:textId="77777777" w:rsidR="002010BA" w:rsidRPr="00111DC0" w:rsidRDefault="002010BA" w:rsidP="000F4CC1">
            <w:pPr>
              <w:spacing w:before="0" w:after="0" w:line="259" w:lineRule="auto"/>
              <w:jc w:val="center"/>
              <w:rPr>
                <w:rFonts w:cs="Arial"/>
                <w:sz w:val="20"/>
                <w:szCs w:val="18"/>
              </w:rPr>
            </w:pPr>
            <w:r w:rsidRPr="00111DC0">
              <w:rPr>
                <w:rFonts w:cs="Arial"/>
                <w:b/>
                <w:bCs/>
                <w:sz w:val="20"/>
                <w:szCs w:val="18"/>
              </w:rPr>
              <w:t>HOMBRES</w:t>
            </w:r>
          </w:p>
        </w:tc>
        <w:tc>
          <w:tcPr>
            <w:tcW w:w="1010" w:type="pct"/>
            <w:tcBorders>
              <w:top w:val="double" w:sz="4" w:space="0" w:color="auto"/>
              <w:left w:val="double" w:sz="4" w:space="0" w:color="auto"/>
              <w:bottom w:val="double" w:sz="4" w:space="0" w:color="auto"/>
              <w:right w:val="double" w:sz="4" w:space="0" w:color="auto"/>
            </w:tcBorders>
            <w:vAlign w:val="center"/>
          </w:tcPr>
          <w:p w14:paraId="57837D4A" w14:textId="77777777" w:rsidR="002010BA" w:rsidRPr="00111DC0" w:rsidRDefault="002010BA" w:rsidP="000F4CC1">
            <w:pPr>
              <w:spacing w:before="0" w:after="0" w:line="259" w:lineRule="auto"/>
              <w:jc w:val="center"/>
              <w:rPr>
                <w:rFonts w:cs="Arial"/>
                <w:b/>
                <w:bCs/>
                <w:sz w:val="20"/>
                <w:szCs w:val="18"/>
              </w:rPr>
            </w:pPr>
            <w:r w:rsidRPr="00111DC0">
              <w:rPr>
                <w:rFonts w:cs="Arial"/>
                <w:b/>
                <w:bCs/>
                <w:sz w:val="20"/>
                <w:szCs w:val="18"/>
              </w:rPr>
              <w:t>TOTAL CASOS</w:t>
            </w:r>
          </w:p>
        </w:tc>
      </w:tr>
      <w:tr w:rsidR="002010BA" w:rsidRPr="00111DC0" w14:paraId="5009D87F" w14:textId="77777777" w:rsidTr="006A78EF">
        <w:tc>
          <w:tcPr>
            <w:tcW w:w="1623" w:type="pct"/>
            <w:tcBorders>
              <w:top w:val="double" w:sz="4" w:space="0" w:color="auto"/>
              <w:left w:val="double" w:sz="4" w:space="0" w:color="auto"/>
              <w:bottom w:val="single" w:sz="4" w:space="0" w:color="000000"/>
              <w:right w:val="double" w:sz="4" w:space="0" w:color="auto"/>
            </w:tcBorders>
            <w:vAlign w:val="center"/>
          </w:tcPr>
          <w:p w14:paraId="0D377D6D" w14:textId="77777777" w:rsidR="002010BA" w:rsidRPr="00A969B7" w:rsidRDefault="002010BA" w:rsidP="00A969B7">
            <w:pPr>
              <w:spacing w:before="0" w:after="0" w:line="259" w:lineRule="auto"/>
              <w:jc w:val="right"/>
              <w:rPr>
                <w:rFonts w:cs="Arial"/>
                <w:sz w:val="20"/>
                <w:szCs w:val="18"/>
              </w:rPr>
            </w:pPr>
            <w:r w:rsidRPr="00A969B7">
              <w:rPr>
                <w:rFonts w:cs="Arial"/>
                <w:sz w:val="20"/>
                <w:szCs w:val="18"/>
              </w:rPr>
              <w:t>Cáncer de menor</w:t>
            </w:r>
          </w:p>
        </w:tc>
        <w:tc>
          <w:tcPr>
            <w:tcW w:w="1183" w:type="pct"/>
            <w:tcBorders>
              <w:top w:val="double" w:sz="4" w:space="0" w:color="auto"/>
              <w:left w:val="double" w:sz="4" w:space="0" w:color="auto"/>
            </w:tcBorders>
            <w:vAlign w:val="center"/>
          </w:tcPr>
          <w:p w14:paraId="24D3700D" w14:textId="77777777" w:rsidR="002010BA" w:rsidRPr="00111DC0" w:rsidRDefault="002010BA" w:rsidP="000F4CC1">
            <w:pPr>
              <w:spacing w:before="0" w:after="0" w:line="259" w:lineRule="auto"/>
              <w:jc w:val="center"/>
              <w:rPr>
                <w:rFonts w:cs="Arial"/>
                <w:sz w:val="20"/>
                <w:szCs w:val="18"/>
              </w:rPr>
            </w:pPr>
            <w:r w:rsidRPr="00111DC0">
              <w:rPr>
                <w:rFonts w:cs="Arial"/>
                <w:sz w:val="20"/>
                <w:szCs w:val="18"/>
              </w:rPr>
              <w:t>100%</w:t>
            </w:r>
          </w:p>
        </w:tc>
        <w:tc>
          <w:tcPr>
            <w:tcW w:w="1183" w:type="pct"/>
            <w:tcBorders>
              <w:top w:val="double" w:sz="4" w:space="0" w:color="auto"/>
              <w:right w:val="double" w:sz="4" w:space="0" w:color="auto"/>
            </w:tcBorders>
            <w:shd w:val="clear" w:color="auto" w:fill="auto"/>
            <w:vAlign w:val="center"/>
          </w:tcPr>
          <w:p w14:paraId="5E7E7810" w14:textId="77777777" w:rsidR="002010BA" w:rsidRPr="00111DC0" w:rsidRDefault="002010BA" w:rsidP="000F4CC1">
            <w:pPr>
              <w:spacing w:before="0" w:after="0" w:line="259" w:lineRule="auto"/>
              <w:jc w:val="center"/>
              <w:rPr>
                <w:rFonts w:cs="Arial"/>
                <w:sz w:val="20"/>
                <w:szCs w:val="18"/>
              </w:rPr>
            </w:pPr>
            <w:r w:rsidRPr="00111DC0">
              <w:rPr>
                <w:rFonts w:cs="Arial"/>
                <w:sz w:val="20"/>
                <w:szCs w:val="18"/>
              </w:rPr>
              <w:t>0%</w:t>
            </w:r>
          </w:p>
        </w:tc>
        <w:tc>
          <w:tcPr>
            <w:tcW w:w="1010" w:type="pct"/>
            <w:tcBorders>
              <w:top w:val="double" w:sz="4" w:space="0" w:color="auto"/>
              <w:left w:val="double" w:sz="4" w:space="0" w:color="auto"/>
              <w:right w:val="double" w:sz="4" w:space="0" w:color="auto"/>
            </w:tcBorders>
            <w:vAlign w:val="center"/>
          </w:tcPr>
          <w:p w14:paraId="34D0F9BF" w14:textId="7CA03919" w:rsidR="002010BA" w:rsidRPr="00111DC0" w:rsidRDefault="00714255" w:rsidP="000F4CC1">
            <w:pPr>
              <w:spacing w:before="0" w:after="0" w:line="259" w:lineRule="auto"/>
              <w:jc w:val="center"/>
              <w:rPr>
                <w:rFonts w:cs="Arial"/>
                <w:sz w:val="20"/>
                <w:szCs w:val="18"/>
              </w:rPr>
            </w:pPr>
            <w:r w:rsidRPr="00111DC0">
              <w:rPr>
                <w:rFonts w:cs="Arial"/>
                <w:sz w:val="20"/>
                <w:szCs w:val="18"/>
              </w:rPr>
              <w:t>2</w:t>
            </w:r>
          </w:p>
        </w:tc>
      </w:tr>
      <w:tr w:rsidR="002010BA" w:rsidRPr="00111DC0" w14:paraId="631A0DA6" w14:textId="77777777" w:rsidTr="006A78EF">
        <w:tc>
          <w:tcPr>
            <w:tcW w:w="1623" w:type="pct"/>
            <w:tcBorders>
              <w:top w:val="single" w:sz="4" w:space="0" w:color="000000"/>
              <w:left w:val="double" w:sz="4" w:space="0" w:color="auto"/>
              <w:bottom w:val="single" w:sz="4" w:space="0" w:color="000000"/>
              <w:right w:val="double" w:sz="4" w:space="0" w:color="auto"/>
            </w:tcBorders>
            <w:vAlign w:val="center"/>
          </w:tcPr>
          <w:p w14:paraId="24C35E40" w14:textId="77777777" w:rsidR="002010BA" w:rsidRPr="00A969B7" w:rsidRDefault="002010BA" w:rsidP="00A969B7">
            <w:pPr>
              <w:spacing w:before="0" w:after="0" w:line="259" w:lineRule="auto"/>
              <w:jc w:val="right"/>
              <w:rPr>
                <w:rFonts w:cs="Arial"/>
                <w:sz w:val="20"/>
                <w:szCs w:val="18"/>
              </w:rPr>
            </w:pPr>
            <w:r w:rsidRPr="00A969B7">
              <w:rPr>
                <w:rFonts w:cs="Arial"/>
                <w:sz w:val="20"/>
                <w:szCs w:val="18"/>
              </w:rPr>
              <w:t>Cuidado familiar</w:t>
            </w:r>
          </w:p>
        </w:tc>
        <w:tc>
          <w:tcPr>
            <w:tcW w:w="1183" w:type="pct"/>
            <w:tcBorders>
              <w:left w:val="double" w:sz="4" w:space="0" w:color="auto"/>
              <w:bottom w:val="single" w:sz="4" w:space="0" w:color="000000"/>
            </w:tcBorders>
            <w:vAlign w:val="center"/>
          </w:tcPr>
          <w:p w14:paraId="7603761E" w14:textId="141AB4E0" w:rsidR="002010BA" w:rsidRPr="00111DC0" w:rsidRDefault="00134591" w:rsidP="000F4CC1">
            <w:pPr>
              <w:spacing w:before="0" w:after="0" w:line="259" w:lineRule="auto"/>
              <w:jc w:val="center"/>
              <w:rPr>
                <w:rFonts w:cs="Arial"/>
                <w:sz w:val="20"/>
                <w:szCs w:val="18"/>
              </w:rPr>
            </w:pPr>
            <w:r w:rsidRPr="00111DC0">
              <w:rPr>
                <w:rFonts w:cs="Arial"/>
                <w:sz w:val="20"/>
                <w:szCs w:val="18"/>
              </w:rPr>
              <w:t>10</w:t>
            </w:r>
            <w:r w:rsidR="002010BA" w:rsidRPr="00111DC0">
              <w:rPr>
                <w:rFonts w:cs="Arial"/>
                <w:sz w:val="20"/>
                <w:szCs w:val="18"/>
              </w:rPr>
              <w:t>0%</w:t>
            </w:r>
          </w:p>
        </w:tc>
        <w:tc>
          <w:tcPr>
            <w:tcW w:w="1183" w:type="pct"/>
            <w:tcBorders>
              <w:right w:val="double" w:sz="4" w:space="0" w:color="auto"/>
            </w:tcBorders>
            <w:shd w:val="clear" w:color="auto" w:fill="auto"/>
            <w:vAlign w:val="center"/>
          </w:tcPr>
          <w:p w14:paraId="7DD757ED" w14:textId="5F99C253" w:rsidR="002010BA" w:rsidRPr="00111DC0" w:rsidRDefault="002010BA" w:rsidP="000F4CC1">
            <w:pPr>
              <w:spacing w:before="0" w:after="0" w:line="259" w:lineRule="auto"/>
              <w:jc w:val="center"/>
              <w:rPr>
                <w:rFonts w:cs="Arial"/>
                <w:sz w:val="20"/>
                <w:szCs w:val="18"/>
              </w:rPr>
            </w:pPr>
            <w:r w:rsidRPr="00111DC0">
              <w:rPr>
                <w:rFonts w:cs="Arial"/>
                <w:sz w:val="20"/>
                <w:szCs w:val="18"/>
              </w:rPr>
              <w:t>0%</w:t>
            </w:r>
          </w:p>
        </w:tc>
        <w:tc>
          <w:tcPr>
            <w:tcW w:w="1010" w:type="pct"/>
            <w:tcBorders>
              <w:left w:val="double" w:sz="4" w:space="0" w:color="auto"/>
              <w:right w:val="double" w:sz="4" w:space="0" w:color="auto"/>
            </w:tcBorders>
            <w:vAlign w:val="center"/>
          </w:tcPr>
          <w:p w14:paraId="49552931" w14:textId="205195F0" w:rsidR="002010BA" w:rsidRPr="00111DC0" w:rsidRDefault="002010BA" w:rsidP="000F4CC1">
            <w:pPr>
              <w:spacing w:before="0" w:after="0" w:line="259" w:lineRule="auto"/>
              <w:jc w:val="center"/>
              <w:rPr>
                <w:rFonts w:cs="Arial"/>
                <w:sz w:val="20"/>
                <w:szCs w:val="18"/>
              </w:rPr>
            </w:pPr>
            <w:r w:rsidRPr="00111DC0">
              <w:rPr>
                <w:rFonts w:cs="Arial"/>
                <w:sz w:val="20"/>
                <w:szCs w:val="18"/>
              </w:rPr>
              <w:t>5</w:t>
            </w:r>
          </w:p>
        </w:tc>
      </w:tr>
      <w:tr w:rsidR="002010BA" w:rsidRPr="00111DC0" w14:paraId="4AF267F3" w14:textId="77777777" w:rsidTr="006A78EF">
        <w:tc>
          <w:tcPr>
            <w:tcW w:w="1623" w:type="pct"/>
            <w:tcBorders>
              <w:top w:val="single" w:sz="4" w:space="0" w:color="000000"/>
              <w:left w:val="double" w:sz="4" w:space="0" w:color="auto"/>
              <w:bottom w:val="single" w:sz="4" w:space="0" w:color="000000"/>
              <w:right w:val="double" w:sz="4" w:space="0" w:color="auto"/>
            </w:tcBorders>
            <w:vAlign w:val="center"/>
          </w:tcPr>
          <w:p w14:paraId="798A72C4" w14:textId="10CB4380" w:rsidR="002010BA" w:rsidRPr="00A969B7" w:rsidRDefault="00134591" w:rsidP="00A969B7">
            <w:pPr>
              <w:spacing w:before="0" w:after="0" w:line="259" w:lineRule="auto"/>
              <w:jc w:val="right"/>
              <w:rPr>
                <w:rFonts w:cs="Arial"/>
                <w:sz w:val="20"/>
                <w:szCs w:val="18"/>
              </w:rPr>
            </w:pPr>
            <w:r w:rsidRPr="00A969B7">
              <w:rPr>
                <w:rFonts w:cs="Arial"/>
                <w:sz w:val="20"/>
                <w:szCs w:val="18"/>
              </w:rPr>
              <w:t>Guardia legal menores</w:t>
            </w:r>
          </w:p>
        </w:tc>
        <w:tc>
          <w:tcPr>
            <w:tcW w:w="1183" w:type="pct"/>
            <w:tcBorders>
              <w:top w:val="single" w:sz="4" w:space="0" w:color="000000"/>
              <w:left w:val="double" w:sz="4" w:space="0" w:color="auto"/>
            </w:tcBorders>
            <w:vAlign w:val="center"/>
          </w:tcPr>
          <w:p w14:paraId="4F61C4C2" w14:textId="6E585F32" w:rsidR="002010BA" w:rsidRPr="00111DC0" w:rsidRDefault="002010BA" w:rsidP="000F4CC1">
            <w:pPr>
              <w:spacing w:before="0" w:after="0" w:line="259" w:lineRule="auto"/>
              <w:jc w:val="center"/>
              <w:rPr>
                <w:rFonts w:cs="Arial"/>
                <w:sz w:val="20"/>
                <w:szCs w:val="18"/>
              </w:rPr>
            </w:pPr>
            <w:r w:rsidRPr="00111DC0">
              <w:rPr>
                <w:rFonts w:cs="Arial"/>
                <w:sz w:val="20"/>
                <w:szCs w:val="18"/>
              </w:rPr>
              <w:t>9</w:t>
            </w:r>
            <w:r w:rsidR="00134591" w:rsidRPr="00111DC0">
              <w:rPr>
                <w:rFonts w:cs="Arial"/>
                <w:sz w:val="20"/>
                <w:szCs w:val="18"/>
              </w:rPr>
              <w:t>2</w:t>
            </w:r>
            <w:r w:rsidRPr="00111DC0">
              <w:rPr>
                <w:rFonts w:cs="Arial"/>
                <w:sz w:val="20"/>
                <w:szCs w:val="18"/>
              </w:rPr>
              <w:t>%</w:t>
            </w:r>
          </w:p>
        </w:tc>
        <w:tc>
          <w:tcPr>
            <w:tcW w:w="1183" w:type="pct"/>
            <w:tcBorders>
              <w:right w:val="double" w:sz="4" w:space="0" w:color="auto"/>
            </w:tcBorders>
            <w:shd w:val="clear" w:color="auto" w:fill="auto"/>
            <w:vAlign w:val="center"/>
          </w:tcPr>
          <w:p w14:paraId="74C6348B" w14:textId="3E47CA96" w:rsidR="002010BA" w:rsidRPr="00111DC0" w:rsidRDefault="00134591" w:rsidP="000F4CC1">
            <w:pPr>
              <w:spacing w:before="0" w:after="0" w:line="259" w:lineRule="auto"/>
              <w:jc w:val="center"/>
              <w:rPr>
                <w:rFonts w:cs="Arial"/>
                <w:sz w:val="20"/>
                <w:szCs w:val="18"/>
              </w:rPr>
            </w:pPr>
            <w:r w:rsidRPr="00111DC0">
              <w:rPr>
                <w:rFonts w:cs="Arial"/>
                <w:sz w:val="20"/>
                <w:szCs w:val="18"/>
              </w:rPr>
              <w:t>8</w:t>
            </w:r>
            <w:r w:rsidR="002010BA" w:rsidRPr="00111DC0">
              <w:rPr>
                <w:rFonts w:cs="Arial"/>
                <w:sz w:val="20"/>
                <w:szCs w:val="18"/>
              </w:rPr>
              <w:t>%</w:t>
            </w:r>
          </w:p>
        </w:tc>
        <w:tc>
          <w:tcPr>
            <w:tcW w:w="1010" w:type="pct"/>
            <w:tcBorders>
              <w:left w:val="double" w:sz="4" w:space="0" w:color="auto"/>
              <w:right w:val="double" w:sz="4" w:space="0" w:color="auto"/>
            </w:tcBorders>
            <w:vAlign w:val="center"/>
          </w:tcPr>
          <w:p w14:paraId="72DAB22D" w14:textId="5B106DCF" w:rsidR="002010BA" w:rsidRPr="00111DC0" w:rsidRDefault="002010BA" w:rsidP="000F4CC1">
            <w:pPr>
              <w:spacing w:before="0" w:after="0" w:line="259" w:lineRule="auto"/>
              <w:jc w:val="center"/>
              <w:rPr>
                <w:rFonts w:cs="Arial"/>
                <w:sz w:val="20"/>
                <w:szCs w:val="18"/>
              </w:rPr>
            </w:pPr>
            <w:r w:rsidRPr="00111DC0">
              <w:rPr>
                <w:rFonts w:cs="Arial"/>
                <w:sz w:val="20"/>
                <w:szCs w:val="18"/>
              </w:rPr>
              <w:t>12</w:t>
            </w:r>
            <w:r w:rsidR="00714255" w:rsidRPr="00111DC0">
              <w:rPr>
                <w:rFonts w:cs="Arial"/>
                <w:sz w:val="20"/>
                <w:szCs w:val="18"/>
              </w:rPr>
              <w:t>4</w:t>
            </w:r>
          </w:p>
        </w:tc>
      </w:tr>
      <w:tr w:rsidR="002010BA" w:rsidRPr="00111DC0" w14:paraId="64D5EB87" w14:textId="77777777" w:rsidTr="006A78EF">
        <w:tc>
          <w:tcPr>
            <w:tcW w:w="1623" w:type="pct"/>
            <w:tcBorders>
              <w:top w:val="single" w:sz="4" w:space="0" w:color="000000"/>
              <w:left w:val="double" w:sz="4" w:space="0" w:color="auto"/>
              <w:bottom w:val="single" w:sz="4" w:space="0" w:color="000000"/>
              <w:right w:val="double" w:sz="4" w:space="0" w:color="auto"/>
            </w:tcBorders>
            <w:vAlign w:val="center"/>
          </w:tcPr>
          <w:p w14:paraId="508ABC01" w14:textId="77777777" w:rsidR="002010BA" w:rsidRPr="00A969B7" w:rsidRDefault="002010BA" w:rsidP="00A969B7">
            <w:pPr>
              <w:spacing w:before="0" w:after="0" w:line="259" w:lineRule="auto"/>
              <w:jc w:val="right"/>
              <w:rPr>
                <w:rFonts w:cs="Arial"/>
                <w:sz w:val="20"/>
                <w:szCs w:val="18"/>
              </w:rPr>
            </w:pPr>
            <w:r w:rsidRPr="00A969B7">
              <w:rPr>
                <w:rFonts w:cs="Arial"/>
                <w:sz w:val="20"/>
                <w:szCs w:val="18"/>
              </w:rPr>
              <w:t>Enfermedad propia</w:t>
            </w:r>
          </w:p>
        </w:tc>
        <w:tc>
          <w:tcPr>
            <w:tcW w:w="1183" w:type="pct"/>
            <w:tcBorders>
              <w:left w:val="double" w:sz="4" w:space="0" w:color="auto"/>
            </w:tcBorders>
            <w:vAlign w:val="center"/>
          </w:tcPr>
          <w:p w14:paraId="755B4D53" w14:textId="77777777" w:rsidR="002010BA" w:rsidRPr="00111DC0" w:rsidRDefault="002010BA" w:rsidP="000F4CC1">
            <w:pPr>
              <w:spacing w:before="0" w:after="0" w:line="259" w:lineRule="auto"/>
              <w:jc w:val="center"/>
              <w:rPr>
                <w:rFonts w:cs="Arial"/>
                <w:sz w:val="20"/>
                <w:szCs w:val="18"/>
              </w:rPr>
            </w:pPr>
            <w:r w:rsidRPr="00111DC0">
              <w:rPr>
                <w:rFonts w:cs="Arial"/>
                <w:sz w:val="20"/>
                <w:szCs w:val="18"/>
              </w:rPr>
              <w:t>100%</w:t>
            </w:r>
          </w:p>
        </w:tc>
        <w:tc>
          <w:tcPr>
            <w:tcW w:w="1183" w:type="pct"/>
            <w:tcBorders>
              <w:right w:val="double" w:sz="4" w:space="0" w:color="auto"/>
            </w:tcBorders>
            <w:shd w:val="clear" w:color="auto" w:fill="auto"/>
            <w:vAlign w:val="center"/>
          </w:tcPr>
          <w:p w14:paraId="4AB2569F" w14:textId="77777777" w:rsidR="002010BA" w:rsidRPr="00111DC0" w:rsidRDefault="002010BA" w:rsidP="000F4CC1">
            <w:pPr>
              <w:spacing w:before="0" w:after="0" w:line="259" w:lineRule="auto"/>
              <w:jc w:val="center"/>
              <w:rPr>
                <w:rFonts w:cs="Arial"/>
                <w:sz w:val="20"/>
                <w:szCs w:val="18"/>
              </w:rPr>
            </w:pPr>
            <w:r w:rsidRPr="00111DC0">
              <w:rPr>
                <w:rFonts w:cs="Arial"/>
                <w:sz w:val="20"/>
                <w:szCs w:val="18"/>
              </w:rPr>
              <w:t>0%</w:t>
            </w:r>
          </w:p>
        </w:tc>
        <w:tc>
          <w:tcPr>
            <w:tcW w:w="1010" w:type="pct"/>
            <w:tcBorders>
              <w:left w:val="double" w:sz="4" w:space="0" w:color="auto"/>
              <w:right w:val="double" w:sz="4" w:space="0" w:color="auto"/>
            </w:tcBorders>
            <w:vAlign w:val="center"/>
          </w:tcPr>
          <w:p w14:paraId="36B1FA23" w14:textId="6BD2CF2F" w:rsidR="002010BA" w:rsidRPr="00111DC0" w:rsidRDefault="00134591" w:rsidP="000F4CC1">
            <w:pPr>
              <w:spacing w:before="0" w:after="0" w:line="259" w:lineRule="auto"/>
              <w:jc w:val="center"/>
              <w:rPr>
                <w:rFonts w:cs="Arial"/>
                <w:sz w:val="20"/>
                <w:szCs w:val="18"/>
              </w:rPr>
            </w:pPr>
            <w:r w:rsidRPr="00111DC0">
              <w:rPr>
                <w:rFonts w:cs="Arial"/>
                <w:sz w:val="20"/>
                <w:szCs w:val="18"/>
              </w:rPr>
              <w:t>2</w:t>
            </w:r>
          </w:p>
        </w:tc>
      </w:tr>
      <w:tr w:rsidR="002010BA" w:rsidRPr="00111DC0" w14:paraId="53E89C08" w14:textId="77777777" w:rsidTr="006A78EF">
        <w:tc>
          <w:tcPr>
            <w:tcW w:w="1623" w:type="pct"/>
            <w:tcBorders>
              <w:top w:val="single" w:sz="4" w:space="0" w:color="000000"/>
              <w:left w:val="double" w:sz="4" w:space="0" w:color="auto"/>
              <w:bottom w:val="double" w:sz="4" w:space="0" w:color="auto"/>
              <w:right w:val="double" w:sz="4" w:space="0" w:color="auto"/>
            </w:tcBorders>
            <w:vAlign w:val="center"/>
          </w:tcPr>
          <w:p w14:paraId="7DB97993" w14:textId="77777777" w:rsidR="002010BA" w:rsidRPr="00A969B7" w:rsidRDefault="002010BA" w:rsidP="00A969B7">
            <w:pPr>
              <w:spacing w:before="0" w:after="0" w:line="259" w:lineRule="auto"/>
              <w:jc w:val="right"/>
              <w:rPr>
                <w:rFonts w:cs="Arial"/>
                <w:sz w:val="20"/>
                <w:szCs w:val="18"/>
              </w:rPr>
            </w:pPr>
            <w:r w:rsidRPr="00A969B7">
              <w:rPr>
                <w:rFonts w:cs="Arial"/>
                <w:sz w:val="20"/>
                <w:szCs w:val="18"/>
              </w:rPr>
              <w:t>Interés particular</w:t>
            </w:r>
          </w:p>
        </w:tc>
        <w:tc>
          <w:tcPr>
            <w:tcW w:w="1183" w:type="pct"/>
            <w:tcBorders>
              <w:left w:val="double" w:sz="4" w:space="0" w:color="auto"/>
              <w:bottom w:val="double" w:sz="4" w:space="0" w:color="auto"/>
            </w:tcBorders>
            <w:vAlign w:val="center"/>
          </w:tcPr>
          <w:p w14:paraId="4F79ECF2" w14:textId="44E28A68" w:rsidR="002010BA" w:rsidRPr="00111DC0" w:rsidRDefault="00134591" w:rsidP="000F4CC1">
            <w:pPr>
              <w:spacing w:before="0" w:after="0" w:line="259" w:lineRule="auto"/>
              <w:jc w:val="center"/>
              <w:rPr>
                <w:rFonts w:cs="Arial"/>
                <w:sz w:val="20"/>
                <w:szCs w:val="18"/>
              </w:rPr>
            </w:pPr>
            <w:r w:rsidRPr="00111DC0">
              <w:rPr>
                <w:rFonts w:cs="Arial"/>
                <w:sz w:val="20"/>
                <w:szCs w:val="18"/>
              </w:rPr>
              <w:t>79</w:t>
            </w:r>
            <w:r w:rsidR="002010BA" w:rsidRPr="00111DC0">
              <w:rPr>
                <w:rFonts w:cs="Arial"/>
                <w:sz w:val="20"/>
                <w:szCs w:val="18"/>
              </w:rPr>
              <w:t>%</w:t>
            </w:r>
          </w:p>
        </w:tc>
        <w:tc>
          <w:tcPr>
            <w:tcW w:w="1183" w:type="pct"/>
            <w:tcBorders>
              <w:bottom w:val="double" w:sz="4" w:space="0" w:color="auto"/>
              <w:right w:val="double" w:sz="4" w:space="0" w:color="auto"/>
            </w:tcBorders>
            <w:shd w:val="clear" w:color="auto" w:fill="auto"/>
            <w:vAlign w:val="center"/>
          </w:tcPr>
          <w:p w14:paraId="1383D32A" w14:textId="33BC53A8" w:rsidR="002010BA" w:rsidRPr="00111DC0" w:rsidRDefault="00134591" w:rsidP="000F4CC1">
            <w:pPr>
              <w:spacing w:before="0" w:after="0" w:line="259" w:lineRule="auto"/>
              <w:jc w:val="center"/>
              <w:rPr>
                <w:rFonts w:cs="Arial"/>
                <w:sz w:val="20"/>
                <w:szCs w:val="18"/>
              </w:rPr>
            </w:pPr>
            <w:r w:rsidRPr="00111DC0">
              <w:rPr>
                <w:rFonts w:cs="Arial"/>
                <w:sz w:val="20"/>
                <w:szCs w:val="18"/>
              </w:rPr>
              <w:t>27</w:t>
            </w:r>
            <w:r w:rsidR="002010BA" w:rsidRPr="00111DC0">
              <w:rPr>
                <w:rFonts w:cs="Arial"/>
                <w:sz w:val="20"/>
                <w:szCs w:val="18"/>
              </w:rPr>
              <w:t>%</w:t>
            </w:r>
          </w:p>
        </w:tc>
        <w:tc>
          <w:tcPr>
            <w:tcW w:w="1010" w:type="pct"/>
            <w:tcBorders>
              <w:left w:val="double" w:sz="4" w:space="0" w:color="auto"/>
              <w:bottom w:val="double" w:sz="4" w:space="0" w:color="auto"/>
              <w:right w:val="double" w:sz="4" w:space="0" w:color="auto"/>
            </w:tcBorders>
            <w:vAlign w:val="center"/>
          </w:tcPr>
          <w:p w14:paraId="43489E2A" w14:textId="2FB67053" w:rsidR="002010BA" w:rsidRPr="00111DC0" w:rsidRDefault="002010BA" w:rsidP="000F4CC1">
            <w:pPr>
              <w:spacing w:before="0" w:after="0" w:line="259" w:lineRule="auto"/>
              <w:jc w:val="center"/>
              <w:rPr>
                <w:rFonts w:cs="Arial"/>
                <w:sz w:val="20"/>
                <w:szCs w:val="18"/>
              </w:rPr>
            </w:pPr>
            <w:r w:rsidRPr="00111DC0">
              <w:rPr>
                <w:rFonts w:cs="Arial"/>
                <w:sz w:val="20"/>
                <w:szCs w:val="18"/>
              </w:rPr>
              <w:t>1</w:t>
            </w:r>
            <w:r w:rsidR="00134591" w:rsidRPr="00111DC0">
              <w:rPr>
                <w:rFonts w:cs="Arial"/>
                <w:sz w:val="20"/>
                <w:szCs w:val="18"/>
              </w:rPr>
              <w:t>4</w:t>
            </w:r>
          </w:p>
        </w:tc>
      </w:tr>
    </w:tbl>
    <w:p w14:paraId="3F9BC400" w14:textId="3DE7E398" w:rsidR="002010BA" w:rsidRDefault="002010BA" w:rsidP="002010BA">
      <w:pPr>
        <w:rPr>
          <w:rFonts w:cs="Arial"/>
        </w:rPr>
      </w:pPr>
    </w:p>
    <w:p w14:paraId="62F8CE66" w14:textId="29BB64B3" w:rsidR="00BD1A00" w:rsidRPr="00111DC0" w:rsidRDefault="00C75706" w:rsidP="004B6A1B">
      <w:pPr>
        <w:pStyle w:val="Ttulo3"/>
        <w:rPr>
          <w:rFonts w:eastAsia="Helvetica Neue" w:cs="Arial"/>
        </w:rPr>
      </w:pPr>
      <w:r w:rsidRPr="00111DC0">
        <w:rPr>
          <w:rFonts w:eastAsia="Helvetica Neue" w:cs="Arial"/>
        </w:rPr>
        <w:t>Permisos y licencias</w:t>
      </w:r>
    </w:p>
    <w:p w14:paraId="5021A505" w14:textId="518A2010" w:rsidR="00764714" w:rsidRPr="00111DC0" w:rsidRDefault="00772FD6" w:rsidP="00764714">
      <w:pPr>
        <w:rPr>
          <w:rFonts w:cs="Arial"/>
        </w:rPr>
      </w:pPr>
      <w:r w:rsidRPr="00111DC0">
        <w:rPr>
          <w:rFonts w:cs="Arial"/>
        </w:rPr>
        <w:t xml:space="preserve">En términos de distribución </w:t>
      </w:r>
      <w:r w:rsidR="003601D5" w:rsidRPr="00111DC0">
        <w:rPr>
          <w:rFonts w:cs="Arial"/>
        </w:rPr>
        <w:t>de mujeres y hombres</w:t>
      </w:r>
      <w:r w:rsidRPr="00111DC0">
        <w:rPr>
          <w:rFonts w:cs="Arial"/>
        </w:rPr>
        <w:t xml:space="preserve">, </w:t>
      </w:r>
      <w:r w:rsidR="004D4FDF" w:rsidRPr="00111DC0">
        <w:rPr>
          <w:rFonts w:cs="Arial"/>
          <w:b/>
          <w:bCs/>
        </w:rPr>
        <w:t>aquellos</w:t>
      </w:r>
      <w:r w:rsidRPr="00111DC0">
        <w:rPr>
          <w:rFonts w:cs="Arial"/>
          <w:b/>
          <w:bCs/>
        </w:rPr>
        <w:t xml:space="preserve"> permisos que tienen una relación directa con los </w:t>
      </w:r>
      <w:r w:rsidR="004D4FDF" w:rsidRPr="00111DC0">
        <w:rPr>
          <w:rFonts w:cs="Arial"/>
          <w:b/>
          <w:bCs/>
        </w:rPr>
        <w:t xml:space="preserve">cuidados </w:t>
      </w:r>
      <w:r w:rsidRPr="00111DC0">
        <w:rPr>
          <w:rFonts w:cs="Arial"/>
          <w:b/>
          <w:bCs/>
        </w:rPr>
        <w:t xml:space="preserve">son acogidos </w:t>
      </w:r>
      <w:r w:rsidR="004D4FDF" w:rsidRPr="00111DC0">
        <w:rPr>
          <w:rFonts w:cs="Arial"/>
          <w:b/>
          <w:bCs/>
        </w:rPr>
        <w:t>mayoritariamente</w:t>
      </w:r>
      <w:r w:rsidRPr="00111DC0">
        <w:rPr>
          <w:rFonts w:cs="Arial"/>
          <w:b/>
          <w:bCs/>
        </w:rPr>
        <w:t xml:space="preserve"> por </w:t>
      </w:r>
      <w:r w:rsidR="0052262E" w:rsidRPr="00111DC0">
        <w:rPr>
          <w:rFonts w:cs="Arial"/>
          <w:b/>
          <w:bCs/>
        </w:rPr>
        <w:t xml:space="preserve">mujeres tanto en el caso de los Servicios Generales como en el del </w:t>
      </w:r>
      <w:r w:rsidR="00832653" w:rsidRPr="00111DC0">
        <w:rPr>
          <w:rFonts w:cs="Arial"/>
          <w:b/>
          <w:bCs/>
        </w:rPr>
        <w:t>Personal Docente</w:t>
      </w:r>
      <w:r w:rsidRPr="00111DC0">
        <w:rPr>
          <w:rFonts w:cs="Arial"/>
        </w:rPr>
        <w:t xml:space="preserve"> (</w:t>
      </w:r>
      <w:r w:rsidR="004D4FDF" w:rsidRPr="00111DC0">
        <w:rPr>
          <w:rFonts w:cs="Arial"/>
        </w:rPr>
        <w:t>lactancia acumulada</w:t>
      </w:r>
      <w:r w:rsidR="0052262E" w:rsidRPr="00111DC0">
        <w:rPr>
          <w:rFonts w:cs="Arial"/>
        </w:rPr>
        <w:t>,</w:t>
      </w:r>
      <w:r w:rsidR="004D4FDF" w:rsidRPr="00111DC0">
        <w:rPr>
          <w:rFonts w:cs="Arial"/>
        </w:rPr>
        <w:t xml:space="preserve"> flexibilidad horaria</w:t>
      </w:r>
      <w:r w:rsidR="0052262E" w:rsidRPr="00111DC0">
        <w:rPr>
          <w:rFonts w:cs="Arial"/>
        </w:rPr>
        <w:t>)</w:t>
      </w:r>
      <w:r w:rsidR="00BC7BD9">
        <w:rPr>
          <w:rFonts w:cs="Arial"/>
        </w:rPr>
        <w:t>:</w:t>
      </w:r>
    </w:p>
    <w:tbl>
      <w:tblPr>
        <w:tblStyle w:val="Tablaconcuadrcula"/>
        <w:tblW w:w="4877" w:type="pct"/>
        <w:tblInd w:w="108" w:type="dxa"/>
        <w:tblLook w:val="04A0" w:firstRow="1" w:lastRow="0" w:firstColumn="1" w:lastColumn="0" w:noHBand="0" w:noVBand="1"/>
      </w:tblPr>
      <w:tblGrid>
        <w:gridCol w:w="3260"/>
        <w:gridCol w:w="1749"/>
        <w:gridCol w:w="1749"/>
        <w:gridCol w:w="1747"/>
      </w:tblGrid>
      <w:tr w:rsidR="002B1C74" w:rsidRPr="00111DC0" w14:paraId="1FB692C2" w14:textId="77777777" w:rsidTr="003552AB">
        <w:trPr>
          <w:trHeight w:val="740"/>
        </w:trPr>
        <w:tc>
          <w:tcPr>
            <w:tcW w:w="5000" w:type="pct"/>
            <w:gridSpan w:val="4"/>
            <w:tcBorders>
              <w:top w:val="double" w:sz="4" w:space="0" w:color="auto"/>
              <w:left w:val="double" w:sz="4" w:space="0" w:color="auto"/>
              <w:bottom w:val="double" w:sz="4" w:space="0" w:color="auto"/>
              <w:right w:val="double" w:sz="4" w:space="0" w:color="auto"/>
            </w:tcBorders>
            <w:shd w:val="clear" w:color="auto" w:fill="78BE20"/>
            <w:vAlign w:val="center"/>
          </w:tcPr>
          <w:p w14:paraId="123F413E" w14:textId="3063780A" w:rsidR="002B1C74" w:rsidRPr="00111DC0" w:rsidRDefault="00A20210" w:rsidP="00764714">
            <w:pPr>
              <w:widowControl w:val="0"/>
              <w:spacing w:before="0" w:after="0" w:line="240" w:lineRule="auto"/>
              <w:jc w:val="left"/>
              <w:rPr>
                <w:rFonts w:eastAsiaTheme="majorEastAsia" w:cs="Arial"/>
                <w:snapToGrid w:val="0"/>
                <w:color w:val="78BE20"/>
                <w:szCs w:val="26"/>
              </w:rPr>
            </w:pPr>
            <w:r w:rsidRPr="00A20210">
              <w:rPr>
                <w:rFonts w:cs="Arial"/>
                <w:b/>
                <w:bCs/>
                <w:color w:val="FFFFFF" w:themeColor="background1"/>
                <w:szCs w:val="20"/>
              </w:rPr>
              <w:t xml:space="preserve">Tabla </w:t>
            </w:r>
            <w:r>
              <w:rPr>
                <w:rFonts w:cs="Arial"/>
                <w:b/>
                <w:bCs/>
                <w:color w:val="FFFFFF" w:themeColor="background1"/>
                <w:szCs w:val="20"/>
              </w:rPr>
              <w:t>21.</w:t>
            </w:r>
            <w:r w:rsidR="002B1C74" w:rsidRPr="00111DC0">
              <w:rPr>
                <w:rFonts w:cs="Arial"/>
                <w:b/>
                <w:bCs/>
                <w:color w:val="FFFFFF" w:themeColor="background1"/>
                <w:szCs w:val="20"/>
              </w:rPr>
              <w:t xml:space="preserve"> Distribución </w:t>
            </w:r>
            <w:r w:rsidR="003601D5" w:rsidRPr="00111DC0">
              <w:rPr>
                <w:rFonts w:cs="Arial"/>
                <w:b/>
                <w:bCs/>
                <w:color w:val="FFFFFF" w:themeColor="background1"/>
                <w:szCs w:val="20"/>
              </w:rPr>
              <w:t>de mujeres y hombres</w:t>
            </w:r>
            <w:r w:rsidR="003601D5" w:rsidRPr="00111DC0">
              <w:rPr>
                <w:rFonts w:cs="Arial"/>
              </w:rPr>
              <w:t xml:space="preserve"> </w:t>
            </w:r>
            <w:r w:rsidR="002B1C74" w:rsidRPr="00111DC0">
              <w:rPr>
                <w:rFonts w:cs="Arial"/>
                <w:b/>
                <w:bCs/>
                <w:color w:val="FFFFFF" w:themeColor="background1"/>
                <w:szCs w:val="20"/>
              </w:rPr>
              <w:t>en los permisos y licencias, según motivo</w:t>
            </w:r>
            <w:r w:rsidR="00764714" w:rsidRPr="00111DC0">
              <w:rPr>
                <w:rFonts w:cs="Arial"/>
                <w:b/>
                <w:bCs/>
                <w:color w:val="FFFFFF" w:themeColor="background1"/>
                <w:szCs w:val="20"/>
              </w:rPr>
              <w:t xml:space="preserve"> </w:t>
            </w:r>
            <w:r w:rsidR="002B1C74" w:rsidRPr="00111DC0">
              <w:rPr>
                <w:rFonts w:cs="Arial"/>
                <w:snapToGrid w:val="0"/>
                <w:color w:val="FFFFFF" w:themeColor="background1"/>
                <w:szCs w:val="20"/>
              </w:rPr>
              <w:t xml:space="preserve">(Servicios Generales y </w:t>
            </w:r>
            <w:r w:rsidR="00832653" w:rsidRPr="00111DC0">
              <w:rPr>
                <w:rFonts w:cs="Arial"/>
                <w:snapToGrid w:val="0"/>
                <w:color w:val="FFFFFF" w:themeColor="background1"/>
                <w:szCs w:val="20"/>
              </w:rPr>
              <w:t>Personal Docente</w:t>
            </w:r>
            <w:r w:rsidR="002B1C74" w:rsidRPr="00111DC0">
              <w:rPr>
                <w:rFonts w:cs="Arial"/>
                <w:snapToGrid w:val="0"/>
                <w:color w:val="FFFFFF" w:themeColor="background1"/>
                <w:szCs w:val="20"/>
              </w:rPr>
              <w:t>)</w:t>
            </w:r>
          </w:p>
        </w:tc>
      </w:tr>
      <w:tr w:rsidR="002B1C74" w:rsidRPr="00111DC0" w14:paraId="114CB460" w14:textId="77777777" w:rsidTr="00265097">
        <w:trPr>
          <w:trHeight w:val="553"/>
        </w:trPr>
        <w:tc>
          <w:tcPr>
            <w:tcW w:w="1917" w:type="pct"/>
            <w:tcBorders>
              <w:top w:val="double" w:sz="4" w:space="0" w:color="auto"/>
              <w:left w:val="double" w:sz="4" w:space="0" w:color="auto"/>
              <w:bottom w:val="double" w:sz="4" w:space="0" w:color="auto"/>
              <w:right w:val="double" w:sz="4" w:space="0" w:color="auto"/>
            </w:tcBorders>
            <w:vAlign w:val="center"/>
          </w:tcPr>
          <w:p w14:paraId="3A28EEE6" w14:textId="77777777" w:rsidR="002B1C74" w:rsidRPr="00111DC0" w:rsidRDefault="002B1C74" w:rsidP="00A969B7">
            <w:pPr>
              <w:spacing w:before="0" w:after="0" w:line="259" w:lineRule="auto"/>
              <w:jc w:val="right"/>
              <w:rPr>
                <w:rFonts w:cs="Arial"/>
                <w:b/>
                <w:bCs/>
                <w:sz w:val="20"/>
                <w:szCs w:val="18"/>
              </w:rPr>
            </w:pPr>
            <w:r w:rsidRPr="00111DC0">
              <w:rPr>
                <w:rFonts w:eastAsiaTheme="majorEastAsia" w:cs="Arial"/>
                <w:b/>
                <w:bCs/>
                <w:snapToGrid w:val="0"/>
                <w:color w:val="78BE20"/>
                <w:szCs w:val="26"/>
              </w:rPr>
              <w:t>Motivo</w:t>
            </w:r>
          </w:p>
        </w:tc>
        <w:tc>
          <w:tcPr>
            <w:tcW w:w="1028" w:type="pct"/>
            <w:tcBorders>
              <w:top w:val="double" w:sz="4" w:space="0" w:color="auto"/>
              <w:left w:val="double" w:sz="4" w:space="0" w:color="auto"/>
              <w:bottom w:val="double" w:sz="4" w:space="0" w:color="auto"/>
            </w:tcBorders>
            <w:vAlign w:val="center"/>
          </w:tcPr>
          <w:p w14:paraId="4F61BFE6" w14:textId="77777777" w:rsidR="002B1C74" w:rsidRPr="00111DC0" w:rsidRDefault="002B1C74" w:rsidP="00714255">
            <w:pPr>
              <w:spacing w:before="0" w:after="0" w:line="259" w:lineRule="auto"/>
              <w:jc w:val="center"/>
              <w:rPr>
                <w:rFonts w:cs="Arial"/>
                <w:sz w:val="20"/>
                <w:szCs w:val="18"/>
              </w:rPr>
            </w:pPr>
            <w:r w:rsidRPr="00111DC0">
              <w:rPr>
                <w:rFonts w:cs="Arial"/>
                <w:b/>
                <w:bCs/>
                <w:sz w:val="20"/>
                <w:szCs w:val="18"/>
              </w:rPr>
              <w:t>MUJERES</w:t>
            </w:r>
          </w:p>
        </w:tc>
        <w:tc>
          <w:tcPr>
            <w:tcW w:w="1028" w:type="pct"/>
            <w:tcBorders>
              <w:top w:val="double" w:sz="4" w:space="0" w:color="auto"/>
              <w:bottom w:val="double" w:sz="4" w:space="0" w:color="auto"/>
              <w:right w:val="double" w:sz="4" w:space="0" w:color="auto"/>
            </w:tcBorders>
            <w:shd w:val="clear" w:color="auto" w:fill="auto"/>
            <w:vAlign w:val="center"/>
          </w:tcPr>
          <w:p w14:paraId="740BCC4B" w14:textId="77777777" w:rsidR="002B1C74" w:rsidRPr="00111DC0" w:rsidRDefault="002B1C74" w:rsidP="00714255">
            <w:pPr>
              <w:spacing w:before="0" w:after="0" w:line="259" w:lineRule="auto"/>
              <w:jc w:val="center"/>
              <w:rPr>
                <w:rFonts w:cs="Arial"/>
                <w:sz w:val="20"/>
                <w:szCs w:val="18"/>
              </w:rPr>
            </w:pPr>
            <w:r w:rsidRPr="00111DC0">
              <w:rPr>
                <w:rFonts w:cs="Arial"/>
                <w:b/>
                <w:bCs/>
                <w:sz w:val="20"/>
                <w:szCs w:val="18"/>
              </w:rPr>
              <w:t>HOMBRES</w:t>
            </w:r>
          </w:p>
        </w:tc>
        <w:tc>
          <w:tcPr>
            <w:tcW w:w="1028" w:type="pct"/>
            <w:tcBorders>
              <w:top w:val="double" w:sz="4" w:space="0" w:color="auto"/>
              <w:left w:val="double" w:sz="4" w:space="0" w:color="auto"/>
              <w:bottom w:val="double" w:sz="4" w:space="0" w:color="auto"/>
              <w:right w:val="double" w:sz="4" w:space="0" w:color="auto"/>
            </w:tcBorders>
            <w:vAlign w:val="center"/>
          </w:tcPr>
          <w:p w14:paraId="03A94F1D" w14:textId="77777777" w:rsidR="002B1C74" w:rsidRPr="00111DC0" w:rsidRDefault="002B1C74" w:rsidP="00714255">
            <w:pPr>
              <w:spacing w:before="0" w:after="0" w:line="259" w:lineRule="auto"/>
              <w:jc w:val="center"/>
              <w:rPr>
                <w:rFonts w:cs="Arial"/>
                <w:b/>
                <w:bCs/>
                <w:sz w:val="20"/>
                <w:szCs w:val="18"/>
              </w:rPr>
            </w:pPr>
            <w:r w:rsidRPr="00111DC0">
              <w:rPr>
                <w:rFonts w:cs="Arial"/>
                <w:b/>
                <w:bCs/>
                <w:sz w:val="20"/>
                <w:szCs w:val="18"/>
              </w:rPr>
              <w:t>TOTAL CASOS</w:t>
            </w:r>
          </w:p>
        </w:tc>
      </w:tr>
      <w:tr w:rsidR="002B1C74" w:rsidRPr="00111DC0" w14:paraId="458B30AD" w14:textId="77777777" w:rsidTr="00265097">
        <w:tc>
          <w:tcPr>
            <w:tcW w:w="1917" w:type="pct"/>
            <w:tcBorders>
              <w:top w:val="double" w:sz="4" w:space="0" w:color="auto"/>
              <w:left w:val="double" w:sz="4" w:space="0" w:color="auto"/>
              <w:bottom w:val="single" w:sz="4" w:space="0" w:color="000000"/>
              <w:right w:val="double" w:sz="4" w:space="0" w:color="auto"/>
            </w:tcBorders>
            <w:vAlign w:val="center"/>
          </w:tcPr>
          <w:p w14:paraId="2D4DB2F8" w14:textId="35F822D2" w:rsidR="002B1C74" w:rsidRPr="00111DC0" w:rsidRDefault="002B1C74" w:rsidP="00564374">
            <w:pPr>
              <w:spacing w:before="0" w:after="0" w:line="259" w:lineRule="auto"/>
              <w:jc w:val="right"/>
              <w:rPr>
                <w:rFonts w:cs="Arial"/>
                <w:sz w:val="20"/>
                <w:szCs w:val="18"/>
              </w:rPr>
            </w:pPr>
            <w:r w:rsidRPr="00111DC0">
              <w:rPr>
                <w:rFonts w:eastAsiaTheme="majorEastAsia" w:cs="Arial"/>
                <w:snapToGrid w:val="0"/>
                <w:color w:val="78BE20"/>
                <w:szCs w:val="26"/>
              </w:rPr>
              <w:t xml:space="preserve">Servicios </w:t>
            </w:r>
            <w:r w:rsidR="008B5B7A">
              <w:rPr>
                <w:rFonts w:eastAsiaTheme="majorEastAsia" w:cs="Arial"/>
                <w:snapToGrid w:val="0"/>
                <w:color w:val="78BE20"/>
                <w:szCs w:val="26"/>
              </w:rPr>
              <w:t>G</w:t>
            </w:r>
            <w:r w:rsidRPr="00111DC0">
              <w:rPr>
                <w:rFonts w:eastAsiaTheme="majorEastAsia" w:cs="Arial"/>
                <w:snapToGrid w:val="0"/>
                <w:color w:val="78BE20"/>
                <w:szCs w:val="26"/>
              </w:rPr>
              <w:t>enerales</w:t>
            </w:r>
          </w:p>
        </w:tc>
        <w:tc>
          <w:tcPr>
            <w:tcW w:w="1028" w:type="pct"/>
            <w:tcBorders>
              <w:top w:val="double" w:sz="4" w:space="0" w:color="auto"/>
              <w:left w:val="double" w:sz="4" w:space="0" w:color="auto"/>
            </w:tcBorders>
            <w:vAlign w:val="center"/>
          </w:tcPr>
          <w:p w14:paraId="18D7931C" w14:textId="77777777" w:rsidR="002B1C74" w:rsidRPr="00111DC0" w:rsidRDefault="002B1C74" w:rsidP="00714255">
            <w:pPr>
              <w:spacing w:before="0" w:after="0" w:line="259" w:lineRule="auto"/>
              <w:jc w:val="center"/>
              <w:rPr>
                <w:rFonts w:cs="Arial"/>
                <w:sz w:val="20"/>
                <w:szCs w:val="18"/>
              </w:rPr>
            </w:pPr>
          </w:p>
        </w:tc>
        <w:tc>
          <w:tcPr>
            <w:tcW w:w="1028" w:type="pct"/>
            <w:tcBorders>
              <w:top w:val="double" w:sz="4" w:space="0" w:color="auto"/>
              <w:right w:val="double" w:sz="4" w:space="0" w:color="auto"/>
            </w:tcBorders>
            <w:shd w:val="clear" w:color="auto" w:fill="auto"/>
            <w:vAlign w:val="center"/>
          </w:tcPr>
          <w:p w14:paraId="213369CC" w14:textId="77777777" w:rsidR="002B1C74" w:rsidRPr="00111DC0" w:rsidRDefault="002B1C74" w:rsidP="00714255">
            <w:pPr>
              <w:spacing w:before="0" w:after="0" w:line="259" w:lineRule="auto"/>
              <w:jc w:val="center"/>
              <w:rPr>
                <w:rFonts w:cs="Arial"/>
                <w:sz w:val="20"/>
                <w:szCs w:val="18"/>
              </w:rPr>
            </w:pPr>
          </w:p>
        </w:tc>
        <w:tc>
          <w:tcPr>
            <w:tcW w:w="1028" w:type="pct"/>
            <w:tcBorders>
              <w:top w:val="double" w:sz="4" w:space="0" w:color="auto"/>
              <w:left w:val="double" w:sz="4" w:space="0" w:color="auto"/>
              <w:right w:val="double" w:sz="4" w:space="0" w:color="auto"/>
            </w:tcBorders>
            <w:vAlign w:val="center"/>
          </w:tcPr>
          <w:p w14:paraId="4C6E7BAB" w14:textId="77777777" w:rsidR="002B1C74" w:rsidRPr="00111DC0" w:rsidRDefault="002B1C74" w:rsidP="00714255">
            <w:pPr>
              <w:spacing w:before="0" w:after="0" w:line="259" w:lineRule="auto"/>
              <w:jc w:val="center"/>
              <w:rPr>
                <w:rFonts w:cs="Arial"/>
                <w:sz w:val="20"/>
                <w:szCs w:val="18"/>
              </w:rPr>
            </w:pPr>
          </w:p>
        </w:tc>
      </w:tr>
      <w:tr w:rsidR="002B1C74" w:rsidRPr="00111DC0" w14:paraId="2C05A1CF" w14:textId="77777777" w:rsidTr="00265097">
        <w:tc>
          <w:tcPr>
            <w:tcW w:w="1917" w:type="pct"/>
            <w:tcBorders>
              <w:left w:val="double" w:sz="4" w:space="0" w:color="auto"/>
              <w:bottom w:val="single" w:sz="4" w:space="0" w:color="000000"/>
              <w:right w:val="double" w:sz="4" w:space="0" w:color="auto"/>
            </w:tcBorders>
            <w:vAlign w:val="center"/>
          </w:tcPr>
          <w:p w14:paraId="46B07A20" w14:textId="65AD757A" w:rsidR="002B1C74" w:rsidRPr="00265097" w:rsidRDefault="00D04232" w:rsidP="00A969B7">
            <w:pPr>
              <w:spacing w:before="0" w:after="0" w:line="259" w:lineRule="auto"/>
              <w:jc w:val="right"/>
              <w:rPr>
                <w:rFonts w:cs="Arial"/>
                <w:sz w:val="18"/>
                <w:szCs w:val="16"/>
              </w:rPr>
            </w:pPr>
            <w:r w:rsidRPr="00265097">
              <w:rPr>
                <w:rFonts w:cs="Arial"/>
                <w:sz w:val="18"/>
                <w:szCs w:val="16"/>
              </w:rPr>
              <w:t>Nacimiento cedido al otro progenitor</w:t>
            </w:r>
          </w:p>
        </w:tc>
        <w:tc>
          <w:tcPr>
            <w:tcW w:w="1028" w:type="pct"/>
            <w:tcBorders>
              <w:left w:val="double" w:sz="4" w:space="0" w:color="auto"/>
            </w:tcBorders>
            <w:vAlign w:val="center"/>
          </w:tcPr>
          <w:p w14:paraId="7B4A00C0" w14:textId="099F17D6" w:rsidR="002B1C74" w:rsidRPr="00111DC0" w:rsidRDefault="00457F89" w:rsidP="00714255">
            <w:pPr>
              <w:spacing w:before="0" w:after="0" w:line="259" w:lineRule="auto"/>
              <w:jc w:val="center"/>
              <w:rPr>
                <w:rFonts w:cs="Arial"/>
                <w:sz w:val="20"/>
                <w:szCs w:val="18"/>
              </w:rPr>
            </w:pPr>
            <w:r w:rsidRPr="00111DC0">
              <w:rPr>
                <w:rFonts w:cs="Arial"/>
                <w:sz w:val="20"/>
                <w:szCs w:val="18"/>
              </w:rPr>
              <w:t>-</w:t>
            </w:r>
          </w:p>
        </w:tc>
        <w:tc>
          <w:tcPr>
            <w:tcW w:w="1028" w:type="pct"/>
            <w:tcBorders>
              <w:right w:val="double" w:sz="4" w:space="0" w:color="auto"/>
            </w:tcBorders>
            <w:shd w:val="clear" w:color="auto" w:fill="auto"/>
            <w:vAlign w:val="center"/>
          </w:tcPr>
          <w:p w14:paraId="610BD1DD" w14:textId="480DF1F3" w:rsidR="002B1C74" w:rsidRPr="00111DC0" w:rsidRDefault="00457F89" w:rsidP="00714255">
            <w:pPr>
              <w:spacing w:before="0" w:after="0" w:line="259" w:lineRule="auto"/>
              <w:jc w:val="center"/>
              <w:rPr>
                <w:rFonts w:cs="Arial"/>
                <w:sz w:val="20"/>
                <w:szCs w:val="18"/>
              </w:rPr>
            </w:pPr>
            <w:r w:rsidRPr="00111DC0">
              <w:rPr>
                <w:rFonts w:cs="Arial"/>
                <w:sz w:val="20"/>
                <w:szCs w:val="18"/>
              </w:rPr>
              <w:t>-</w:t>
            </w:r>
          </w:p>
        </w:tc>
        <w:tc>
          <w:tcPr>
            <w:tcW w:w="1028" w:type="pct"/>
            <w:tcBorders>
              <w:left w:val="double" w:sz="4" w:space="0" w:color="auto"/>
              <w:right w:val="double" w:sz="4" w:space="0" w:color="auto"/>
            </w:tcBorders>
            <w:vAlign w:val="center"/>
          </w:tcPr>
          <w:p w14:paraId="1D7EFEE7" w14:textId="091D802E" w:rsidR="002B1C74" w:rsidRPr="00111DC0" w:rsidRDefault="00681D3D" w:rsidP="00714255">
            <w:pPr>
              <w:spacing w:before="0" w:after="0" w:line="259" w:lineRule="auto"/>
              <w:jc w:val="center"/>
              <w:rPr>
                <w:rFonts w:cs="Arial"/>
                <w:b/>
                <w:bCs/>
                <w:sz w:val="20"/>
                <w:szCs w:val="18"/>
              </w:rPr>
            </w:pPr>
            <w:r w:rsidRPr="00111DC0">
              <w:rPr>
                <w:rFonts w:cs="Arial"/>
                <w:b/>
                <w:bCs/>
                <w:sz w:val="20"/>
                <w:szCs w:val="18"/>
              </w:rPr>
              <w:t>0</w:t>
            </w:r>
          </w:p>
        </w:tc>
      </w:tr>
      <w:tr w:rsidR="00457F89" w:rsidRPr="00111DC0" w14:paraId="14E39D82" w14:textId="77777777" w:rsidTr="00265097">
        <w:tc>
          <w:tcPr>
            <w:tcW w:w="1917" w:type="pct"/>
            <w:tcBorders>
              <w:top w:val="single" w:sz="4" w:space="0" w:color="000000"/>
              <w:left w:val="double" w:sz="4" w:space="0" w:color="auto"/>
              <w:bottom w:val="single" w:sz="4" w:space="0" w:color="000000"/>
              <w:right w:val="double" w:sz="4" w:space="0" w:color="auto"/>
            </w:tcBorders>
            <w:vAlign w:val="center"/>
          </w:tcPr>
          <w:p w14:paraId="6F1D5D62" w14:textId="3B2A68DB" w:rsidR="00457F89" w:rsidRPr="00265097" w:rsidRDefault="00457F89" w:rsidP="00A969B7">
            <w:pPr>
              <w:spacing w:before="0" w:after="0" w:line="259" w:lineRule="auto"/>
              <w:jc w:val="right"/>
              <w:rPr>
                <w:rFonts w:cs="Arial"/>
                <w:sz w:val="18"/>
                <w:szCs w:val="16"/>
              </w:rPr>
            </w:pPr>
            <w:r w:rsidRPr="00265097">
              <w:rPr>
                <w:rFonts w:cs="Arial"/>
                <w:sz w:val="18"/>
                <w:szCs w:val="16"/>
              </w:rPr>
              <w:t>Lactancia acumulada</w:t>
            </w:r>
          </w:p>
        </w:tc>
        <w:tc>
          <w:tcPr>
            <w:tcW w:w="1028" w:type="pct"/>
            <w:tcBorders>
              <w:left w:val="double" w:sz="4" w:space="0" w:color="auto"/>
              <w:bottom w:val="single" w:sz="4" w:space="0" w:color="000000"/>
            </w:tcBorders>
            <w:vAlign w:val="center"/>
          </w:tcPr>
          <w:p w14:paraId="54947AFA" w14:textId="12DA8829" w:rsidR="00457F89" w:rsidRPr="00111DC0" w:rsidRDefault="00457F89" w:rsidP="00714255">
            <w:pPr>
              <w:spacing w:before="0" w:after="0" w:line="259" w:lineRule="auto"/>
              <w:jc w:val="center"/>
              <w:rPr>
                <w:rFonts w:cs="Arial"/>
                <w:sz w:val="20"/>
                <w:szCs w:val="18"/>
              </w:rPr>
            </w:pPr>
            <w:r w:rsidRPr="00111DC0">
              <w:rPr>
                <w:rFonts w:cs="Arial"/>
                <w:sz w:val="20"/>
                <w:szCs w:val="18"/>
              </w:rPr>
              <w:t>69%</w:t>
            </w:r>
          </w:p>
        </w:tc>
        <w:tc>
          <w:tcPr>
            <w:tcW w:w="1028" w:type="pct"/>
            <w:tcBorders>
              <w:right w:val="double" w:sz="4" w:space="0" w:color="auto"/>
            </w:tcBorders>
            <w:shd w:val="clear" w:color="auto" w:fill="auto"/>
            <w:vAlign w:val="center"/>
          </w:tcPr>
          <w:p w14:paraId="5F3EA4C1" w14:textId="298584F8" w:rsidR="00457F89" w:rsidRPr="00111DC0" w:rsidRDefault="00851688" w:rsidP="00714255">
            <w:pPr>
              <w:spacing w:before="0" w:after="0" w:line="259" w:lineRule="auto"/>
              <w:jc w:val="center"/>
              <w:rPr>
                <w:rFonts w:cs="Arial"/>
                <w:sz w:val="20"/>
                <w:szCs w:val="18"/>
              </w:rPr>
            </w:pPr>
            <w:r w:rsidRPr="00111DC0">
              <w:rPr>
                <w:rFonts w:cs="Arial"/>
                <w:sz w:val="20"/>
                <w:szCs w:val="18"/>
              </w:rPr>
              <w:t>31%</w:t>
            </w:r>
          </w:p>
        </w:tc>
        <w:tc>
          <w:tcPr>
            <w:tcW w:w="1028" w:type="pct"/>
            <w:tcBorders>
              <w:left w:val="double" w:sz="4" w:space="0" w:color="auto"/>
              <w:right w:val="double" w:sz="4" w:space="0" w:color="auto"/>
            </w:tcBorders>
            <w:vAlign w:val="center"/>
          </w:tcPr>
          <w:p w14:paraId="01437B73" w14:textId="6C0DE2EA" w:rsidR="00457F89" w:rsidRPr="00111DC0" w:rsidRDefault="00457F89" w:rsidP="00714255">
            <w:pPr>
              <w:spacing w:before="0" w:after="0" w:line="259" w:lineRule="auto"/>
              <w:jc w:val="center"/>
              <w:rPr>
                <w:rFonts w:cs="Arial"/>
                <w:b/>
                <w:bCs/>
                <w:sz w:val="20"/>
                <w:szCs w:val="18"/>
              </w:rPr>
            </w:pPr>
            <w:r w:rsidRPr="00111DC0">
              <w:rPr>
                <w:rFonts w:cs="Arial"/>
                <w:b/>
                <w:bCs/>
                <w:sz w:val="20"/>
                <w:szCs w:val="18"/>
              </w:rPr>
              <w:t>26</w:t>
            </w:r>
          </w:p>
        </w:tc>
      </w:tr>
      <w:tr w:rsidR="00457F89" w:rsidRPr="00111DC0" w14:paraId="79284C39" w14:textId="77777777" w:rsidTr="00265097">
        <w:tc>
          <w:tcPr>
            <w:tcW w:w="1917" w:type="pct"/>
            <w:tcBorders>
              <w:top w:val="single" w:sz="4" w:space="0" w:color="000000"/>
              <w:left w:val="double" w:sz="4" w:space="0" w:color="auto"/>
              <w:bottom w:val="single" w:sz="4" w:space="0" w:color="000000"/>
              <w:right w:val="double" w:sz="4" w:space="0" w:color="auto"/>
            </w:tcBorders>
            <w:vAlign w:val="center"/>
          </w:tcPr>
          <w:p w14:paraId="7B1E3694" w14:textId="3860AC77" w:rsidR="00457F89" w:rsidRPr="00265097" w:rsidRDefault="00457F89" w:rsidP="00A969B7">
            <w:pPr>
              <w:spacing w:before="0" w:after="0" w:line="259" w:lineRule="auto"/>
              <w:jc w:val="right"/>
              <w:rPr>
                <w:rFonts w:cs="Arial"/>
                <w:sz w:val="18"/>
                <w:szCs w:val="16"/>
              </w:rPr>
            </w:pPr>
            <w:r w:rsidRPr="00265097">
              <w:rPr>
                <w:rFonts w:cs="Arial"/>
                <w:sz w:val="18"/>
                <w:szCs w:val="16"/>
              </w:rPr>
              <w:t>Lactancia diaria</w:t>
            </w:r>
          </w:p>
        </w:tc>
        <w:tc>
          <w:tcPr>
            <w:tcW w:w="1028" w:type="pct"/>
            <w:tcBorders>
              <w:top w:val="single" w:sz="4" w:space="0" w:color="000000"/>
              <w:left w:val="double" w:sz="4" w:space="0" w:color="auto"/>
            </w:tcBorders>
            <w:vAlign w:val="center"/>
          </w:tcPr>
          <w:p w14:paraId="5120B381" w14:textId="64A638F3" w:rsidR="00457F89" w:rsidRPr="00111DC0" w:rsidRDefault="00457F89" w:rsidP="00714255">
            <w:pPr>
              <w:spacing w:before="0" w:after="0" w:line="259" w:lineRule="auto"/>
              <w:jc w:val="center"/>
              <w:rPr>
                <w:rFonts w:cs="Arial"/>
                <w:sz w:val="20"/>
                <w:szCs w:val="18"/>
              </w:rPr>
            </w:pPr>
            <w:r w:rsidRPr="00111DC0">
              <w:rPr>
                <w:rFonts w:cs="Arial"/>
                <w:sz w:val="20"/>
                <w:szCs w:val="18"/>
              </w:rPr>
              <w:t>53%</w:t>
            </w:r>
          </w:p>
        </w:tc>
        <w:tc>
          <w:tcPr>
            <w:tcW w:w="1028" w:type="pct"/>
            <w:tcBorders>
              <w:right w:val="double" w:sz="4" w:space="0" w:color="auto"/>
            </w:tcBorders>
            <w:shd w:val="clear" w:color="auto" w:fill="auto"/>
            <w:vAlign w:val="center"/>
          </w:tcPr>
          <w:p w14:paraId="6E93351A" w14:textId="3C3C9CA4" w:rsidR="00457F89" w:rsidRPr="00111DC0" w:rsidRDefault="00851688" w:rsidP="00714255">
            <w:pPr>
              <w:spacing w:before="0" w:after="0" w:line="259" w:lineRule="auto"/>
              <w:jc w:val="center"/>
              <w:rPr>
                <w:rFonts w:cs="Arial"/>
                <w:sz w:val="20"/>
                <w:szCs w:val="18"/>
              </w:rPr>
            </w:pPr>
            <w:r w:rsidRPr="00111DC0">
              <w:rPr>
                <w:rFonts w:cs="Arial"/>
                <w:sz w:val="20"/>
                <w:szCs w:val="18"/>
              </w:rPr>
              <w:t>47%</w:t>
            </w:r>
          </w:p>
        </w:tc>
        <w:tc>
          <w:tcPr>
            <w:tcW w:w="1028" w:type="pct"/>
            <w:tcBorders>
              <w:left w:val="double" w:sz="4" w:space="0" w:color="auto"/>
              <w:right w:val="double" w:sz="4" w:space="0" w:color="auto"/>
            </w:tcBorders>
            <w:vAlign w:val="center"/>
          </w:tcPr>
          <w:p w14:paraId="20690D19" w14:textId="50EE9E17" w:rsidR="00457F89" w:rsidRPr="00111DC0" w:rsidRDefault="00457F89" w:rsidP="00714255">
            <w:pPr>
              <w:spacing w:before="0" w:after="0" w:line="259" w:lineRule="auto"/>
              <w:jc w:val="center"/>
              <w:rPr>
                <w:rFonts w:cs="Arial"/>
                <w:b/>
                <w:bCs/>
                <w:sz w:val="20"/>
                <w:szCs w:val="18"/>
              </w:rPr>
            </w:pPr>
            <w:r w:rsidRPr="00111DC0">
              <w:rPr>
                <w:rFonts w:cs="Arial"/>
                <w:b/>
                <w:bCs/>
                <w:sz w:val="20"/>
                <w:szCs w:val="18"/>
              </w:rPr>
              <w:t>15</w:t>
            </w:r>
          </w:p>
        </w:tc>
      </w:tr>
      <w:tr w:rsidR="00457F89" w:rsidRPr="00111DC0" w14:paraId="467DE001" w14:textId="77777777" w:rsidTr="00265097">
        <w:tc>
          <w:tcPr>
            <w:tcW w:w="1917" w:type="pct"/>
            <w:tcBorders>
              <w:top w:val="single" w:sz="4" w:space="0" w:color="000000"/>
              <w:left w:val="double" w:sz="4" w:space="0" w:color="auto"/>
              <w:bottom w:val="single" w:sz="4" w:space="0" w:color="000000"/>
              <w:right w:val="double" w:sz="4" w:space="0" w:color="auto"/>
            </w:tcBorders>
            <w:vAlign w:val="center"/>
          </w:tcPr>
          <w:p w14:paraId="1A01263D" w14:textId="12D30547" w:rsidR="00457F89" w:rsidRPr="00265097" w:rsidRDefault="00457F89" w:rsidP="00A969B7">
            <w:pPr>
              <w:spacing w:before="0" w:after="0" w:line="259" w:lineRule="auto"/>
              <w:jc w:val="right"/>
              <w:rPr>
                <w:rFonts w:cs="Arial"/>
                <w:sz w:val="18"/>
                <w:szCs w:val="16"/>
              </w:rPr>
            </w:pPr>
            <w:r w:rsidRPr="00265097">
              <w:rPr>
                <w:rFonts w:cs="Arial"/>
                <w:sz w:val="18"/>
                <w:szCs w:val="16"/>
              </w:rPr>
              <w:t>Concurrencia a exámenes</w:t>
            </w:r>
          </w:p>
        </w:tc>
        <w:tc>
          <w:tcPr>
            <w:tcW w:w="1028" w:type="pct"/>
            <w:tcBorders>
              <w:left w:val="double" w:sz="4" w:space="0" w:color="auto"/>
            </w:tcBorders>
            <w:vAlign w:val="center"/>
          </w:tcPr>
          <w:p w14:paraId="3924ABA2" w14:textId="57E3BAFC" w:rsidR="00457F89" w:rsidRPr="00111DC0" w:rsidRDefault="00457F89" w:rsidP="00714255">
            <w:pPr>
              <w:spacing w:before="0" w:after="0" w:line="259" w:lineRule="auto"/>
              <w:jc w:val="center"/>
              <w:rPr>
                <w:rFonts w:cs="Arial"/>
                <w:sz w:val="20"/>
                <w:szCs w:val="18"/>
              </w:rPr>
            </w:pPr>
            <w:r w:rsidRPr="00111DC0">
              <w:rPr>
                <w:rFonts w:cs="Arial"/>
                <w:sz w:val="20"/>
                <w:szCs w:val="18"/>
              </w:rPr>
              <w:t>48%</w:t>
            </w:r>
          </w:p>
        </w:tc>
        <w:tc>
          <w:tcPr>
            <w:tcW w:w="1028" w:type="pct"/>
            <w:tcBorders>
              <w:right w:val="double" w:sz="4" w:space="0" w:color="auto"/>
            </w:tcBorders>
            <w:shd w:val="clear" w:color="auto" w:fill="auto"/>
            <w:vAlign w:val="center"/>
          </w:tcPr>
          <w:p w14:paraId="4ED9258A" w14:textId="4018730A" w:rsidR="00457F89" w:rsidRPr="00111DC0" w:rsidRDefault="00851688" w:rsidP="00714255">
            <w:pPr>
              <w:spacing w:before="0" w:after="0" w:line="259" w:lineRule="auto"/>
              <w:jc w:val="center"/>
              <w:rPr>
                <w:rFonts w:cs="Arial"/>
                <w:sz w:val="20"/>
                <w:szCs w:val="18"/>
              </w:rPr>
            </w:pPr>
            <w:r w:rsidRPr="00111DC0">
              <w:rPr>
                <w:rFonts w:cs="Arial"/>
                <w:sz w:val="20"/>
                <w:szCs w:val="18"/>
              </w:rPr>
              <w:t>52%</w:t>
            </w:r>
          </w:p>
        </w:tc>
        <w:tc>
          <w:tcPr>
            <w:tcW w:w="1028" w:type="pct"/>
            <w:tcBorders>
              <w:left w:val="double" w:sz="4" w:space="0" w:color="auto"/>
              <w:right w:val="double" w:sz="4" w:space="0" w:color="auto"/>
            </w:tcBorders>
            <w:vAlign w:val="center"/>
          </w:tcPr>
          <w:p w14:paraId="7B82081B" w14:textId="7489EB59" w:rsidR="00457F89" w:rsidRPr="00111DC0" w:rsidRDefault="00457F89" w:rsidP="00714255">
            <w:pPr>
              <w:spacing w:before="0" w:after="0" w:line="259" w:lineRule="auto"/>
              <w:jc w:val="center"/>
              <w:rPr>
                <w:rFonts w:cs="Arial"/>
                <w:b/>
                <w:bCs/>
                <w:sz w:val="20"/>
                <w:szCs w:val="18"/>
              </w:rPr>
            </w:pPr>
            <w:r w:rsidRPr="00111DC0">
              <w:rPr>
                <w:rFonts w:cs="Arial"/>
                <w:b/>
                <w:bCs/>
                <w:sz w:val="20"/>
                <w:szCs w:val="18"/>
              </w:rPr>
              <w:t>82</w:t>
            </w:r>
          </w:p>
        </w:tc>
      </w:tr>
      <w:tr w:rsidR="00457F89" w:rsidRPr="00111DC0" w14:paraId="398B47C3" w14:textId="77777777" w:rsidTr="00265097">
        <w:tc>
          <w:tcPr>
            <w:tcW w:w="1917" w:type="pct"/>
            <w:tcBorders>
              <w:top w:val="single" w:sz="4" w:space="0" w:color="000000"/>
              <w:left w:val="double" w:sz="4" w:space="0" w:color="auto"/>
              <w:bottom w:val="single" w:sz="4" w:space="0" w:color="000000"/>
              <w:right w:val="double" w:sz="4" w:space="0" w:color="auto"/>
            </w:tcBorders>
            <w:vAlign w:val="center"/>
          </w:tcPr>
          <w:p w14:paraId="66076B4A" w14:textId="0A162ED5" w:rsidR="00457F89" w:rsidRPr="00265097" w:rsidRDefault="00457F89" w:rsidP="00A969B7">
            <w:pPr>
              <w:spacing w:before="0" w:after="0" w:line="259" w:lineRule="auto"/>
              <w:jc w:val="right"/>
              <w:rPr>
                <w:rFonts w:cs="Arial"/>
                <w:sz w:val="18"/>
                <w:szCs w:val="16"/>
              </w:rPr>
            </w:pPr>
            <w:r w:rsidRPr="00265097">
              <w:rPr>
                <w:rFonts w:cs="Arial"/>
                <w:sz w:val="18"/>
                <w:szCs w:val="16"/>
              </w:rPr>
              <w:t>Flexibilidad horaria</w:t>
            </w:r>
          </w:p>
        </w:tc>
        <w:tc>
          <w:tcPr>
            <w:tcW w:w="1028" w:type="pct"/>
            <w:tcBorders>
              <w:left w:val="double" w:sz="4" w:space="0" w:color="auto"/>
            </w:tcBorders>
            <w:vAlign w:val="center"/>
          </w:tcPr>
          <w:p w14:paraId="45ABE96C" w14:textId="56894749" w:rsidR="00457F89" w:rsidRPr="00111DC0" w:rsidRDefault="00457F89" w:rsidP="00714255">
            <w:pPr>
              <w:spacing w:before="0" w:after="0" w:line="259" w:lineRule="auto"/>
              <w:jc w:val="center"/>
              <w:rPr>
                <w:rFonts w:cs="Arial"/>
                <w:sz w:val="20"/>
                <w:szCs w:val="18"/>
              </w:rPr>
            </w:pPr>
            <w:r w:rsidRPr="00111DC0">
              <w:rPr>
                <w:rFonts w:cs="Arial"/>
                <w:sz w:val="20"/>
                <w:szCs w:val="18"/>
              </w:rPr>
              <w:t>70%</w:t>
            </w:r>
          </w:p>
        </w:tc>
        <w:tc>
          <w:tcPr>
            <w:tcW w:w="1028" w:type="pct"/>
            <w:tcBorders>
              <w:right w:val="double" w:sz="4" w:space="0" w:color="auto"/>
            </w:tcBorders>
            <w:shd w:val="clear" w:color="auto" w:fill="auto"/>
            <w:vAlign w:val="center"/>
          </w:tcPr>
          <w:p w14:paraId="6F26B184" w14:textId="59C28F62" w:rsidR="00457F89" w:rsidRPr="00111DC0" w:rsidRDefault="00851688" w:rsidP="00714255">
            <w:pPr>
              <w:spacing w:before="0" w:after="0" w:line="259" w:lineRule="auto"/>
              <w:jc w:val="center"/>
              <w:rPr>
                <w:rFonts w:cs="Arial"/>
                <w:sz w:val="20"/>
                <w:szCs w:val="18"/>
              </w:rPr>
            </w:pPr>
            <w:r w:rsidRPr="00111DC0">
              <w:rPr>
                <w:rFonts w:cs="Arial"/>
                <w:sz w:val="20"/>
                <w:szCs w:val="18"/>
              </w:rPr>
              <w:t>30%</w:t>
            </w:r>
          </w:p>
        </w:tc>
        <w:tc>
          <w:tcPr>
            <w:tcW w:w="1028" w:type="pct"/>
            <w:tcBorders>
              <w:left w:val="double" w:sz="4" w:space="0" w:color="auto"/>
              <w:right w:val="double" w:sz="4" w:space="0" w:color="auto"/>
            </w:tcBorders>
            <w:vAlign w:val="center"/>
          </w:tcPr>
          <w:p w14:paraId="3A751AA0" w14:textId="04059D1B" w:rsidR="00457F89" w:rsidRPr="00111DC0" w:rsidRDefault="00457F89" w:rsidP="00714255">
            <w:pPr>
              <w:spacing w:before="0" w:after="0" w:line="259" w:lineRule="auto"/>
              <w:jc w:val="center"/>
              <w:rPr>
                <w:rFonts w:cs="Arial"/>
                <w:b/>
                <w:bCs/>
                <w:sz w:val="20"/>
                <w:szCs w:val="18"/>
              </w:rPr>
            </w:pPr>
            <w:r w:rsidRPr="00111DC0">
              <w:rPr>
                <w:rFonts w:cs="Arial"/>
                <w:b/>
                <w:bCs/>
                <w:sz w:val="20"/>
                <w:szCs w:val="18"/>
              </w:rPr>
              <w:t>54</w:t>
            </w:r>
          </w:p>
        </w:tc>
      </w:tr>
      <w:tr w:rsidR="00457F89" w:rsidRPr="00111DC0" w14:paraId="21CDB1F9" w14:textId="77777777" w:rsidTr="00265097">
        <w:tc>
          <w:tcPr>
            <w:tcW w:w="1917" w:type="pct"/>
            <w:tcBorders>
              <w:top w:val="single" w:sz="4" w:space="0" w:color="000000"/>
              <w:left w:val="double" w:sz="4" w:space="0" w:color="auto"/>
              <w:bottom w:val="single" w:sz="4" w:space="0" w:color="000000"/>
              <w:right w:val="double" w:sz="4" w:space="0" w:color="auto"/>
            </w:tcBorders>
            <w:vAlign w:val="center"/>
          </w:tcPr>
          <w:p w14:paraId="0004435D" w14:textId="2AA42EBB" w:rsidR="00457F89" w:rsidRPr="00265097" w:rsidRDefault="00457F89" w:rsidP="00A969B7">
            <w:pPr>
              <w:spacing w:before="0" w:after="0" w:line="259" w:lineRule="auto"/>
              <w:jc w:val="right"/>
              <w:rPr>
                <w:rFonts w:cs="Arial"/>
                <w:sz w:val="18"/>
                <w:szCs w:val="16"/>
              </w:rPr>
            </w:pPr>
            <w:r w:rsidRPr="00265097">
              <w:rPr>
                <w:rFonts w:cs="Arial"/>
                <w:sz w:val="18"/>
                <w:szCs w:val="16"/>
              </w:rPr>
              <w:t>Reducción de jornada por cesación progresiva</w:t>
            </w:r>
          </w:p>
        </w:tc>
        <w:tc>
          <w:tcPr>
            <w:tcW w:w="1028" w:type="pct"/>
            <w:tcBorders>
              <w:left w:val="double" w:sz="4" w:space="0" w:color="auto"/>
            </w:tcBorders>
            <w:vAlign w:val="center"/>
          </w:tcPr>
          <w:p w14:paraId="3E98E9A1" w14:textId="438888D7" w:rsidR="00457F89" w:rsidRPr="00111DC0" w:rsidRDefault="00851688" w:rsidP="00714255">
            <w:pPr>
              <w:spacing w:before="0" w:after="0" w:line="259" w:lineRule="auto"/>
              <w:jc w:val="center"/>
              <w:rPr>
                <w:rFonts w:cs="Arial"/>
                <w:sz w:val="20"/>
                <w:szCs w:val="18"/>
              </w:rPr>
            </w:pPr>
            <w:r w:rsidRPr="00111DC0">
              <w:rPr>
                <w:rFonts w:cs="Arial"/>
                <w:sz w:val="20"/>
                <w:szCs w:val="18"/>
              </w:rPr>
              <w:t>43%</w:t>
            </w:r>
          </w:p>
        </w:tc>
        <w:tc>
          <w:tcPr>
            <w:tcW w:w="1028" w:type="pct"/>
            <w:tcBorders>
              <w:right w:val="double" w:sz="4" w:space="0" w:color="auto"/>
            </w:tcBorders>
            <w:shd w:val="clear" w:color="auto" w:fill="auto"/>
            <w:vAlign w:val="center"/>
          </w:tcPr>
          <w:p w14:paraId="0B478ABA" w14:textId="1B54B20F" w:rsidR="00457F89" w:rsidRPr="00111DC0" w:rsidRDefault="00851688" w:rsidP="00714255">
            <w:pPr>
              <w:spacing w:before="0" w:after="0" w:line="259" w:lineRule="auto"/>
              <w:jc w:val="center"/>
              <w:rPr>
                <w:rFonts w:cs="Arial"/>
                <w:sz w:val="20"/>
                <w:szCs w:val="18"/>
              </w:rPr>
            </w:pPr>
            <w:r w:rsidRPr="00111DC0">
              <w:rPr>
                <w:rFonts w:cs="Arial"/>
                <w:sz w:val="20"/>
                <w:szCs w:val="18"/>
              </w:rPr>
              <w:t>57%</w:t>
            </w:r>
          </w:p>
        </w:tc>
        <w:tc>
          <w:tcPr>
            <w:tcW w:w="1028" w:type="pct"/>
            <w:tcBorders>
              <w:left w:val="double" w:sz="4" w:space="0" w:color="auto"/>
              <w:right w:val="double" w:sz="4" w:space="0" w:color="auto"/>
            </w:tcBorders>
            <w:vAlign w:val="center"/>
          </w:tcPr>
          <w:p w14:paraId="52A1BC9D" w14:textId="2C441F5F" w:rsidR="00457F89" w:rsidRPr="00111DC0" w:rsidRDefault="00457F89" w:rsidP="00714255">
            <w:pPr>
              <w:spacing w:before="0" w:after="0" w:line="259" w:lineRule="auto"/>
              <w:jc w:val="center"/>
              <w:rPr>
                <w:rFonts w:cs="Arial"/>
                <w:b/>
                <w:bCs/>
                <w:sz w:val="20"/>
                <w:szCs w:val="18"/>
              </w:rPr>
            </w:pPr>
            <w:r w:rsidRPr="00111DC0">
              <w:rPr>
                <w:rFonts w:cs="Arial"/>
                <w:b/>
                <w:bCs/>
                <w:sz w:val="20"/>
                <w:szCs w:val="18"/>
              </w:rPr>
              <w:t>251</w:t>
            </w:r>
          </w:p>
        </w:tc>
      </w:tr>
      <w:tr w:rsidR="00457F89" w:rsidRPr="00111DC0" w14:paraId="4547CE88" w14:textId="77777777" w:rsidTr="00265097">
        <w:tc>
          <w:tcPr>
            <w:tcW w:w="1917" w:type="pct"/>
            <w:tcBorders>
              <w:top w:val="double" w:sz="4" w:space="0" w:color="auto"/>
              <w:left w:val="double" w:sz="4" w:space="0" w:color="auto"/>
              <w:bottom w:val="single" w:sz="4" w:space="0" w:color="000000"/>
              <w:right w:val="double" w:sz="4" w:space="0" w:color="auto"/>
            </w:tcBorders>
            <w:vAlign w:val="center"/>
          </w:tcPr>
          <w:p w14:paraId="3D69AFE9" w14:textId="55B15DD0" w:rsidR="00457F89" w:rsidRPr="00A969B7" w:rsidRDefault="00832653" w:rsidP="00A969B7">
            <w:pPr>
              <w:spacing w:before="0" w:after="0" w:line="259" w:lineRule="auto"/>
              <w:jc w:val="right"/>
              <w:rPr>
                <w:rFonts w:cs="Arial"/>
                <w:sz w:val="20"/>
                <w:szCs w:val="18"/>
              </w:rPr>
            </w:pPr>
            <w:r w:rsidRPr="00A969B7">
              <w:rPr>
                <w:rFonts w:eastAsiaTheme="majorEastAsia" w:cs="Arial"/>
                <w:snapToGrid w:val="0"/>
                <w:color w:val="78BE20"/>
                <w:szCs w:val="26"/>
              </w:rPr>
              <w:t>Personal Docente</w:t>
            </w:r>
          </w:p>
        </w:tc>
        <w:tc>
          <w:tcPr>
            <w:tcW w:w="1028" w:type="pct"/>
            <w:tcBorders>
              <w:top w:val="double" w:sz="4" w:space="0" w:color="auto"/>
              <w:left w:val="double" w:sz="4" w:space="0" w:color="auto"/>
            </w:tcBorders>
            <w:vAlign w:val="center"/>
          </w:tcPr>
          <w:p w14:paraId="1A8E44D4" w14:textId="77777777" w:rsidR="00457F89" w:rsidRPr="00111DC0" w:rsidRDefault="00457F89" w:rsidP="00714255">
            <w:pPr>
              <w:spacing w:before="0" w:after="0" w:line="259" w:lineRule="auto"/>
              <w:jc w:val="center"/>
              <w:rPr>
                <w:rFonts w:cs="Arial"/>
                <w:sz w:val="20"/>
                <w:szCs w:val="18"/>
              </w:rPr>
            </w:pPr>
          </w:p>
        </w:tc>
        <w:tc>
          <w:tcPr>
            <w:tcW w:w="1028" w:type="pct"/>
            <w:tcBorders>
              <w:top w:val="double" w:sz="4" w:space="0" w:color="auto"/>
              <w:right w:val="double" w:sz="4" w:space="0" w:color="auto"/>
            </w:tcBorders>
            <w:shd w:val="clear" w:color="auto" w:fill="auto"/>
            <w:vAlign w:val="center"/>
          </w:tcPr>
          <w:p w14:paraId="5EF341EB" w14:textId="77777777" w:rsidR="00457F89" w:rsidRPr="00111DC0" w:rsidRDefault="00457F89" w:rsidP="00714255">
            <w:pPr>
              <w:spacing w:before="0" w:after="0" w:line="259" w:lineRule="auto"/>
              <w:jc w:val="center"/>
              <w:rPr>
                <w:rFonts w:cs="Arial"/>
                <w:sz w:val="20"/>
                <w:szCs w:val="18"/>
              </w:rPr>
            </w:pPr>
          </w:p>
        </w:tc>
        <w:tc>
          <w:tcPr>
            <w:tcW w:w="1028" w:type="pct"/>
            <w:tcBorders>
              <w:top w:val="double" w:sz="4" w:space="0" w:color="auto"/>
              <w:left w:val="double" w:sz="4" w:space="0" w:color="auto"/>
              <w:right w:val="double" w:sz="4" w:space="0" w:color="auto"/>
            </w:tcBorders>
            <w:vAlign w:val="center"/>
          </w:tcPr>
          <w:p w14:paraId="3534CA76" w14:textId="77777777" w:rsidR="00457F89" w:rsidRPr="00111DC0" w:rsidRDefault="00457F89" w:rsidP="00714255">
            <w:pPr>
              <w:spacing w:before="0" w:after="0" w:line="259" w:lineRule="auto"/>
              <w:jc w:val="center"/>
              <w:rPr>
                <w:rFonts w:cs="Arial"/>
                <w:b/>
                <w:bCs/>
                <w:sz w:val="20"/>
                <w:szCs w:val="18"/>
              </w:rPr>
            </w:pPr>
          </w:p>
        </w:tc>
      </w:tr>
      <w:tr w:rsidR="00851688" w:rsidRPr="00111DC0" w14:paraId="656766B7" w14:textId="77777777" w:rsidTr="00265097">
        <w:tc>
          <w:tcPr>
            <w:tcW w:w="1917" w:type="pct"/>
            <w:tcBorders>
              <w:top w:val="single" w:sz="4" w:space="0" w:color="000000"/>
              <w:left w:val="double" w:sz="4" w:space="0" w:color="auto"/>
              <w:bottom w:val="single" w:sz="4" w:space="0" w:color="000000"/>
              <w:right w:val="double" w:sz="4" w:space="0" w:color="auto"/>
            </w:tcBorders>
            <w:vAlign w:val="center"/>
          </w:tcPr>
          <w:p w14:paraId="6ECB240D" w14:textId="70238127" w:rsidR="00851688" w:rsidRPr="00265097" w:rsidRDefault="00851688" w:rsidP="00A969B7">
            <w:pPr>
              <w:spacing w:before="0" w:after="0" w:line="259" w:lineRule="auto"/>
              <w:jc w:val="right"/>
              <w:rPr>
                <w:rFonts w:cs="Arial"/>
                <w:sz w:val="18"/>
                <w:szCs w:val="16"/>
              </w:rPr>
            </w:pPr>
            <w:r w:rsidRPr="00265097">
              <w:rPr>
                <w:rFonts w:cs="Arial"/>
                <w:sz w:val="18"/>
                <w:szCs w:val="16"/>
              </w:rPr>
              <w:t>Lactancia acumulada</w:t>
            </w:r>
          </w:p>
        </w:tc>
        <w:tc>
          <w:tcPr>
            <w:tcW w:w="1028" w:type="pct"/>
            <w:tcBorders>
              <w:left w:val="double" w:sz="4" w:space="0" w:color="auto"/>
            </w:tcBorders>
            <w:vAlign w:val="center"/>
          </w:tcPr>
          <w:p w14:paraId="0232EF1A" w14:textId="75C2F8F5" w:rsidR="00851688" w:rsidRPr="00111DC0" w:rsidRDefault="000D3A28" w:rsidP="00714255">
            <w:pPr>
              <w:spacing w:before="0" w:after="0" w:line="259" w:lineRule="auto"/>
              <w:jc w:val="center"/>
              <w:rPr>
                <w:rFonts w:cs="Arial"/>
                <w:sz w:val="20"/>
                <w:szCs w:val="18"/>
              </w:rPr>
            </w:pPr>
            <w:r w:rsidRPr="00111DC0">
              <w:rPr>
                <w:rFonts w:cs="Arial"/>
                <w:sz w:val="20"/>
                <w:szCs w:val="18"/>
              </w:rPr>
              <w:t>81%</w:t>
            </w:r>
          </w:p>
        </w:tc>
        <w:tc>
          <w:tcPr>
            <w:tcW w:w="1028" w:type="pct"/>
            <w:tcBorders>
              <w:right w:val="double" w:sz="4" w:space="0" w:color="auto"/>
            </w:tcBorders>
            <w:shd w:val="clear" w:color="auto" w:fill="auto"/>
            <w:vAlign w:val="center"/>
          </w:tcPr>
          <w:p w14:paraId="770B6CF8" w14:textId="71353AC9" w:rsidR="00851688" w:rsidRPr="00111DC0" w:rsidRDefault="000D3A28" w:rsidP="00714255">
            <w:pPr>
              <w:spacing w:before="0" w:after="0" w:line="259" w:lineRule="auto"/>
              <w:jc w:val="center"/>
              <w:rPr>
                <w:rFonts w:cs="Arial"/>
                <w:sz w:val="20"/>
                <w:szCs w:val="18"/>
              </w:rPr>
            </w:pPr>
            <w:r w:rsidRPr="00111DC0">
              <w:rPr>
                <w:rFonts w:cs="Arial"/>
                <w:sz w:val="20"/>
                <w:szCs w:val="18"/>
              </w:rPr>
              <w:t>19%</w:t>
            </w:r>
          </w:p>
        </w:tc>
        <w:tc>
          <w:tcPr>
            <w:tcW w:w="1028" w:type="pct"/>
            <w:tcBorders>
              <w:left w:val="double" w:sz="4" w:space="0" w:color="auto"/>
              <w:right w:val="double" w:sz="4" w:space="0" w:color="auto"/>
            </w:tcBorders>
            <w:vAlign w:val="center"/>
          </w:tcPr>
          <w:p w14:paraId="0C604C9A" w14:textId="6A388DBF" w:rsidR="00851688" w:rsidRPr="00111DC0" w:rsidRDefault="00E77E96" w:rsidP="00714255">
            <w:pPr>
              <w:spacing w:before="0" w:after="0" w:line="259" w:lineRule="auto"/>
              <w:jc w:val="center"/>
              <w:rPr>
                <w:rFonts w:cs="Arial"/>
                <w:b/>
                <w:bCs/>
                <w:sz w:val="20"/>
                <w:szCs w:val="18"/>
              </w:rPr>
            </w:pPr>
            <w:r w:rsidRPr="00111DC0">
              <w:rPr>
                <w:rFonts w:cs="Arial"/>
                <w:b/>
                <w:bCs/>
                <w:sz w:val="20"/>
                <w:szCs w:val="18"/>
              </w:rPr>
              <w:t>16</w:t>
            </w:r>
          </w:p>
        </w:tc>
      </w:tr>
      <w:tr w:rsidR="00851688" w:rsidRPr="00111DC0" w14:paraId="1C11CFE0" w14:textId="77777777" w:rsidTr="00265097">
        <w:tc>
          <w:tcPr>
            <w:tcW w:w="1917" w:type="pct"/>
            <w:tcBorders>
              <w:top w:val="single" w:sz="4" w:space="0" w:color="000000"/>
              <w:left w:val="double" w:sz="4" w:space="0" w:color="auto"/>
              <w:bottom w:val="single" w:sz="4" w:space="0" w:color="000000"/>
              <w:right w:val="double" w:sz="4" w:space="0" w:color="auto"/>
            </w:tcBorders>
            <w:vAlign w:val="center"/>
          </w:tcPr>
          <w:p w14:paraId="4ADC7237" w14:textId="12C09665" w:rsidR="00851688" w:rsidRPr="00265097" w:rsidRDefault="00851688" w:rsidP="00A969B7">
            <w:pPr>
              <w:spacing w:before="0" w:after="0" w:line="259" w:lineRule="auto"/>
              <w:jc w:val="right"/>
              <w:rPr>
                <w:rFonts w:cs="Arial"/>
                <w:sz w:val="18"/>
                <w:szCs w:val="16"/>
              </w:rPr>
            </w:pPr>
            <w:r w:rsidRPr="00265097">
              <w:rPr>
                <w:rFonts w:cs="Arial"/>
                <w:sz w:val="18"/>
                <w:szCs w:val="16"/>
              </w:rPr>
              <w:t>Lactancia sin acumulación</w:t>
            </w:r>
          </w:p>
        </w:tc>
        <w:tc>
          <w:tcPr>
            <w:tcW w:w="1028" w:type="pct"/>
            <w:tcBorders>
              <w:left w:val="double" w:sz="4" w:space="0" w:color="auto"/>
            </w:tcBorders>
            <w:vAlign w:val="center"/>
          </w:tcPr>
          <w:p w14:paraId="06168BDD" w14:textId="7D77BE6F" w:rsidR="00851688" w:rsidRPr="00111DC0" w:rsidRDefault="000D3A28" w:rsidP="00714255">
            <w:pPr>
              <w:spacing w:before="0" w:after="0" w:line="259" w:lineRule="auto"/>
              <w:jc w:val="center"/>
              <w:rPr>
                <w:rFonts w:cs="Arial"/>
                <w:sz w:val="20"/>
                <w:szCs w:val="18"/>
              </w:rPr>
            </w:pPr>
            <w:r w:rsidRPr="00111DC0">
              <w:rPr>
                <w:rFonts w:cs="Arial"/>
                <w:sz w:val="20"/>
                <w:szCs w:val="18"/>
              </w:rPr>
              <w:t>70%</w:t>
            </w:r>
          </w:p>
        </w:tc>
        <w:tc>
          <w:tcPr>
            <w:tcW w:w="1028" w:type="pct"/>
            <w:tcBorders>
              <w:right w:val="double" w:sz="4" w:space="0" w:color="auto"/>
            </w:tcBorders>
            <w:shd w:val="clear" w:color="auto" w:fill="auto"/>
            <w:vAlign w:val="center"/>
          </w:tcPr>
          <w:p w14:paraId="2A0055A2" w14:textId="2264D051" w:rsidR="00851688" w:rsidRPr="00111DC0" w:rsidRDefault="000D3A28" w:rsidP="00714255">
            <w:pPr>
              <w:spacing w:before="0" w:after="0" w:line="259" w:lineRule="auto"/>
              <w:jc w:val="center"/>
              <w:rPr>
                <w:rFonts w:cs="Arial"/>
                <w:sz w:val="20"/>
                <w:szCs w:val="18"/>
              </w:rPr>
            </w:pPr>
            <w:r w:rsidRPr="00111DC0">
              <w:rPr>
                <w:rFonts w:cs="Arial"/>
                <w:sz w:val="20"/>
                <w:szCs w:val="18"/>
              </w:rPr>
              <w:t>30%</w:t>
            </w:r>
          </w:p>
        </w:tc>
        <w:tc>
          <w:tcPr>
            <w:tcW w:w="1028" w:type="pct"/>
            <w:tcBorders>
              <w:left w:val="double" w:sz="4" w:space="0" w:color="auto"/>
              <w:right w:val="double" w:sz="4" w:space="0" w:color="auto"/>
            </w:tcBorders>
            <w:vAlign w:val="center"/>
          </w:tcPr>
          <w:p w14:paraId="69E1F21A" w14:textId="7C53F8F4" w:rsidR="00851688" w:rsidRPr="00111DC0" w:rsidRDefault="00E77E96" w:rsidP="00714255">
            <w:pPr>
              <w:spacing w:before="0" w:after="0" w:line="259" w:lineRule="auto"/>
              <w:jc w:val="center"/>
              <w:rPr>
                <w:rFonts w:cs="Arial"/>
                <w:b/>
                <w:bCs/>
                <w:sz w:val="20"/>
                <w:szCs w:val="18"/>
              </w:rPr>
            </w:pPr>
            <w:r w:rsidRPr="00111DC0">
              <w:rPr>
                <w:rFonts w:cs="Arial"/>
                <w:b/>
                <w:bCs/>
                <w:sz w:val="20"/>
                <w:szCs w:val="18"/>
              </w:rPr>
              <w:t>33</w:t>
            </w:r>
          </w:p>
        </w:tc>
      </w:tr>
      <w:tr w:rsidR="00851688" w:rsidRPr="00111DC0" w14:paraId="1060C247" w14:textId="77777777" w:rsidTr="00265097">
        <w:tc>
          <w:tcPr>
            <w:tcW w:w="1917" w:type="pct"/>
            <w:tcBorders>
              <w:top w:val="single" w:sz="4" w:space="0" w:color="000000"/>
              <w:left w:val="double" w:sz="4" w:space="0" w:color="auto"/>
              <w:bottom w:val="single" w:sz="4" w:space="0" w:color="000000"/>
              <w:right w:val="double" w:sz="4" w:space="0" w:color="auto"/>
            </w:tcBorders>
            <w:vAlign w:val="center"/>
          </w:tcPr>
          <w:p w14:paraId="72608496" w14:textId="3D2CBE34" w:rsidR="00851688" w:rsidRPr="00265097" w:rsidRDefault="00E77E96" w:rsidP="00A969B7">
            <w:pPr>
              <w:spacing w:before="0" w:after="0" w:line="259" w:lineRule="auto"/>
              <w:jc w:val="right"/>
              <w:rPr>
                <w:rFonts w:cs="Arial"/>
                <w:sz w:val="18"/>
                <w:szCs w:val="16"/>
              </w:rPr>
            </w:pPr>
            <w:r w:rsidRPr="00265097">
              <w:rPr>
                <w:rFonts w:cs="Arial"/>
                <w:sz w:val="18"/>
                <w:szCs w:val="16"/>
              </w:rPr>
              <w:t>Parto</w:t>
            </w:r>
          </w:p>
        </w:tc>
        <w:tc>
          <w:tcPr>
            <w:tcW w:w="1028" w:type="pct"/>
            <w:tcBorders>
              <w:left w:val="double" w:sz="4" w:space="0" w:color="auto"/>
            </w:tcBorders>
            <w:vAlign w:val="center"/>
          </w:tcPr>
          <w:p w14:paraId="7BCB61E1" w14:textId="04882E1F" w:rsidR="00851688" w:rsidRPr="00111DC0" w:rsidRDefault="000D3A28" w:rsidP="00714255">
            <w:pPr>
              <w:spacing w:before="0" w:after="0" w:line="259" w:lineRule="auto"/>
              <w:jc w:val="center"/>
              <w:rPr>
                <w:rFonts w:cs="Arial"/>
                <w:sz w:val="20"/>
                <w:szCs w:val="18"/>
              </w:rPr>
            </w:pPr>
            <w:r w:rsidRPr="00111DC0">
              <w:rPr>
                <w:rFonts w:cs="Arial"/>
                <w:sz w:val="20"/>
                <w:szCs w:val="18"/>
              </w:rPr>
              <w:t>100%</w:t>
            </w:r>
          </w:p>
        </w:tc>
        <w:tc>
          <w:tcPr>
            <w:tcW w:w="1028" w:type="pct"/>
            <w:tcBorders>
              <w:right w:val="double" w:sz="4" w:space="0" w:color="auto"/>
            </w:tcBorders>
            <w:shd w:val="clear" w:color="auto" w:fill="auto"/>
            <w:vAlign w:val="center"/>
          </w:tcPr>
          <w:p w14:paraId="4476EA73" w14:textId="46060BAC" w:rsidR="00851688" w:rsidRPr="00111DC0" w:rsidRDefault="000D3A28" w:rsidP="00714255">
            <w:pPr>
              <w:spacing w:before="0" w:after="0" w:line="259" w:lineRule="auto"/>
              <w:jc w:val="center"/>
              <w:rPr>
                <w:rFonts w:cs="Arial"/>
                <w:sz w:val="20"/>
                <w:szCs w:val="18"/>
              </w:rPr>
            </w:pPr>
            <w:r w:rsidRPr="00111DC0">
              <w:rPr>
                <w:rFonts w:cs="Arial"/>
                <w:sz w:val="20"/>
                <w:szCs w:val="18"/>
              </w:rPr>
              <w:t>0%</w:t>
            </w:r>
          </w:p>
        </w:tc>
        <w:tc>
          <w:tcPr>
            <w:tcW w:w="1028" w:type="pct"/>
            <w:tcBorders>
              <w:left w:val="double" w:sz="4" w:space="0" w:color="auto"/>
              <w:right w:val="double" w:sz="4" w:space="0" w:color="auto"/>
            </w:tcBorders>
            <w:vAlign w:val="center"/>
          </w:tcPr>
          <w:p w14:paraId="210D2568" w14:textId="7901F5E7" w:rsidR="00851688" w:rsidRPr="00111DC0" w:rsidRDefault="00E77E96" w:rsidP="00714255">
            <w:pPr>
              <w:spacing w:before="0" w:after="0" w:line="259" w:lineRule="auto"/>
              <w:jc w:val="center"/>
              <w:rPr>
                <w:rFonts w:cs="Arial"/>
                <w:b/>
                <w:bCs/>
                <w:sz w:val="20"/>
                <w:szCs w:val="18"/>
              </w:rPr>
            </w:pPr>
            <w:r w:rsidRPr="00111DC0">
              <w:rPr>
                <w:rFonts w:cs="Arial"/>
                <w:b/>
                <w:bCs/>
                <w:sz w:val="20"/>
                <w:szCs w:val="18"/>
              </w:rPr>
              <w:t>49</w:t>
            </w:r>
          </w:p>
        </w:tc>
      </w:tr>
      <w:tr w:rsidR="00E77E96" w:rsidRPr="00111DC0" w14:paraId="46A579E5" w14:textId="77777777" w:rsidTr="00265097">
        <w:tc>
          <w:tcPr>
            <w:tcW w:w="1917" w:type="pct"/>
            <w:tcBorders>
              <w:top w:val="single" w:sz="4" w:space="0" w:color="000000"/>
              <w:left w:val="double" w:sz="4" w:space="0" w:color="auto"/>
              <w:bottom w:val="double" w:sz="4" w:space="0" w:color="auto"/>
              <w:right w:val="double" w:sz="4" w:space="0" w:color="auto"/>
            </w:tcBorders>
            <w:vAlign w:val="center"/>
          </w:tcPr>
          <w:p w14:paraId="2752D663" w14:textId="1B7E2FA8" w:rsidR="00E77E96" w:rsidRPr="00265097" w:rsidRDefault="00E77E96" w:rsidP="00A969B7">
            <w:pPr>
              <w:spacing w:before="0" w:after="0" w:line="259" w:lineRule="auto"/>
              <w:jc w:val="right"/>
              <w:rPr>
                <w:rFonts w:cs="Arial"/>
                <w:sz w:val="18"/>
                <w:szCs w:val="16"/>
              </w:rPr>
            </w:pPr>
            <w:r w:rsidRPr="00265097">
              <w:rPr>
                <w:rFonts w:cs="Arial"/>
                <w:sz w:val="18"/>
                <w:szCs w:val="16"/>
              </w:rPr>
              <w:t>Progenitor distinto madre biológica</w:t>
            </w:r>
          </w:p>
        </w:tc>
        <w:tc>
          <w:tcPr>
            <w:tcW w:w="1028" w:type="pct"/>
            <w:tcBorders>
              <w:left w:val="double" w:sz="4" w:space="0" w:color="auto"/>
              <w:bottom w:val="double" w:sz="4" w:space="0" w:color="auto"/>
            </w:tcBorders>
            <w:vAlign w:val="center"/>
          </w:tcPr>
          <w:p w14:paraId="2FF75F7E" w14:textId="700627B5" w:rsidR="00E77E96" w:rsidRPr="00111DC0" w:rsidRDefault="000D3A28" w:rsidP="00714255">
            <w:pPr>
              <w:spacing w:before="0" w:after="0" w:line="259" w:lineRule="auto"/>
              <w:jc w:val="center"/>
              <w:rPr>
                <w:rFonts w:cs="Arial"/>
                <w:sz w:val="20"/>
                <w:szCs w:val="18"/>
              </w:rPr>
            </w:pPr>
            <w:r w:rsidRPr="00111DC0">
              <w:rPr>
                <w:rFonts w:cs="Arial"/>
                <w:sz w:val="20"/>
                <w:szCs w:val="18"/>
              </w:rPr>
              <w:t>0%</w:t>
            </w:r>
          </w:p>
        </w:tc>
        <w:tc>
          <w:tcPr>
            <w:tcW w:w="1028" w:type="pct"/>
            <w:tcBorders>
              <w:bottom w:val="double" w:sz="4" w:space="0" w:color="auto"/>
              <w:right w:val="double" w:sz="4" w:space="0" w:color="auto"/>
            </w:tcBorders>
            <w:shd w:val="clear" w:color="auto" w:fill="auto"/>
            <w:vAlign w:val="center"/>
          </w:tcPr>
          <w:p w14:paraId="40174236" w14:textId="683D7E7C" w:rsidR="00E77E96" w:rsidRPr="00111DC0" w:rsidRDefault="000D3A28" w:rsidP="00714255">
            <w:pPr>
              <w:spacing w:before="0" w:after="0" w:line="259" w:lineRule="auto"/>
              <w:jc w:val="center"/>
              <w:rPr>
                <w:rFonts w:cs="Arial"/>
                <w:sz w:val="20"/>
                <w:szCs w:val="18"/>
              </w:rPr>
            </w:pPr>
            <w:r w:rsidRPr="00111DC0">
              <w:rPr>
                <w:rFonts w:cs="Arial"/>
                <w:sz w:val="20"/>
                <w:szCs w:val="18"/>
              </w:rPr>
              <w:t>100%</w:t>
            </w:r>
          </w:p>
        </w:tc>
        <w:tc>
          <w:tcPr>
            <w:tcW w:w="1028" w:type="pct"/>
            <w:tcBorders>
              <w:left w:val="double" w:sz="4" w:space="0" w:color="auto"/>
              <w:bottom w:val="double" w:sz="4" w:space="0" w:color="auto"/>
              <w:right w:val="double" w:sz="4" w:space="0" w:color="auto"/>
            </w:tcBorders>
            <w:vAlign w:val="center"/>
          </w:tcPr>
          <w:p w14:paraId="5753D880" w14:textId="5B439D3F" w:rsidR="00E77E96" w:rsidRPr="00111DC0" w:rsidRDefault="00E77E96" w:rsidP="00714255">
            <w:pPr>
              <w:spacing w:before="0" w:after="0" w:line="259" w:lineRule="auto"/>
              <w:jc w:val="center"/>
              <w:rPr>
                <w:rFonts w:cs="Arial"/>
                <w:b/>
                <w:bCs/>
                <w:sz w:val="20"/>
                <w:szCs w:val="18"/>
              </w:rPr>
            </w:pPr>
            <w:r w:rsidRPr="00111DC0">
              <w:rPr>
                <w:rFonts w:cs="Arial"/>
                <w:b/>
                <w:bCs/>
                <w:sz w:val="20"/>
                <w:szCs w:val="18"/>
              </w:rPr>
              <w:t>8</w:t>
            </w:r>
          </w:p>
        </w:tc>
      </w:tr>
    </w:tbl>
    <w:p w14:paraId="751DCEF9" w14:textId="18E260C9" w:rsidR="00AD4A55" w:rsidRPr="00111DC0" w:rsidRDefault="00AD4A55" w:rsidP="004B6A1B">
      <w:pPr>
        <w:pStyle w:val="Ttulo3"/>
        <w:rPr>
          <w:rFonts w:cs="Arial"/>
        </w:rPr>
      </w:pPr>
      <w:r w:rsidRPr="00111DC0">
        <w:rPr>
          <w:rFonts w:cs="Arial"/>
        </w:rPr>
        <w:t>Conclusiones</w:t>
      </w:r>
    </w:p>
    <w:p w14:paraId="7E403938" w14:textId="4B96C617" w:rsidR="00AD4A55" w:rsidRPr="00111DC0" w:rsidRDefault="00B1753B" w:rsidP="00DE69A1">
      <w:pPr>
        <w:pStyle w:val="Ttulo4"/>
        <w:rPr>
          <w:rFonts w:cs="Arial"/>
        </w:rPr>
      </w:pPr>
      <w:r w:rsidRPr="00111DC0">
        <w:rPr>
          <w:rFonts w:cs="Arial"/>
        </w:rPr>
        <w:t xml:space="preserve">Fortalezas </w:t>
      </w:r>
    </w:p>
    <w:p w14:paraId="723A4A87" w14:textId="5D0A825F" w:rsidR="00AD4A55" w:rsidRPr="00111DC0" w:rsidRDefault="00AD4A55" w:rsidP="00AD4A55">
      <w:pPr>
        <w:rPr>
          <w:rFonts w:cs="Arial"/>
        </w:rPr>
      </w:pPr>
      <w:r w:rsidRPr="00111DC0">
        <w:rPr>
          <w:rFonts w:cs="Arial"/>
          <w:noProof/>
          <w:sz w:val="20"/>
          <w:szCs w:val="18"/>
          <w:lang w:eastAsia="es-ES"/>
        </w:rPr>
        <w:drawing>
          <wp:inline distT="0" distB="0" distL="0" distR="0" wp14:anchorId="13277489" wp14:editId="6BAE6649">
            <wp:extent cx="299923" cy="299923"/>
            <wp:effectExtent l="0" t="0" r="0" b="0"/>
            <wp:docPr id="156" name="Gráfico 156"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355BEA">
        <w:rPr>
          <w:rFonts w:cs="Arial"/>
          <w:b/>
          <w:bCs/>
        </w:rPr>
        <w:t>La Administración General de La Rioja mejora las condiciones marcadas en el TREBEP</w:t>
      </w:r>
      <w:r w:rsidRPr="00111DC0">
        <w:rPr>
          <w:rFonts w:cs="Arial"/>
        </w:rPr>
        <w:t xml:space="preserve"> </w:t>
      </w:r>
      <w:r w:rsidRPr="00355BEA">
        <w:rPr>
          <w:rFonts w:cs="Arial"/>
          <w:b/>
          <w:bCs/>
        </w:rPr>
        <w:t>sobre la duración de las excedencias,</w:t>
      </w:r>
      <w:r w:rsidRPr="00111DC0">
        <w:rPr>
          <w:rFonts w:cs="Arial"/>
        </w:rPr>
        <w:t xml:space="preserve"> por lo que el personal público de esta Administración goza de un año </w:t>
      </w:r>
      <w:r w:rsidR="00466C4B" w:rsidRPr="00111DC0">
        <w:rPr>
          <w:rFonts w:cs="Arial"/>
        </w:rPr>
        <w:t>adicional a</w:t>
      </w:r>
      <w:r w:rsidRPr="00111DC0">
        <w:rPr>
          <w:rFonts w:cs="Arial"/>
        </w:rPr>
        <w:t xml:space="preserve"> los dos marcados en la regulación básica.</w:t>
      </w:r>
    </w:p>
    <w:p w14:paraId="0321B8C6" w14:textId="4B36A09F" w:rsidR="00AD4A55" w:rsidRPr="00111DC0" w:rsidRDefault="00AD4A55" w:rsidP="00AD4A55">
      <w:pPr>
        <w:rPr>
          <w:rFonts w:cs="Arial"/>
        </w:rPr>
      </w:pPr>
      <w:r w:rsidRPr="00111DC0">
        <w:rPr>
          <w:rFonts w:cs="Arial"/>
          <w:noProof/>
          <w:sz w:val="20"/>
          <w:szCs w:val="18"/>
          <w:lang w:eastAsia="es-ES"/>
        </w:rPr>
        <w:drawing>
          <wp:inline distT="0" distB="0" distL="0" distR="0" wp14:anchorId="079EA3E8" wp14:editId="6C02B7BF">
            <wp:extent cx="299923" cy="299923"/>
            <wp:effectExtent l="0" t="0" r="0" b="0"/>
            <wp:docPr id="158" name="Gráfico 158"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355BEA">
        <w:rPr>
          <w:rFonts w:cs="Arial"/>
          <w:b/>
          <w:bCs/>
        </w:rPr>
        <w:t>Las empleadas y empleados públicos</w:t>
      </w:r>
      <w:r w:rsidR="00466C4B" w:rsidRPr="00355BEA">
        <w:rPr>
          <w:rFonts w:cs="Arial"/>
          <w:b/>
          <w:bCs/>
        </w:rPr>
        <w:t xml:space="preserve"> de la CAR</w:t>
      </w:r>
      <w:r w:rsidRPr="00355BEA">
        <w:rPr>
          <w:rFonts w:cs="Arial"/>
          <w:b/>
          <w:bCs/>
        </w:rPr>
        <w:t xml:space="preserve"> cuentan con importantes medidas</w:t>
      </w:r>
      <w:r w:rsidR="00466C4B" w:rsidRPr="00355BEA">
        <w:rPr>
          <w:rFonts w:cs="Arial"/>
          <w:b/>
          <w:bCs/>
        </w:rPr>
        <w:t xml:space="preserve"> de flexibilidad laboral</w:t>
      </w:r>
      <w:r w:rsidRPr="00355BEA">
        <w:rPr>
          <w:rFonts w:cs="Arial"/>
          <w:b/>
          <w:bCs/>
        </w:rPr>
        <w:t>,</w:t>
      </w:r>
      <w:r w:rsidRPr="00111DC0">
        <w:rPr>
          <w:rFonts w:cs="Arial"/>
        </w:rPr>
        <w:t xml:space="preserve"> convenientemente reguladas, que les permite compatibilizar su vida laboral, personal y familiar.</w:t>
      </w:r>
    </w:p>
    <w:p w14:paraId="41A7993B" w14:textId="09BCD1E0" w:rsidR="00AD4A55" w:rsidRPr="00111DC0" w:rsidRDefault="00AD4A55" w:rsidP="00AD4A55">
      <w:pPr>
        <w:rPr>
          <w:rFonts w:cs="Arial"/>
        </w:rPr>
      </w:pPr>
      <w:r w:rsidRPr="00111DC0">
        <w:rPr>
          <w:rFonts w:cs="Arial"/>
          <w:noProof/>
          <w:sz w:val="20"/>
          <w:szCs w:val="18"/>
          <w:lang w:eastAsia="es-ES"/>
        </w:rPr>
        <w:drawing>
          <wp:inline distT="0" distB="0" distL="0" distR="0" wp14:anchorId="580D895C" wp14:editId="1A5B6EBF">
            <wp:extent cx="299923" cy="299923"/>
            <wp:effectExtent l="0" t="0" r="0" b="0"/>
            <wp:docPr id="159" name="Gráfico 159"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355BEA">
        <w:rPr>
          <w:rFonts w:cs="Arial"/>
          <w:b/>
          <w:bCs/>
        </w:rPr>
        <w:t>La normativa riojana mejora las condiciones de teletrabajo establecidas en el TREBEP,</w:t>
      </w:r>
      <w:r w:rsidRPr="00111DC0">
        <w:rPr>
          <w:rFonts w:cs="Arial"/>
        </w:rPr>
        <w:t xml:space="preserve"> permitiendo acumular la parte proporcional destinada al teletrabajo e incluso </w:t>
      </w:r>
      <w:proofErr w:type="spellStart"/>
      <w:r w:rsidRPr="00111DC0">
        <w:rPr>
          <w:rFonts w:cs="Arial"/>
        </w:rPr>
        <w:t>teletrabajar</w:t>
      </w:r>
      <w:proofErr w:type="spellEnd"/>
      <w:r w:rsidRPr="00111DC0">
        <w:rPr>
          <w:rFonts w:cs="Arial"/>
        </w:rPr>
        <w:t xml:space="preserve"> el 100% de la jornada en casos especiales.</w:t>
      </w:r>
    </w:p>
    <w:p w14:paraId="2BCC373F" w14:textId="77777777" w:rsidR="00466C4B" w:rsidRPr="00111DC0" w:rsidRDefault="00466C4B" w:rsidP="00AD4A55">
      <w:pPr>
        <w:rPr>
          <w:rFonts w:cs="Arial"/>
        </w:rPr>
      </w:pPr>
    </w:p>
    <w:p w14:paraId="2F440922" w14:textId="4E3FCA70" w:rsidR="00B1753B" w:rsidRPr="00111DC0" w:rsidRDefault="00AD4A55" w:rsidP="00DE69A1">
      <w:pPr>
        <w:pStyle w:val="Ttulo4"/>
        <w:rPr>
          <w:rFonts w:cs="Arial"/>
        </w:rPr>
      </w:pPr>
      <w:r w:rsidRPr="00111DC0">
        <w:rPr>
          <w:rFonts w:cs="Arial"/>
        </w:rPr>
        <w:t>Á</w:t>
      </w:r>
      <w:r w:rsidR="00B1753B" w:rsidRPr="00111DC0">
        <w:rPr>
          <w:rFonts w:cs="Arial"/>
        </w:rPr>
        <w:t>reas de mejora</w:t>
      </w:r>
    </w:p>
    <w:p w14:paraId="3000F1AB" w14:textId="07F6BBE1" w:rsidR="00B1753B" w:rsidRPr="00111DC0" w:rsidRDefault="00AD4A55" w:rsidP="00350BA5">
      <w:pPr>
        <w:spacing w:after="0"/>
        <w:rPr>
          <w:rFonts w:cs="Arial"/>
        </w:rPr>
      </w:pPr>
      <w:r w:rsidRPr="00111DC0">
        <w:rPr>
          <w:rFonts w:cs="Arial"/>
          <w:noProof/>
          <w:sz w:val="20"/>
          <w:szCs w:val="18"/>
          <w:lang w:eastAsia="es-ES"/>
        </w:rPr>
        <w:drawing>
          <wp:inline distT="0" distB="0" distL="0" distR="0" wp14:anchorId="240E4107" wp14:editId="51E15E71">
            <wp:extent cx="277978" cy="277978"/>
            <wp:effectExtent l="0" t="0" r="0" b="0"/>
            <wp:docPr id="157" name="Gráfico 157"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00FC0FED" w:rsidRPr="00111DC0">
        <w:rPr>
          <w:rFonts w:cs="Arial"/>
        </w:rPr>
        <w:t xml:space="preserve"> 1 </w:t>
      </w:r>
      <w:r w:rsidR="00FC0FED" w:rsidRPr="00355BEA">
        <w:rPr>
          <w:rFonts w:cs="Arial"/>
          <w:b/>
          <w:bCs/>
        </w:rPr>
        <w:t>- El 42% de los empleados y más de la mitad de las empleadas (59%) considera insuficientes</w:t>
      </w:r>
      <w:r w:rsidR="00FC0FED" w:rsidRPr="00111DC0">
        <w:rPr>
          <w:rFonts w:cs="Arial"/>
        </w:rPr>
        <w:t xml:space="preserve"> las medidas de conciliación disponibles en la Administración General.</w:t>
      </w:r>
    </w:p>
    <w:p w14:paraId="39F88A2F" w14:textId="3D355B5D" w:rsidR="00AD4A55" w:rsidRPr="00111DC0" w:rsidRDefault="00AD4A55" w:rsidP="00350BA5">
      <w:pPr>
        <w:spacing w:after="0"/>
        <w:rPr>
          <w:rFonts w:cs="Arial"/>
        </w:rPr>
      </w:pPr>
      <w:r w:rsidRPr="00111DC0">
        <w:rPr>
          <w:rFonts w:cs="Arial"/>
          <w:noProof/>
          <w:sz w:val="20"/>
          <w:szCs w:val="18"/>
          <w:lang w:eastAsia="es-ES"/>
        </w:rPr>
        <w:drawing>
          <wp:inline distT="0" distB="0" distL="0" distR="0" wp14:anchorId="7DB765EC" wp14:editId="7FCE0A23">
            <wp:extent cx="277978" cy="277978"/>
            <wp:effectExtent l="0" t="0" r="0" b="0"/>
            <wp:docPr id="160" name="Gráfico 160"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00FC0FED" w:rsidRPr="00111DC0">
        <w:rPr>
          <w:rFonts w:cs="Arial"/>
        </w:rPr>
        <w:t xml:space="preserve"> 2 </w:t>
      </w:r>
      <w:r w:rsidR="00FC0FED" w:rsidRPr="00355BEA">
        <w:rPr>
          <w:rFonts w:cs="Arial"/>
          <w:b/>
          <w:bCs/>
        </w:rPr>
        <w:t xml:space="preserve">- La inmensa mayoría de las </w:t>
      </w:r>
      <w:r w:rsidR="00355BEA">
        <w:rPr>
          <w:rFonts w:cs="Arial"/>
          <w:b/>
          <w:bCs/>
        </w:rPr>
        <w:t xml:space="preserve">medidas de conciliación </w:t>
      </w:r>
      <w:r w:rsidR="00355BEA" w:rsidRPr="00355BEA">
        <w:rPr>
          <w:rFonts w:cs="Arial"/>
          <w:b/>
          <w:bCs/>
        </w:rPr>
        <w:t>son protagonizadas por mujeres</w:t>
      </w:r>
      <w:r w:rsidR="00355BEA">
        <w:rPr>
          <w:rFonts w:cs="Arial"/>
          <w:b/>
          <w:bCs/>
        </w:rPr>
        <w:t xml:space="preserve">, </w:t>
      </w:r>
      <w:r w:rsidR="00355BEA">
        <w:rPr>
          <w:rFonts w:cs="Arial"/>
        </w:rPr>
        <w:t>como las excedencias</w:t>
      </w:r>
      <w:r w:rsidR="00355BEA" w:rsidRPr="00111DC0">
        <w:rPr>
          <w:rFonts w:cs="Arial"/>
        </w:rPr>
        <w:t xml:space="preserve"> </w:t>
      </w:r>
      <w:r w:rsidR="00FC0FED" w:rsidRPr="00111DC0">
        <w:rPr>
          <w:rFonts w:cs="Arial"/>
        </w:rPr>
        <w:t xml:space="preserve">(85% en los Servicios Generales y 93% entre el Personal Docente), </w:t>
      </w:r>
      <w:r w:rsidR="00355BEA">
        <w:rPr>
          <w:rFonts w:cs="Arial"/>
        </w:rPr>
        <w:t>también de</w:t>
      </w:r>
      <w:r w:rsidR="00466C4B" w:rsidRPr="00111DC0">
        <w:rPr>
          <w:rFonts w:cs="Arial"/>
        </w:rPr>
        <w:t xml:space="preserve"> las personas acogidas a la </w:t>
      </w:r>
      <w:r w:rsidR="00FC0FED" w:rsidRPr="00111DC0">
        <w:rPr>
          <w:rFonts w:cs="Arial"/>
        </w:rPr>
        <w:t>modalidad de teletrabajo (76% en 2021)</w:t>
      </w:r>
      <w:r w:rsidR="00466C4B" w:rsidRPr="00111DC0">
        <w:rPr>
          <w:rFonts w:cs="Arial"/>
        </w:rPr>
        <w:t xml:space="preserve">, de las </w:t>
      </w:r>
      <w:r w:rsidR="00FC0FED" w:rsidRPr="00111DC0">
        <w:rPr>
          <w:rFonts w:cs="Arial"/>
        </w:rPr>
        <w:t>reducciones de jornada por cuidado de menores o familiares (siempre por encima del 80% en los Servicios generales y del 92% entre el Personal Docente)</w:t>
      </w:r>
      <w:r w:rsidR="00466C4B" w:rsidRPr="00111DC0">
        <w:rPr>
          <w:rFonts w:cs="Arial"/>
        </w:rPr>
        <w:t>, así como de las personas acogidas a flexibilidad horaria (70%)</w:t>
      </w:r>
      <w:r w:rsidR="00355BEA">
        <w:rPr>
          <w:rFonts w:cs="Arial"/>
        </w:rPr>
        <w:t xml:space="preserve">, </w:t>
      </w:r>
      <w:r w:rsidR="00FC0FED" w:rsidRPr="00111DC0">
        <w:rPr>
          <w:rFonts w:cs="Arial"/>
        </w:rPr>
        <w:t>lo que manifiesta la pervivencia del rol de género</w:t>
      </w:r>
      <w:r w:rsidR="00466C4B" w:rsidRPr="00111DC0">
        <w:rPr>
          <w:rFonts w:cs="Arial"/>
        </w:rPr>
        <w:t xml:space="preserve"> </w:t>
      </w:r>
      <w:r w:rsidR="001B6D3B" w:rsidRPr="00111DC0">
        <w:rPr>
          <w:rFonts w:cs="Arial"/>
        </w:rPr>
        <w:t>también</w:t>
      </w:r>
      <w:r w:rsidR="00466C4B" w:rsidRPr="00111DC0">
        <w:rPr>
          <w:rFonts w:cs="Arial"/>
        </w:rPr>
        <w:t xml:space="preserve"> en el ámbito del empleo público</w:t>
      </w:r>
      <w:r w:rsidR="00FC0FED" w:rsidRPr="00111DC0">
        <w:rPr>
          <w:rFonts w:cs="Arial"/>
        </w:rPr>
        <w:t>.</w:t>
      </w:r>
    </w:p>
    <w:p w14:paraId="4B4CF503" w14:textId="0DD24A8B" w:rsidR="00AD4A55" w:rsidRPr="00111DC0" w:rsidRDefault="00AD4A55" w:rsidP="00350BA5">
      <w:pPr>
        <w:spacing w:after="0"/>
        <w:rPr>
          <w:rFonts w:cs="Arial"/>
        </w:rPr>
      </w:pPr>
      <w:r w:rsidRPr="00111DC0">
        <w:rPr>
          <w:rFonts w:cs="Arial"/>
          <w:noProof/>
          <w:sz w:val="20"/>
          <w:szCs w:val="18"/>
          <w:lang w:eastAsia="es-ES"/>
        </w:rPr>
        <w:drawing>
          <wp:inline distT="0" distB="0" distL="0" distR="0" wp14:anchorId="3973559B" wp14:editId="18A7E4BE">
            <wp:extent cx="277978" cy="277978"/>
            <wp:effectExtent l="0" t="0" r="0" b="0"/>
            <wp:docPr id="161" name="Gráfico 161"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00FC0FED" w:rsidRPr="00111DC0">
        <w:rPr>
          <w:rFonts w:cs="Arial"/>
        </w:rPr>
        <w:t xml:space="preserve"> 3 </w:t>
      </w:r>
      <w:r w:rsidR="00FC0FED" w:rsidRPr="00355BEA">
        <w:rPr>
          <w:rFonts w:cs="Arial"/>
          <w:b/>
          <w:bCs/>
        </w:rPr>
        <w:t>- Se precisa promover el reparto igualitario de las responsabilidades familiares y domésticas</w:t>
      </w:r>
      <w:r w:rsidR="00FC0FED" w:rsidRPr="00111DC0">
        <w:rPr>
          <w:rFonts w:cs="Arial"/>
        </w:rPr>
        <w:t xml:space="preserve"> entre empleadas y empleados públicos, de manera que se perjudique lo menos posible a las mujeres en su ámbito laboral, salarial y personal, y se contribuya al cambio radical de</w:t>
      </w:r>
      <w:r w:rsidR="001B6D3B" w:rsidRPr="00111DC0">
        <w:rPr>
          <w:rFonts w:cs="Arial"/>
        </w:rPr>
        <w:t>l</w:t>
      </w:r>
      <w:r w:rsidR="00FC0FED" w:rsidRPr="00111DC0">
        <w:rPr>
          <w:rFonts w:cs="Arial"/>
        </w:rPr>
        <w:t xml:space="preserve"> modelo de </w:t>
      </w:r>
      <w:r w:rsidR="001B6D3B" w:rsidRPr="00111DC0">
        <w:rPr>
          <w:rFonts w:cs="Arial"/>
        </w:rPr>
        <w:t xml:space="preserve">la provisión de </w:t>
      </w:r>
      <w:r w:rsidR="00FC0FED" w:rsidRPr="00111DC0">
        <w:rPr>
          <w:rFonts w:cs="Arial"/>
        </w:rPr>
        <w:t>cuidados.</w:t>
      </w:r>
    </w:p>
    <w:p w14:paraId="5E6D3C03" w14:textId="42FEDF38" w:rsidR="00530B0E" w:rsidRPr="00111DC0" w:rsidRDefault="00AD4A55" w:rsidP="00355BEA">
      <w:pPr>
        <w:spacing w:after="0"/>
        <w:rPr>
          <w:rFonts w:eastAsiaTheme="majorEastAsia" w:cs="Arial"/>
          <w:b/>
          <w:bCs/>
          <w:iCs/>
          <w:snapToGrid w:val="0"/>
          <w:color w:val="78BE20"/>
          <w:sz w:val="30"/>
          <w:szCs w:val="28"/>
        </w:rPr>
      </w:pPr>
      <w:r w:rsidRPr="00111DC0">
        <w:rPr>
          <w:rFonts w:cs="Arial"/>
          <w:noProof/>
          <w:sz w:val="20"/>
          <w:szCs w:val="18"/>
          <w:lang w:eastAsia="es-ES"/>
        </w:rPr>
        <w:drawing>
          <wp:inline distT="0" distB="0" distL="0" distR="0" wp14:anchorId="27C53E51" wp14:editId="54F47733">
            <wp:extent cx="277978" cy="277978"/>
            <wp:effectExtent l="0" t="0" r="0" b="0"/>
            <wp:docPr id="162" name="Gráfico 162"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00FC0FED" w:rsidRPr="00111DC0">
        <w:rPr>
          <w:rFonts w:cs="Arial"/>
        </w:rPr>
        <w:t xml:space="preserve"> 4 </w:t>
      </w:r>
      <w:r w:rsidR="00FC0FED" w:rsidRPr="00355BEA">
        <w:rPr>
          <w:rFonts w:cs="Arial"/>
          <w:b/>
          <w:bCs/>
        </w:rPr>
        <w:t xml:space="preserve">- Conviene instaurar un </w:t>
      </w:r>
      <w:r w:rsidR="00FC0FED" w:rsidRPr="00355BEA">
        <w:rPr>
          <w:rFonts w:eastAsia="Helvetica Neue" w:cs="Arial"/>
          <w:b/>
          <w:bCs/>
        </w:rPr>
        <w:t>sistema estandarizado de solitud de reducción de jornada y otras medidas de conciliación</w:t>
      </w:r>
      <w:r w:rsidR="00FC0FED" w:rsidRPr="00111DC0">
        <w:rPr>
          <w:rFonts w:eastAsia="Helvetica Neue" w:cs="Arial"/>
        </w:rPr>
        <w:t xml:space="preserve"> que recoja información sobre las necesidades concretas de empleadas y empleados, los modelos de familia a los que pertenecen y otros aspectos relevantes.</w:t>
      </w:r>
      <w:r w:rsidR="00530B0E" w:rsidRPr="00111DC0">
        <w:rPr>
          <w:rFonts w:cs="Arial"/>
        </w:rPr>
        <w:br w:type="page"/>
      </w:r>
    </w:p>
    <w:p w14:paraId="19178B29" w14:textId="638F3F3F" w:rsidR="005B24C0" w:rsidRPr="00111DC0" w:rsidRDefault="005B24C0" w:rsidP="00024B4E">
      <w:pPr>
        <w:pStyle w:val="Ttulo2"/>
      </w:pPr>
      <w:bookmarkStart w:id="22" w:name="_Toc122080796"/>
      <w:r w:rsidRPr="00111DC0">
        <w:t xml:space="preserve">Prevención </w:t>
      </w:r>
      <w:r w:rsidR="00810133" w:rsidRPr="00111DC0">
        <w:t>y actuación frente al</w:t>
      </w:r>
      <w:r w:rsidRPr="00111DC0">
        <w:t xml:space="preserve"> acoso sexual y por razón de sexo, y</w:t>
      </w:r>
      <w:r w:rsidR="001B0093" w:rsidRPr="00111DC0">
        <w:t xml:space="preserve"> </w:t>
      </w:r>
      <w:r w:rsidRPr="00111DC0">
        <w:t>otras formas de violencia</w:t>
      </w:r>
      <w:bookmarkEnd w:id="22"/>
      <w:r w:rsidRPr="00111DC0">
        <w:t xml:space="preserve"> </w:t>
      </w:r>
    </w:p>
    <w:p w14:paraId="02E1DC8A" w14:textId="2DD65DA5" w:rsidR="00E222C1" w:rsidRPr="00111DC0" w:rsidRDefault="00E222C1" w:rsidP="00350BA5">
      <w:pPr>
        <w:spacing w:after="0"/>
        <w:rPr>
          <w:rFonts w:cs="Arial"/>
          <w:highlight w:val="yellow"/>
        </w:rPr>
      </w:pPr>
    </w:p>
    <w:p w14:paraId="3AF22107" w14:textId="00FF551D" w:rsidR="00321116" w:rsidRPr="00111DC0" w:rsidRDefault="00EF652F" w:rsidP="00321116">
      <w:pPr>
        <w:rPr>
          <w:rFonts w:cs="Arial"/>
          <w:b/>
          <w:bCs/>
        </w:rPr>
      </w:pPr>
      <w:r w:rsidRPr="00111DC0">
        <w:rPr>
          <w:rFonts w:cs="Arial"/>
        </w:rPr>
        <w:t xml:space="preserve">En la Administración General de la Comunidad Autónoma de La Rioja </w:t>
      </w:r>
      <w:r w:rsidR="00395546" w:rsidRPr="00111DC0">
        <w:rPr>
          <w:rFonts w:cs="Arial"/>
        </w:rPr>
        <w:t xml:space="preserve">no </w:t>
      </w:r>
      <w:r w:rsidR="00BF7B82" w:rsidRPr="00111DC0">
        <w:rPr>
          <w:rFonts w:cs="Arial"/>
        </w:rPr>
        <w:t xml:space="preserve">se ha publicado todavía </w:t>
      </w:r>
      <w:r w:rsidR="00395546" w:rsidRPr="00111DC0">
        <w:rPr>
          <w:rFonts w:cs="Arial"/>
        </w:rPr>
        <w:t>un protocolo de actuación ante el acoso sexual y por razón de sexo</w:t>
      </w:r>
      <w:r w:rsidR="00491D63" w:rsidRPr="00111DC0">
        <w:rPr>
          <w:rFonts w:cs="Arial"/>
        </w:rPr>
        <w:t xml:space="preserve"> ni, como consecuencia, </w:t>
      </w:r>
      <w:r w:rsidR="003C0944" w:rsidRPr="00111DC0">
        <w:rPr>
          <w:rFonts w:cs="Arial"/>
        </w:rPr>
        <w:t xml:space="preserve">se ha creado </w:t>
      </w:r>
      <w:r w:rsidR="00491D63" w:rsidRPr="00111DC0">
        <w:rPr>
          <w:rFonts w:cs="Arial"/>
        </w:rPr>
        <w:t xml:space="preserve">una Comisión Instructora </w:t>
      </w:r>
      <w:r w:rsidR="00DF02C7" w:rsidRPr="00111DC0">
        <w:rPr>
          <w:rFonts w:cs="Arial"/>
        </w:rPr>
        <w:t>con el objetivo de vigilar su implementación</w:t>
      </w:r>
      <w:r w:rsidR="00395546" w:rsidRPr="00111DC0">
        <w:rPr>
          <w:rFonts w:cs="Arial"/>
        </w:rPr>
        <w:t>. Desde el Servicio de Prevención de Riesgos Laboral</w:t>
      </w:r>
      <w:r w:rsidRPr="00111DC0">
        <w:rPr>
          <w:rFonts w:cs="Arial"/>
        </w:rPr>
        <w:t>es</w:t>
      </w:r>
      <w:r w:rsidR="00395546" w:rsidRPr="00111DC0">
        <w:rPr>
          <w:rFonts w:cs="Arial"/>
        </w:rPr>
        <w:t>, adscrito a la Dirección General de Función Pública, se</w:t>
      </w:r>
      <w:r w:rsidRPr="00111DC0">
        <w:rPr>
          <w:rFonts w:cs="Arial"/>
        </w:rPr>
        <w:t xml:space="preserve"> </w:t>
      </w:r>
      <w:r w:rsidR="003C0944" w:rsidRPr="00111DC0">
        <w:rPr>
          <w:rFonts w:cs="Arial"/>
        </w:rPr>
        <w:t>informa de</w:t>
      </w:r>
      <w:r w:rsidRPr="00111DC0">
        <w:rPr>
          <w:rFonts w:cs="Arial"/>
        </w:rPr>
        <w:t xml:space="preserve"> </w:t>
      </w:r>
      <w:r w:rsidR="00395546" w:rsidRPr="00111DC0">
        <w:rPr>
          <w:rFonts w:cs="Arial"/>
        </w:rPr>
        <w:t xml:space="preserve">que </w:t>
      </w:r>
      <w:r w:rsidR="003C0944" w:rsidRPr="00111DC0">
        <w:rPr>
          <w:rFonts w:cs="Arial"/>
        </w:rPr>
        <w:t xml:space="preserve">actualmente </w:t>
      </w:r>
      <w:r w:rsidR="00395546" w:rsidRPr="00111DC0">
        <w:rPr>
          <w:rFonts w:cs="Arial"/>
        </w:rPr>
        <w:t xml:space="preserve">se </w:t>
      </w:r>
      <w:r w:rsidR="003C0944" w:rsidRPr="00111DC0">
        <w:rPr>
          <w:rFonts w:cs="Arial"/>
        </w:rPr>
        <w:t>cuenta con</w:t>
      </w:r>
      <w:r w:rsidRPr="00111DC0">
        <w:rPr>
          <w:rFonts w:cs="Arial"/>
        </w:rPr>
        <w:t xml:space="preserve"> </w:t>
      </w:r>
      <w:r w:rsidR="00395546" w:rsidRPr="00111DC0">
        <w:rPr>
          <w:rFonts w:cs="Arial"/>
        </w:rPr>
        <w:t>un</w:t>
      </w:r>
      <w:r w:rsidR="00395546" w:rsidRPr="00111DC0">
        <w:rPr>
          <w:rFonts w:cs="Arial"/>
          <w:b/>
          <w:bCs/>
        </w:rPr>
        <w:t xml:space="preserve"> borrador del </w:t>
      </w:r>
      <w:r w:rsidRPr="00111DC0">
        <w:rPr>
          <w:rFonts w:cs="Arial"/>
          <w:b/>
          <w:bCs/>
        </w:rPr>
        <w:t>protocolo</w:t>
      </w:r>
      <w:r w:rsidR="00395546" w:rsidRPr="00111DC0">
        <w:rPr>
          <w:rFonts w:cs="Arial"/>
          <w:b/>
          <w:bCs/>
        </w:rPr>
        <w:t>.</w:t>
      </w:r>
      <w:r w:rsidR="00637336" w:rsidRPr="00111DC0">
        <w:rPr>
          <w:rFonts w:cs="Arial"/>
          <w:b/>
          <w:bCs/>
        </w:rPr>
        <w:t xml:space="preserve"> </w:t>
      </w:r>
    </w:p>
    <w:p w14:paraId="2C113D92" w14:textId="00DE3FF1" w:rsidR="00090D3D" w:rsidRDefault="00AA6C10" w:rsidP="00FC5A52">
      <w:pPr>
        <w:rPr>
          <w:rFonts w:cs="Arial"/>
        </w:rPr>
      </w:pPr>
      <w:r w:rsidRPr="00111DC0">
        <w:rPr>
          <w:rFonts w:cs="Arial"/>
        </w:rPr>
        <w:t xml:space="preserve">En garantía de los derechos a </w:t>
      </w:r>
      <w:r w:rsidR="00C91A92" w:rsidRPr="00111DC0">
        <w:rPr>
          <w:rFonts w:cs="Arial"/>
        </w:rPr>
        <w:t>la intimidad</w:t>
      </w:r>
      <w:r w:rsidRPr="00111DC0">
        <w:rPr>
          <w:rFonts w:cs="Arial"/>
        </w:rPr>
        <w:t xml:space="preserve"> de las personas afectadas, y en función del principio de confidencialidad, baste resaltar en este documento que en los últimos años </w:t>
      </w:r>
      <w:r w:rsidRPr="00111DC0">
        <w:rPr>
          <w:rFonts w:cs="Arial"/>
          <w:b/>
          <w:bCs/>
        </w:rPr>
        <w:t xml:space="preserve">el área de Prevención de Riesgos Laborales de la DG de </w:t>
      </w:r>
      <w:r w:rsidR="00AE2AFA" w:rsidRPr="00111DC0">
        <w:rPr>
          <w:rFonts w:cs="Arial"/>
          <w:b/>
          <w:bCs/>
        </w:rPr>
        <w:t>Función</w:t>
      </w:r>
      <w:r w:rsidRPr="00111DC0">
        <w:rPr>
          <w:rFonts w:cs="Arial"/>
          <w:b/>
          <w:bCs/>
        </w:rPr>
        <w:t xml:space="preserve"> Pública ha actuado con agilidad y objetividad en </w:t>
      </w:r>
      <w:r w:rsidR="00913912" w:rsidRPr="00111DC0">
        <w:rPr>
          <w:rFonts w:cs="Arial"/>
          <w:b/>
          <w:bCs/>
        </w:rPr>
        <w:t xml:space="preserve">los </w:t>
      </w:r>
      <w:r w:rsidR="00AE2AFA" w:rsidRPr="00111DC0">
        <w:rPr>
          <w:rFonts w:cs="Arial"/>
          <w:b/>
          <w:bCs/>
        </w:rPr>
        <w:t>4 casos</w:t>
      </w:r>
      <w:r w:rsidR="00913912" w:rsidRPr="00111DC0">
        <w:rPr>
          <w:rFonts w:cs="Arial"/>
          <w:b/>
          <w:bCs/>
        </w:rPr>
        <w:t xml:space="preserve"> reportados</w:t>
      </w:r>
      <w:r w:rsidR="00AE2AFA" w:rsidRPr="00111DC0">
        <w:rPr>
          <w:rFonts w:cs="Arial"/>
        </w:rPr>
        <w:t xml:space="preserve">. </w:t>
      </w:r>
      <w:r w:rsidRPr="00111DC0">
        <w:rPr>
          <w:rFonts w:cs="Arial"/>
        </w:rPr>
        <w:t xml:space="preserve"> </w:t>
      </w:r>
    </w:p>
    <w:p w14:paraId="7623375B" w14:textId="495ECC2C" w:rsidR="00A609DD" w:rsidRPr="00111DC0" w:rsidRDefault="00A609DD" w:rsidP="00FC5A52">
      <w:pPr>
        <w:rPr>
          <w:rFonts w:cs="Arial"/>
          <w:b/>
          <w:bCs/>
        </w:rPr>
      </w:pPr>
      <w:r w:rsidRPr="00111DC0">
        <w:rPr>
          <w:rFonts w:cs="Arial"/>
        </w:rPr>
        <w:t xml:space="preserve">Gracias a la Encuesta del Plan de Igualdad publicada a finales de 2021, se conocen algunos datos generales de percepción al respecto de este tema. </w:t>
      </w:r>
      <w:r w:rsidR="008D079F" w:rsidRPr="00494B79">
        <w:rPr>
          <w:rFonts w:cs="Arial"/>
          <w:b/>
          <w:bCs/>
        </w:rPr>
        <w:t>La mayoría de personas</w:t>
      </w:r>
      <w:r w:rsidRPr="00111DC0">
        <w:rPr>
          <w:rFonts w:cs="Arial"/>
          <w:b/>
          <w:bCs/>
        </w:rPr>
        <w:t xml:space="preserve"> afirma</w:t>
      </w:r>
      <w:r w:rsidR="008D079F">
        <w:rPr>
          <w:rFonts w:cs="Arial"/>
          <w:b/>
          <w:bCs/>
        </w:rPr>
        <w:t xml:space="preserve"> </w:t>
      </w:r>
      <w:r w:rsidRPr="00111DC0">
        <w:rPr>
          <w:rFonts w:cs="Arial"/>
          <w:b/>
          <w:bCs/>
        </w:rPr>
        <w:t>no haber</w:t>
      </w:r>
      <w:r w:rsidR="00F049B2" w:rsidRPr="00111DC0">
        <w:rPr>
          <w:rFonts w:cs="Arial"/>
          <w:b/>
          <w:bCs/>
        </w:rPr>
        <w:t>lo</w:t>
      </w:r>
      <w:r w:rsidRPr="00111DC0">
        <w:rPr>
          <w:rFonts w:cs="Arial"/>
          <w:b/>
          <w:bCs/>
        </w:rPr>
        <w:t xml:space="preserve"> sufrido nunca en la Administración. </w:t>
      </w:r>
    </w:p>
    <w:p w14:paraId="5F6B1E7D" w14:textId="77777777" w:rsidR="00E96711" w:rsidRPr="00111DC0" w:rsidRDefault="00E96711" w:rsidP="00E158F3">
      <w:pPr>
        <w:rPr>
          <w:rFonts w:cs="Arial"/>
        </w:rPr>
      </w:pPr>
    </w:p>
    <w:p w14:paraId="3EAE6312" w14:textId="0AEB512E" w:rsidR="006E3F9A" w:rsidRPr="00111DC0" w:rsidRDefault="006E3F9A" w:rsidP="00FC5A52">
      <w:pPr>
        <w:rPr>
          <w:rFonts w:cs="Arial"/>
        </w:rPr>
      </w:pPr>
      <w:r w:rsidRPr="00111DC0">
        <w:rPr>
          <w:rFonts w:cs="Arial"/>
          <w:noProof/>
          <w:color w:val="EA0000"/>
          <w:sz w:val="24"/>
          <w:szCs w:val="24"/>
          <w:lang w:eastAsia="es-ES"/>
        </w:rPr>
        <w:drawing>
          <wp:inline distT="0" distB="0" distL="0" distR="0" wp14:anchorId="42921830" wp14:editId="465722A5">
            <wp:extent cx="5400040" cy="3150235"/>
            <wp:effectExtent l="0" t="0" r="0" b="0"/>
            <wp:docPr id="62" name="Gráfico 62"/>
            <wp:cNvGraphicFramePr/>
            <a:graphic xmlns:a="http://schemas.openxmlformats.org/drawingml/2006/main">
              <a:graphicData uri="http://schemas.openxmlformats.org/drawingml/2006/chart">
                <c:chart xmlns:c="http://schemas.openxmlformats.org/drawingml/2006/chart" r:id="rId64"/>
              </a:graphicData>
            </a:graphic>
          </wp:inline>
        </w:drawing>
      </w:r>
    </w:p>
    <w:p w14:paraId="0095FE13" w14:textId="040713DC" w:rsidR="0094389F" w:rsidRDefault="0094389F" w:rsidP="00FC5A52">
      <w:pPr>
        <w:rPr>
          <w:rFonts w:cs="Arial"/>
        </w:rPr>
      </w:pPr>
      <w:r>
        <w:rPr>
          <w:rFonts w:cs="Arial"/>
        </w:rPr>
        <w:br w:type="page"/>
      </w:r>
    </w:p>
    <w:p w14:paraId="2C62C46E" w14:textId="072CE996" w:rsidR="00E158F3" w:rsidRPr="00111DC0" w:rsidRDefault="00E158F3" w:rsidP="00E158F3">
      <w:pPr>
        <w:rPr>
          <w:rFonts w:cs="Arial"/>
        </w:rPr>
      </w:pPr>
      <w:r w:rsidRPr="00111DC0">
        <w:rPr>
          <w:rFonts w:cs="Arial"/>
        </w:rPr>
        <w:t xml:space="preserve">Los resultados sobre acoso sexual son todavía más halagüeños: </w:t>
      </w:r>
      <w:r w:rsidRPr="00111DC0">
        <w:rPr>
          <w:rFonts w:cs="Arial"/>
          <w:b/>
          <w:bCs/>
        </w:rPr>
        <w:t>el 95% de las mujeres y el 98% de los hombres afirma no haberlo sufrido nunca en el ámbito de la Administración General.</w:t>
      </w:r>
      <w:r w:rsidRPr="00111DC0">
        <w:rPr>
          <w:rFonts w:cs="Arial"/>
        </w:rPr>
        <w:t xml:space="preserve"> </w:t>
      </w:r>
    </w:p>
    <w:p w14:paraId="6109E0C1" w14:textId="50655357" w:rsidR="00E158F3" w:rsidRDefault="00E158F3" w:rsidP="00E158F3">
      <w:pPr>
        <w:rPr>
          <w:rFonts w:cs="Arial"/>
        </w:rPr>
      </w:pPr>
      <w:r w:rsidRPr="00111DC0">
        <w:rPr>
          <w:rFonts w:cs="Arial"/>
        </w:rPr>
        <w:t xml:space="preserve">Quizá este tipo de acoso sea aparentemente más fácil de identificar, </w:t>
      </w:r>
      <w:r w:rsidR="00400796" w:rsidRPr="00111DC0">
        <w:rPr>
          <w:rFonts w:cs="Arial"/>
        </w:rPr>
        <w:t>y las empleadas y empleados tengan más claro cómo se manifiestan este ti</w:t>
      </w:r>
      <w:r w:rsidR="00132238" w:rsidRPr="00111DC0">
        <w:rPr>
          <w:rFonts w:cs="Arial"/>
        </w:rPr>
        <w:t>p</w:t>
      </w:r>
      <w:r w:rsidR="00400796" w:rsidRPr="00111DC0">
        <w:rPr>
          <w:rFonts w:cs="Arial"/>
        </w:rPr>
        <w:t xml:space="preserve">o de situaciones. No obstante, la experiencia evidencia que, cuando se profundiza en la conceptualización del acoso sexual, las personas descubren que no solamente se está tratando de formas físicas o verbales, sino también ambientales o sucedidas por medios tecnológicos. </w:t>
      </w:r>
      <w:r w:rsidR="004B2611" w:rsidRPr="00111DC0">
        <w:rPr>
          <w:rFonts w:cs="Arial"/>
        </w:rPr>
        <w:t xml:space="preserve">Precisamente, con el objetivo de promover la información y sensibilización sobre violencias sexuales, </w:t>
      </w:r>
      <w:r w:rsidR="004B2611" w:rsidRPr="00111DC0">
        <w:rPr>
          <w:rStyle w:val="KursivaCar"/>
          <w:rFonts w:cs="Arial"/>
        </w:rPr>
        <w:t xml:space="preserve">la ley orgánica de libertad sexual </w:t>
      </w:r>
      <w:r w:rsidR="004B2611" w:rsidRPr="00111DC0">
        <w:rPr>
          <w:rFonts w:cs="Arial"/>
        </w:rPr>
        <w:t xml:space="preserve">establece que las administraciones públicas ofrecerán formación al personal a su servicio, incluidas las autoridades y los cargos públicos electos (artículo 13.2) </w:t>
      </w:r>
    </w:p>
    <w:p w14:paraId="5A3B0F50" w14:textId="77777777" w:rsidR="0094389F" w:rsidRPr="00111DC0" w:rsidRDefault="0094389F" w:rsidP="00E158F3">
      <w:pPr>
        <w:rPr>
          <w:rFonts w:cs="Arial"/>
        </w:rPr>
      </w:pPr>
    </w:p>
    <w:p w14:paraId="554D6A67" w14:textId="7BC723A4" w:rsidR="00E220ED" w:rsidRPr="00111DC0" w:rsidRDefault="00E220ED" w:rsidP="00FC5A52">
      <w:pPr>
        <w:rPr>
          <w:rFonts w:cs="Arial"/>
        </w:rPr>
      </w:pPr>
      <w:r w:rsidRPr="00111DC0">
        <w:rPr>
          <w:rFonts w:cs="Arial"/>
          <w:noProof/>
          <w:color w:val="EA0000"/>
          <w:sz w:val="24"/>
          <w:szCs w:val="24"/>
          <w:lang w:eastAsia="es-ES"/>
        </w:rPr>
        <w:drawing>
          <wp:inline distT="0" distB="0" distL="0" distR="0" wp14:anchorId="21AF35CD" wp14:editId="49EE7DD9">
            <wp:extent cx="5400040" cy="3150235"/>
            <wp:effectExtent l="0" t="0" r="0" b="0"/>
            <wp:docPr id="37" name="Gráfico 37"/>
            <wp:cNvGraphicFramePr/>
            <a:graphic xmlns:a="http://schemas.openxmlformats.org/drawingml/2006/main">
              <a:graphicData uri="http://schemas.openxmlformats.org/drawingml/2006/chart">
                <c:chart xmlns:c="http://schemas.openxmlformats.org/drawingml/2006/chart" r:id="rId65"/>
              </a:graphicData>
            </a:graphic>
          </wp:inline>
        </w:drawing>
      </w:r>
    </w:p>
    <w:p w14:paraId="5DB37ADB" w14:textId="77777777" w:rsidR="00E220ED" w:rsidRPr="00111DC0" w:rsidRDefault="00E220ED" w:rsidP="00FC5A52">
      <w:pPr>
        <w:rPr>
          <w:rFonts w:cs="Arial"/>
        </w:rPr>
      </w:pPr>
    </w:p>
    <w:p w14:paraId="12409708" w14:textId="7E5677AA" w:rsidR="001426DE" w:rsidRPr="00111DC0" w:rsidRDefault="001426DE" w:rsidP="004B6A1B">
      <w:pPr>
        <w:pStyle w:val="Ttulo3"/>
        <w:rPr>
          <w:rFonts w:cs="Arial"/>
        </w:rPr>
      </w:pPr>
      <w:r w:rsidRPr="00111DC0">
        <w:rPr>
          <w:rFonts w:cs="Arial"/>
        </w:rPr>
        <w:t>Violencia de género</w:t>
      </w:r>
    </w:p>
    <w:p w14:paraId="2BF84F3F" w14:textId="743122AE" w:rsidR="00F24276" w:rsidRDefault="00D27561" w:rsidP="00FC5A52">
      <w:pPr>
        <w:rPr>
          <w:rFonts w:cs="Arial"/>
        </w:rPr>
      </w:pPr>
      <w:r w:rsidRPr="00111DC0">
        <w:rPr>
          <w:rFonts w:cs="Arial"/>
        </w:rPr>
        <w:t xml:space="preserve">En La Rioja, la </w:t>
      </w:r>
      <w:r w:rsidRPr="00111DC0">
        <w:rPr>
          <w:rStyle w:val="KursivaCar"/>
          <w:rFonts w:cs="Arial"/>
        </w:rPr>
        <w:t xml:space="preserve">ley 3/2011, de 1 de marzo, de </w:t>
      </w:r>
      <w:r w:rsidR="00C01BB1" w:rsidRPr="00111DC0">
        <w:rPr>
          <w:rStyle w:val="KursivaCar"/>
          <w:rFonts w:cs="Arial"/>
        </w:rPr>
        <w:t>prevención, protección y coordinación institucional en materia de violencia</w:t>
      </w:r>
      <w:r w:rsidR="00C01BB1" w:rsidRPr="00111DC0">
        <w:rPr>
          <w:rFonts w:cs="Arial"/>
        </w:rPr>
        <w:t xml:space="preserve"> dispone en su artículo 47 algunas medidas </w:t>
      </w:r>
      <w:r w:rsidR="0068024D" w:rsidRPr="00111DC0">
        <w:rPr>
          <w:rFonts w:cs="Arial"/>
        </w:rPr>
        <w:t>específicas</w:t>
      </w:r>
      <w:r w:rsidR="00C01BB1" w:rsidRPr="00111DC0">
        <w:rPr>
          <w:rFonts w:cs="Arial"/>
        </w:rPr>
        <w:t xml:space="preserve"> respecto al personal funcionario, labora</w:t>
      </w:r>
      <w:r w:rsidR="00C825A9" w:rsidRPr="00111DC0">
        <w:rPr>
          <w:rFonts w:cs="Arial"/>
        </w:rPr>
        <w:t>l</w:t>
      </w:r>
      <w:r w:rsidR="00C01BB1" w:rsidRPr="00111DC0">
        <w:rPr>
          <w:rFonts w:cs="Arial"/>
        </w:rPr>
        <w:t xml:space="preserve"> y estatutario de la Comunidad Autónoma</w:t>
      </w:r>
      <w:r w:rsidR="00F24276">
        <w:rPr>
          <w:rFonts w:cs="Arial"/>
        </w:rPr>
        <w:t>, recogiendo los preceptos de la ley orgánica en relación con las empleadas con condición acreditada de víctimas. Entre ellos, la facilitaci</w:t>
      </w:r>
      <w:r w:rsidR="00F24276" w:rsidRPr="00F24276">
        <w:t>ón de permisos, el ejercicio del derecho a la reducción o la flexibilidad de su jornada laboral, así como a la movilidad geográfica y a la excedencia</w:t>
      </w:r>
      <w:r w:rsidR="00F24276">
        <w:t xml:space="preserve">, o la justificación de las faltas de asistencia. </w:t>
      </w:r>
    </w:p>
    <w:p w14:paraId="622E08B8" w14:textId="2D9C9355" w:rsidR="00C825A9" w:rsidRDefault="00C01BB1" w:rsidP="00FC5A52">
      <w:pPr>
        <w:rPr>
          <w:rFonts w:cs="Arial"/>
          <w:bCs/>
        </w:rPr>
      </w:pPr>
      <w:r w:rsidRPr="00111DC0">
        <w:rPr>
          <w:rFonts w:cs="Arial"/>
        </w:rPr>
        <w:t>En sintonía con la regulación, l</w:t>
      </w:r>
      <w:r w:rsidR="005F4EC2" w:rsidRPr="00111DC0">
        <w:rPr>
          <w:rFonts w:cs="Arial"/>
        </w:rPr>
        <w:t xml:space="preserve">a Administración General de La Rioja puede actuar de diversas maneras para proteger a </w:t>
      </w:r>
      <w:r w:rsidR="00A934BB" w:rsidRPr="00111DC0">
        <w:rPr>
          <w:rFonts w:cs="Arial"/>
        </w:rPr>
        <w:t xml:space="preserve">sus empleadas víctimas de violencia de género. Desde la </w:t>
      </w:r>
      <w:r w:rsidRPr="00111DC0">
        <w:rPr>
          <w:rFonts w:cs="Arial"/>
          <w:b/>
          <w:bCs/>
        </w:rPr>
        <w:t xml:space="preserve">realización de campañas o acciones de </w:t>
      </w:r>
      <w:r w:rsidR="00A934BB" w:rsidRPr="00111DC0">
        <w:rPr>
          <w:rFonts w:cs="Arial"/>
          <w:b/>
          <w:bCs/>
        </w:rPr>
        <w:t>sensibilización contra la</w:t>
      </w:r>
      <w:r w:rsidR="005315D1" w:rsidRPr="00111DC0">
        <w:rPr>
          <w:rFonts w:cs="Arial"/>
          <w:b/>
          <w:bCs/>
        </w:rPr>
        <w:t>s</w:t>
      </w:r>
      <w:r w:rsidR="00A934BB" w:rsidRPr="00111DC0">
        <w:rPr>
          <w:rFonts w:cs="Arial"/>
          <w:b/>
          <w:bCs/>
        </w:rPr>
        <w:t xml:space="preserve"> violencia</w:t>
      </w:r>
      <w:r w:rsidR="005315D1" w:rsidRPr="00111DC0">
        <w:rPr>
          <w:rFonts w:cs="Arial"/>
          <w:b/>
          <w:bCs/>
        </w:rPr>
        <w:t>s</w:t>
      </w:r>
      <w:r w:rsidR="00A934BB" w:rsidRPr="00111DC0">
        <w:rPr>
          <w:rFonts w:cs="Arial"/>
          <w:b/>
          <w:bCs/>
        </w:rPr>
        <w:t xml:space="preserve"> </w:t>
      </w:r>
      <w:r w:rsidR="005315D1" w:rsidRPr="00111DC0">
        <w:rPr>
          <w:rFonts w:cs="Arial"/>
          <w:b/>
          <w:bCs/>
        </w:rPr>
        <w:t xml:space="preserve">machistas </w:t>
      </w:r>
      <w:r w:rsidR="00A934BB" w:rsidRPr="00111DC0">
        <w:rPr>
          <w:rFonts w:cs="Arial"/>
          <w:b/>
          <w:bCs/>
        </w:rPr>
        <w:t xml:space="preserve">a toda la </w:t>
      </w:r>
      <w:r w:rsidR="00A934BB" w:rsidRPr="00282F8A">
        <w:rPr>
          <w:rFonts w:cs="Arial"/>
          <w:b/>
          <w:bCs/>
        </w:rPr>
        <w:t xml:space="preserve">plantilla hasta la elaboración de </w:t>
      </w:r>
      <w:r w:rsidR="009612A8" w:rsidRPr="00282F8A">
        <w:rPr>
          <w:rFonts w:cs="Arial"/>
          <w:b/>
          <w:bCs/>
        </w:rPr>
        <w:t xml:space="preserve">un </w:t>
      </w:r>
      <w:r w:rsidR="00A934BB" w:rsidRPr="00282F8A">
        <w:rPr>
          <w:rFonts w:cs="Arial"/>
          <w:b/>
          <w:bCs/>
        </w:rPr>
        <w:t>p</w:t>
      </w:r>
      <w:r w:rsidR="009612A8" w:rsidRPr="00282F8A">
        <w:rPr>
          <w:rFonts w:cs="Arial"/>
          <w:b/>
          <w:bCs/>
        </w:rPr>
        <w:t xml:space="preserve">rocedimiento </w:t>
      </w:r>
      <w:r w:rsidR="00A934BB" w:rsidRPr="00282F8A">
        <w:rPr>
          <w:rFonts w:cs="Arial"/>
          <w:b/>
          <w:bCs/>
        </w:rPr>
        <w:t xml:space="preserve">específico </w:t>
      </w:r>
      <w:r w:rsidR="009612A8" w:rsidRPr="00282F8A">
        <w:rPr>
          <w:rFonts w:cs="Arial"/>
          <w:b/>
          <w:bCs/>
        </w:rPr>
        <w:t>sobre protección a las víctimas de violencia de género</w:t>
      </w:r>
      <w:r w:rsidRPr="00282F8A">
        <w:rPr>
          <w:rFonts w:cs="Arial"/>
          <w:bCs/>
        </w:rPr>
        <w:t xml:space="preserve">. </w:t>
      </w:r>
      <w:r w:rsidR="00F02DA6" w:rsidRPr="00282F8A">
        <w:rPr>
          <w:rFonts w:cs="Arial"/>
          <w:bCs/>
        </w:rPr>
        <w:t>Tanto las campañas, las acciones de sensibilización como los protocolos están ampliamente regulados en la</w:t>
      </w:r>
      <w:r w:rsidR="00282F8A" w:rsidRPr="00282F8A">
        <w:rPr>
          <w:rFonts w:cs="Arial"/>
          <w:bCs/>
        </w:rPr>
        <w:t xml:space="preserve"> </w:t>
      </w:r>
      <w:r w:rsidR="00282F8A">
        <w:rPr>
          <w:rFonts w:cs="Arial"/>
          <w:bCs/>
        </w:rPr>
        <w:t xml:space="preserve">anteriormente </w:t>
      </w:r>
      <w:r w:rsidR="00282F8A" w:rsidRPr="00282F8A">
        <w:rPr>
          <w:rFonts w:cs="Arial"/>
          <w:bCs/>
        </w:rPr>
        <w:t>mencionada</w:t>
      </w:r>
      <w:r w:rsidR="00F02DA6" w:rsidRPr="00282F8A">
        <w:rPr>
          <w:rFonts w:cs="Arial"/>
          <w:bCs/>
        </w:rPr>
        <w:t xml:space="preserve"> </w:t>
      </w:r>
      <w:r w:rsidR="00282F8A" w:rsidRPr="00282F8A">
        <w:rPr>
          <w:rStyle w:val="KursivaCar"/>
        </w:rPr>
        <w:t>ley 11/2022, de 20 de septiembre, contra la Violencia de Género de La Rioja</w:t>
      </w:r>
      <w:r w:rsidR="00E341E0">
        <w:rPr>
          <w:rFonts w:cs="Arial"/>
          <w:bCs/>
        </w:rPr>
        <w:t>, que</w:t>
      </w:r>
      <w:r w:rsidR="00F02DA6">
        <w:rPr>
          <w:rFonts w:cs="Arial"/>
          <w:bCs/>
        </w:rPr>
        <w:t xml:space="preserve"> </w:t>
      </w:r>
      <w:r w:rsidR="00E341E0">
        <w:rPr>
          <w:rFonts w:cs="Arial"/>
        </w:rPr>
        <w:t>ha supuesto la derogación y modificación de algunos de los artículos de la anterior, aparte de haber incluido nuevos preceptos en la materia. Esta nueva ley, de mayor alcance y detalle que la anterior, protege a todas las mujeres y, por ende, sus contenidos son extensivos a aquellas que son empleadas de la Administración General, cualquiera que sea su relación laboral con la misma.</w:t>
      </w:r>
    </w:p>
    <w:p w14:paraId="73EFB468" w14:textId="77777777" w:rsidR="001802B3" w:rsidRPr="00111DC0" w:rsidRDefault="001802B3" w:rsidP="00FC5A52">
      <w:pPr>
        <w:rPr>
          <w:rFonts w:cs="Arial"/>
          <w:bCs/>
        </w:rPr>
      </w:pPr>
    </w:p>
    <w:p w14:paraId="5A27E4DC" w14:textId="6BF6B3A2" w:rsidR="001802B3" w:rsidRPr="00111DC0" w:rsidRDefault="001802B3" w:rsidP="001802B3">
      <w:pPr>
        <w:pStyle w:val="Ttulo3"/>
        <w:rPr>
          <w:rFonts w:cs="Arial"/>
        </w:rPr>
      </w:pPr>
      <w:r w:rsidRPr="00B12D28">
        <w:rPr>
          <w:rFonts w:cs="Arial"/>
        </w:rPr>
        <w:t>Violencias sexuales</w:t>
      </w:r>
    </w:p>
    <w:p w14:paraId="00445827" w14:textId="60FA9F81" w:rsidR="00B12D28" w:rsidRPr="000B5EED" w:rsidRDefault="00B12D28" w:rsidP="000B5EED">
      <w:r>
        <w:t xml:space="preserve">La violencia sexual es </w:t>
      </w:r>
      <w:r w:rsidR="000B5EED">
        <w:t xml:space="preserve">también </w:t>
      </w:r>
      <w:r>
        <w:t xml:space="preserve">definida como una manifestación de violencia de género en el artículo 5 de la </w:t>
      </w:r>
      <w:r w:rsidRPr="00B12D28">
        <w:rPr>
          <w:rStyle w:val="KursivaCar"/>
        </w:rPr>
        <w:t>ley contra la violencia de género de La Rioja</w:t>
      </w:r>
      <w:r>
        <w:t xml:space="preserve">: </w:t>
      </w:r>
      <w:r w:rsidRPr="00B12D28">
        <w:rPr>
          <w:i/>
          <w:iCs/>
        </w:rPr>
        <w:t>cualquier acto de naturaleza sexual no consentido, incluida la exhibición, la observación y la imposición de relaciones sexuales, la explotación sexual, la trata, los abusos sexuales o la extorsión con pornografía.</w:t>
      </w:r>
      <w:r>
        <w:rPr>
          <w:i/>
          <w:iCs/>
        </w:rPr>
        <w:t xml:space="preserve"> </w:t>
      </w:r>
      <w:r w:rsidR="000B5EED">
        <w:t xml:space="preserve">Continúa detallando este mismo artículo que las violencias sexuales deben entenderse como </w:t>
      </w:r>
      <w:r w:rsidR="000B5EED" w:rsidRPr="000B5EED">
        <w:rPr>
          <w:i/>
          <w:iCs/>
        </w:rPr>
        <w:t>los actos contra la libertad sexual, entre los que se encuentran las agresiones y abusos sexuales realizados contra las mujeres mediante la utilización del sexo como arma de poder o forma de coacción sobre aquellas, cualquiera que sea el ámbito en el que se produzcan.</w:t>
      </w:r>
    </w:p>
    <w:p w14:paraId="652B0959" w14:textId="1703CFAE" w:rsidR="000F5D47" w:rsidRDefault="000B5EED" w:rsidP="000F5D47">
      <w:r>
        <w:t>En protección de las empleadas que hayan sido víctimas de violencia</w:t>
      </w:r>
      <w:r w:rsidR="00A74152">
        <w:t>s</w:t>
      </w:r>
      <w:r>
        <w:t xml:space="preserve"> sexual</w:t>
      </w:r>
      <w:r w:rsidR="00A74152">
        <w:t>es</w:t>
      </w:r>
      <w:r>
        <w:t xml:space="preserve">, es de aplicación lo dispuesto en el artículo 47 de la norma, en tanto que la Administración de la Comunidad Autónoma de La Rioja dispondrá de recursos especializados para garantizar su adecuada recuperación </w:t>
      </w:r>
      <w:r w:rsidR="000F5D47">
        <w:t xml:space="preserve">mediante atención. Estas empleadas podrían hacer asimismo uso del servicio aquí regulado y que prestará apoyo psicológico y social, orientación y acompañamiento jurídico. </w:t>
      </w:r>
    </w:p>
    <w:p w14:paraId="04C4B2F3" w14:textId="7EA96757" w:rsidR="00BA2B9C" w:rsidRDefault="00A74152" w:rsidP="000F5D47">
      <w:r>
        <w:t xml:space="preserve">Cuando estas empleadas formen parte del personal laboral, les serán de aplicación los derechos reconocidos en el </w:t>
      </w:r>
      <w:r w:rsidRPr="00A74152">
        <w:rPr>
          <w:rStyle w:val="KursivaCar"/>
        </w:rPr>
        <w:t>Estatuto de los Trabajadores</w:t>
      </w:r>
      <w:r>
        <w:t xml:space="preserve"> así como en el texto refundido de la </w:t>
      </w:r>
      <w:r w:rsidRPr="00A74152">
        <w:rPr>
          <w:rStyle w:val="KursivaCar"/>
        </w:rPr>
        <w:t>Ley de Seguridad Social, aprobado por Real Decreto Legislativo 8/2015, de 30 de octubre, y en la Ley Orgánica 4/2000, de 11 de enero</w:t>
      </w:r>
      <w:r w:rsidRPr="00407706">
        <w:t xml:space="preserve">. </w:t>
      </w:r>
      <w:r w:rsidR="00407706">
        <w:t xml:space="preserve">Estas garantías están subrayadas en la </w:t>
      </w:r>
      <w:r w:rsidR="00407706" w:rsidRPr="00407706">
        <w:rPr>
          <w:rStyle w:val="KursivaCar"/>
        </w:rPr>
        <w:t>ley orgánica de garantía integral de libertad sexual</w:t>
      </w:r>
      <w:r w:rsidR="008223DD">
        <w:t xml:space="preserve"> (artículo 38). </w:t>
      </w:r>
    </w:p>
    <w:p w14:paraId="4139154B" w14:textId="5432B2CF" w:rsidR="008223DD" w:rsidRDefault="008223DD" w:rsidP="000F5D47">
      <w:r>
        <w:t xml:space="preserve">En el caso de empleadas públicas con estatus de funcionarias, el artículo 40 </w:t>
      </w:r>
      <w:r w:rsidR="00675F50">
        <w:t xml:space="preserve">de la anterior ley recoge una serie de derechos en sintonía con los que se han visto anteriormente, equiparados a los de las mujeres víctimas de violencia de género: reducción o reordenación de su tiempo de trabajo, movilidad geográfica de centro de trabajo, excedencia o justificación de ausencias. </w:t>
      </w:r>
    </w:p>
    <w:p w14:paraId="59639E21" w14:textId="52232849" w:rsidR="00FC0FED" w:rsidRPr="00111DC0" w:rsidRDefault="00FC0FED" w:rsidP="004B6A1B">
      <w:pPr>
        <w:pStyle w:val="Ttulo3"/>
        <w:rPr>
          <w:rFonts w:cs="Arial"/>
        </w:rPr>
      </w:pPr>
      <w:r w:rsidRPr="00111DC0">
        <w:rPr>
          <w:rFonts w:cs="Arial"/>
        </w:rPr>
        <w:t>Conclusiones</w:t>
      </w:r>
    </w:p>
    <w:p w14:paraId="7E4E917D" w14:textId="00E95AAE" w:rsidR="00FC0FED" w:rsidRPr="00111DC0" w:rsidRDefault="00B1753B" w:rsidP="00DE69A1">
      <w:pPr>
        <w:pStyle w:val="Ttulo4"/>
        <w:rPr>
          <w:rFonts w:cs="Arial"/>
        </w:rPr>
      </w:pPr>
      <w:r w:rsidRPr="00111DC0">
        <w:rPr>
          <w:rFonts w:cs="Arial"/>
        </w:rPr>
        <w:t xml:space="preserve">Fortalezas </w:t>
      </w:r>
    </w:p>
    <w:p w14:paraId="134884FA" w14:textId="4A16DCEA" w:rsidR="00FC0FED" w:rsidRDefault="00FC0FED" w:rsidP="00FC0FED">
      <w:pPr>
        <w:rPr>
          <w:rFonts w:cs="Arial"/>
        </w:rPr>
      </w:pPr>
      <w:r w:rsidRPr="00111DC0">
        <w:rPr>
          <w:rFonts w:cs="Arial"/>
          <w:noProof/>
          <w:sz w:val="20"/>
          <w:szCs w:val="18"/>
          <w:lang w:eastAsia="es-ES"/>
        </w:rPr>
        <w:drawing>
          <wp:inline distT="0" distB="0" distL="0" distR="0" wp14:anchorId="48637B48" wp14:editId="2B7D60DC">
            <wp:extent cx="299923" cy="299923"/>
            <wp:effectExtent l="0" t="0" r="0" b="0"/>
            <wp:docPr id="164" name="Gráfico 164"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494B79">
        <w:rPr>
          <w:rFonts w:cs="Arial"/>
          <w:b/>
          <w:bCs/>
        </w:rPr>
        <w:t>La inmensa mayoría de las empleadas y empleados públicos</w:t>
      </w:r>
      <w:r w:rsidRPr="00111DC0">
        <w:rPr>
          <w:rFonts w:cs="Arial"/>
        </w:rPr>
        <w:t xml:space="preserve"> afirman no haber sufrido nunca acoso sexual o por razón de sexo.</w:t>
      </w:r>
    </w:p>
    <w:p w14:paraId="6A25DDE3" w14:textId="1840BAA9" w:rsidR="005C2B2A" w:rsidRPr="005C2B2A" w:rsidRDefault="005C2B2A" w:rsidP="00FC0FED">
      <w:r w:rsidRPr="00111DC0">
        <w:rPr>
          <w:rFonts w:cs="Arial"/>
          <w:noProof/>
          <w:sz w:val="20"/>
          <w:szCs w:val="18"/>
          <w:lang w:eastAsia="es-ES"/>
        </w:rPr>
        <w:drawing>
          <wp:inline distT="0" distB="0" distL="0" distR="0" wp14:anchorId="36BC2D33" wp14:editId="6C1ED08C">
            <wp:extent cx="299923" cy="299923"/>
            <wp:effectExtent l="0" t="0" r="0" b="0"/>
            <wp:docPr id="39" name="Gráfico 39"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Pr>
          <w:rFonts w:cs="Arial"/>
        </w:rPr>
        <w:t xml:space="preserve"> </w:t>
      </w:r>
      <w:r w:rsidRPr="00494B79">
        <w:rPr>
          <w:rFonts w:cs="Arial"/>
          <w:b/>
          <w:bCs/>
        </w:rPr>
        <w:t>Las empleadas públicas de La Rioja cuentan con una protección detallada de sus derechos en caso de ser víctimas de violencia de género,</w:t>
      </w:r>
      <w:r>
        <w:rPr>
          <w:rFonts w:cs="Arial"/>
        </w:rPr>
        <w:t xml:space="preserve"> en cualquiera de sus manifestaciones, siendo destacable la reciente aprobación de la </w:t>
      </w:r>
      <w:r w:rsidRPr="005C2B2A">
        <w:t>ley 11/2022, de 20 de septiembre, contra la Violencia de Género de La Rioja</w:t>
      </w:r>
      <w:r>
        <w:t xml:space="preserve">. </w:t>
      </w:r>
    </w:p>
    <w:p w14:paraId="5C0D2CC9" w14:textId="69438D88" w:rsidR="00FC0FED" w:rsidRPr="00111DC0" w:rsidRDefault="00FC0FED" w:rsidP="00FC0FED">
      <w:pPr>
        <w:rPr>
          <w:rFonts w:cs="Arial"/>
        </w:rPr>
      </w:pPr>
      <w:r w:rsidRPr="00111DC0">
        <w:rPr>
          <w:rFonts w:cs="Arial"/>
          <w:noProof/>
          <w:sz w:val="20"/>
          <w:szCs w:val="18"/>
          <w:lang w:eastAsia="es-ES"/>
        </w:rPr>
        <w:drawing>
          <wp:inline distT="0" distB="0" distL="0" distR="0" wp14:anchorId="2E1EA5A4" wp14:editId="68C56010">
            <wp:extent cx="299923" cy="299923"/>
            <wp:effectExtent l="0" t="0" r="0" b="0"/>
            <wp:docPr id="165" name="Gráfico 165"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494B79">
        <w:rPr>
          <w:rFonts w:cs="Arial"/>
          <w:b/>
          <w:bCs/>
        </w:rPr>
        <w:t>Aún a falta de un protocolo aprobado,</w:t>
      </w:r>
      <w:r w:rsidRPr="00111DC0">
        <w:rPr>
          <w:rFonts w:cs="Arial"/>
        </w:rPr>
        <w:t xml:space="preserve"> el área de Prevención de Riesgos Laborales de la DG de Función Pública ha actuado con agilidad y objetividad en 4 casos de atentado contra la intimidad sexual de</w:t>
      </w:r>
      <w:r w:rsidR="00140E43" w:rsidRPr="00111DC0">
        <w:rPr>
          <w:rFonts w:cs="Arial"/>
        </w:rPr>
        <w:t xml:space="preserve"> las</w:t>
      </w:r>
      <w:r w:rsidRPr="00111DC0">
        <w:rPr>
          <w:rFonts w:cs="Arial"/>
        </w:rPr>
        <w:t xml:space="preserve"> personas </w:t>
      </w:r>
      <w:r w:rsidR="00140E43" w:rsidRPr="00111DC0">
        <w:rPr>
          <w:rFonts w:cs="Arial"/>
        </w:rPr>
        <w:t xml:space="preserve">trabajadoras, </w:t>
      </w:r>
      <w:r w:rsidRPr="00111DC0">
        <w:rPr>
          <w:rFonts w:cs="Arial"/>
        </w:rPr>
        <w:t>y manifiesta su voluntad de colaborar en el establecimiento de Protocolos de actuación y prevención de carácter transversal e integral en la Administración Autonómica.</w:t>
      </w:r>
    </w:p>
    <w:p w14:paraId="2363CA33" w14:textId="77777777" w:rsidR="00FC0FED" w:rsidRPr="00111DC0" w:rsidRDefault="00FC0FED" w:rsidP="00FC0FED">
      <w:pPr>
        <w:rPr>
          <w:rFonts w:cs="Arial"/>
        </w:rPr>
      </w:pPr>
    </w:p>
    <w:p w14:paraId="41546782" w14:textId="7AFF6409" w:rsidR="00A66004" w:rsidRPr="00111DC0" w:rsidRDefault="00FC0FED" w:rsidP="00DE69A1">
      <w:pPr>
        <w:pStyle w:val="Ttulo4"/>
        <w:rPr>
          <w:rFonts w:cs="Arial"/>
        </w:rPr>
      </w:pPr>
      <w:r w:rsidRPr="00111DC0">
        <w:rPr>
          <w:rFonts w:cs="Arial"/>
        </w:rPr>
        <w:t>Á</w:t>
      </w:r>
      <w:r w:rsidR="00B1753B" w:rsidRPr="00111DC0">
        <w:rPr>
          <w:rFonts w:cs="Arial"/>
        </w:rPr>
        <w:t>reas de mejora</w:t>
      </w:r>
    </w:p>
    <w:p w14:paraId="32ADACB9" w14:textId="07FCD4AE" w:rsidR="00FC0FED" w:rsidRPr="00111DC0" w:rsidRDefault="00FC0FED" w:rsidP="00FC0FED">
      <w:pPr>
        <w:rPr>
          <w:rFonts w:cs="Arial"/>
        </w:rPr>
      </w:pPr>
      <w:r w:rsidRPr="00111DC0">
        <w:rPr>
          <w:rFonts w:cs="Arial"/>
          <w:noProof/>
          <w:sz w:val="20"/>
          <w:szCs w:val="18"/>
          <w:lang w:eastAsia="es-ES"/>
        </w:rPr>
        <w:drawing>
          <wp:inline distT="0" distB="0" distL="0" distR="0" wp14:anchorId="31F7AEA0" wp14:editId="05F305D9">
            <wp:extent cx="277978" cy="277978"/>
            <wp:effectExtent l="0" t="0" r="0" b="0"/>
            <wp:docPr id="163" name="Gráfico 163"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1 </w:t>
      </w:r>
      <w:r w:rsidRPr="00494B79">
        <w:rPr>
          <w:rFonts w:cs="Arial"/>
          <w:b/>
          <w:bCs/>
        </w:rPr>
        <w:t>- Actualmente no existe un protocolo aprobado de actuación ante el acoso sexual y por razón de sexo,</w:t>
      </w:r>
      <w:r w:rsidRPr="00111DC0">
        <w:rPr>
          <w:rFonts w:cs="Arial"/>
        </w:rPr>
        <w:t xml:space="preserve"> pero el documento está en fase de revisión y aprobación</w:t>
      </w:r>
      <w:r w:rsidR="00C73F7E" w:rsidRPr="00111DC0">
        <w:rPr>
          <w:rFonts w:cs="Arial"/>
        </w:rPr>
        <w:t>,</w:t>
      </w:r>
      <w:r w:rsidRPr="00111DC0">
        <w:rPr>
          <w:rFonts w:cs="Arial"/>
        </w:rPr>
        <w:t xml:space="preserve"> de lo </w:t>
      </w:r>
      <w:r w:rsidR="00C73F7E" w:rsidRPr="00111DC0">
        <w:rPr>
          <w:rFonts w:cs="Arial"/>
        </w:rPr>
        <w:t>cual</w:t>
      </w:r>
      <w:r w:rsidRPr="00111DC0">
        <w:rPr>
          <w:rFonts w:cs="Arial"/>
        </w:rPr>
        <w:t xml:space="preserve"> derivará la creación de la Comisión Instructora.</w:t>
      </w:r>
    </w:p>
    <w:p w14:paraId="355ADCF1" w14:textId="704EE1FA" w:rsidR="00FC0FED" w:rsidRPr="00111DC0" w:rsidRDefault="00FC0FED" w:rsidP="00FC0FED">
      <w:pPr>
        <w:rPr>
          <w:rFonts w:cs="Arial"/>
        </w:rPr>
      </w:pPr>
      <w:r w:rsidRPr="00111DC0">
        <w:rPr>
          <w:rFonts w:cs="Arial"/>
          <w:noProof/>
          <w:sz w:val="20"/>
          <w:szCs w:val="18"/>
          <w:lang w:eastAsia="es-ES"/>
        </w:rPr>
        <w:drawing>
          <wp:inline distT="0" distB="0" distL="0" distR="0" wp14:anchorId="28DAE712" wp14:editId="70DF774D">
            <wp:extent cx="277978" cy="277978"/>
            <wp:effectExtent l="0" t="0" r="0" b="0"/>
            <wp:docPr id="166" name="Gráfico 166"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2 </w:t>
      </w:r>
      <w:r w:rsidRPr="00494B79">
        <w:rPr>
          <w:rFonts w:cs="Arial"/>
          <w:b/>
          <w:bCs/>
        </w:rPr>
        <w:t xml:space="preserve">– </w:t>
      </w:r>
      <w:r w:rsidR="00C73F7E" w:rsidRPr="00494B79">
        <w:rPr>
          <w:rFonts w:cs="Arial"/>
          <w:b/>
          <w:bCs/>
        </w:rPr>
        <w:t>Para la plena protección de las empleadas y en el refuerzo del compromiso con la igualdad,</w:t>
      </w:r>
      <w:r w:rsidR="00C73F7E" w:rsidRPr="00111DC0">
        <w:rPr>
          <w:rFonts w:cs="Arial"/>
        </w:rPr>
        <w:t xml:space="preserve"> la Administración General podría e</w:t>
      </w:r>
      <w:r w:rsidRPr="00111DC0">
        <w:rPr>
          <w:rFonts w:cs="Arial"/>
        </w:rPr>
        <w:t>stablecer medidas específicas de contribución a la garantía de derechos y protección de las empleadas víctimas de violencia de género</w:t>
      </w:r>
      <w:r w:rsidR="00C73F7E" w:rsidRPr="00111DC0">
        <w:rPr>
          <w:rFonts w:cs="Arial"/>
        </w:rPr>
        <w:t xml:space="preserve"> </w:t>
      </w:r>
      <w:r w:rsidRPr="00111DC0">
        <w:rPr>
          <w:rFonts w:cs="Arial"/>
        </w:rPr>
        <w:t>a través de la aprobación de un procedimiento específico.</w:t>
      </w:r>
    </w:p>
    <w:p w14:paraId="06EF81A5" w14:textId="280C47C1" w:rsidR="00FC0FED" w:rsidRPr="00111DC0" w:rsidRDefault="00FC0FED" w:rsidP="00FC0FED">
      <w:pPr>
        <w:rPr>
          <w:rFonts w:cs="Arial"/>
        </w:rPr>
      </w:pPr>
      <w:r w:rsidRPr="00111DC0">
        <w:rPr>
          <w:rFonts w:cs="Arial"/>
          <w:noProof/>
          <w:sz w:val="20"/>
          <w:szCs w:val="18"/>
          <w:lang w:eastAsia="es-ES"/>
        </w:rPr>
        <w:drawing>
          <wp:inline distT="0" distB="0" distL="0" distR="0" wp14:anchorId="58D94ECF" wp14:editId="23B14D8B">
            <wp:extent cx="277978" cy="277978"/>
            <wp:effectExtent l="0" t="0" r="0" b="0"/>
            <wp:docPr id="167" name="Gráfico 167"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3 </w:t>
      </w:r>
      <w:r w:rsidR="00C73F7E" w:rsidRPr="00494B79">
        <w:rPr>
          <w:rFonts w:cs="Arial"/>
          <w:b/>
          <w:bCs/>
        </w:rPr>
        <w:t>–</w:t>
      </w:r>
      <w:r w:rsidRPr="00494B79">
        <w:rPr>
          <w:rFonts w:cs="Arial"/>
          <w:b/>
          <w:bCs/>
        </w:rPr>
        <w:t xml:space="preserve"> </w:t>
      </w:r>
      <w:r w:rsidR="00C73F7E" w:rsidRPr="00494B79">
        <w:rPr>
          <w:rFonts w:cs="Arial"/>
          <w:b/>
          <w:bCs/>
        </w:rPr>
        <w:t xml:space="preserve">En cumplimiento con la reciente legislación, la </w:t>
      </w:r>
      <w:r w:rsidR="00916F1C" w:rsidRPr="00494B79">
        <w:rPr>
          <w:rFonts w:cs="Arial"/>
          <w:b/>
          <w:bCs/>
        </w:rPr>
        <w:t>Administración</w:t>
      </w:r>
      <w:r w:rsidR="00C73F7E" w:rsidRPr="00494B79">
        <w:rPr>
          <w:rFonts w:cs="Arial"/>
          <w:b/>
          <w:bCs/>
        </w:rPr>
        <w:t xml:space="preserve"> </w:t>
      </w:r>
      <w:r w:rsidR="00916F1C" w:rsidRPr="00494B79">
        <w:rPr>
          <w:rFonts w:cs="Arial"/>
          <w:b/>
          <w:bCs/>
        </w:rPr>
        <w:t>G</w:t>
      </w:r>
      <w:r w:rsidR="00C73F7E" w:rsidRPr="00494B79">
        <w:rPr>
          <w:rFonts w:cs="Arial"/>
          <w:b/>
          <w:bCs/>
        </w:rPr>
        <w:t>eneral deberá i</w:t>
      </w:r>
      <w:r w:rsidRPr="00494B79">
        <w:rPr>
          <w:rFonts w:cs="Arial"/>
          <w:b/>
          <w:bCs/>
        </w:rPr>
        <w:t xml:space="preserve">ntroducir medidas de </w:t>
      </w:r>
      <w:r w:rsidR="00C73F7E" w:rsidRPr="00494B79">
        <w:rPr>
          <w:rFonts w:cs="Arial"/>
          <w:b/>
          <w:bCs/>
        </w:rPr>
        <w:t xml:space="preserve">información y </w:t>
      </w:r>
      <w:r w:rsidRPr="00494B79">
        <w:rPr>
          <w:rFonts w:cs="Arial"/>
          <w:b/>
          <w:bCs/>
        </w:rPr>
        <w:t>sensibilización</w:t>
      </w:r>
      <w:r w:rsidRPr="00111DC0">
        <w:rPr>
          <w:rFonts w:cs="Arial"/>
        </w:rPr>
        <w:t xml:space="preserve"> ante </w:t>
      </w:r>
      <w:r w:rsidR="00C73F7E" w:rsidRPr="00111DC0">
        <w:rPr>
          <w:rFonts w:cs="Arial"/>
        </w:rPr>
        <w:t xml:space="preserve">conductas que </w:t>
      </w:r>
      <w:r w:rsidR="00916F1C" w:rsidRPr="00111DC0">
        <w:rPr>
          <w:rFonts w:cs="Arial"/>
        </w:rPr>
        <w:t>atenten</w:t>
      </w:r>
      <w:r w:rsidR="00C73F7E" w:rsidRPr="00111DC0">
        <w:rPr>
          <w:rFonts w:cs="Arial"/>
        </w:rPr>
        <w:t xml:space="preserve"> contra la libertad sexual y la integridad moral en el trabajo, especialmente en lo relativo al </w:t>
      </w:r>
      <w:r w:rsidRPr="00111DC0">
        <w:rPr>
          <w:rFonts w:cs="Arial"/>
        </w:rPr>
        <w:t xml:space="preserve">acoso sexual y </w:t>
      </w:r>
      <w:r w:rsidR="00916F1C" w:rsidRPr="00111DC0">
        <w:rPr>
          <w:rFonts w:cs="Arial"/>
        </w:rPr>
        <w:t xml:space="preserve">al acoso por razón de sexo, incluso en lo referido a </w:t>
      </w:r>
      <w:r w:rsidRPr="00111DC0">
        <w:rPr>
          <w:rFonts w:cs="Arial"/>
        </w:rPr>
        <w:t xml:space="preserve">otras formas de </w:t>
      </w:r>
      <w:r w:rsidR="00916F1C" w:rsidRPr="00111DC0">
        <w:rPr>
          <w:rFonts w:cs="Arial"/>
        </w:rPr>
        <w:t>acoso discriminatorio</w:t>
      </w:r>
      <w:r w:rsidRPr="00111DC0">
        <w:rPr>
          <w:rFonts w:cs="Arial"/>
        </w:rPr>
        <w:t>.</w:t>
      </w:r>
    </w:p>
    <w:p w14:paraId="28174320" w14:textId="77777777" w:rsidR="00A66004" w:rsidRPr="00111DC0" w:rsidRDefault="00A66004" w:rsidP="00350BA5">
      <w:pPr>
        <w:spacing w:after="0"/>
        <w:rPr>
          <w:rFonts w:cs="Arial"/>
        </w:rPr>
      </w:pPr>
    </w:p>
    <w:p w14:paraId="1F76E431" w14:textId="77777777" w:rsidR="00A66004" w:rsidRPr="00111DC0" w:rsidRDefault="00A66004" w:rsidP="00350BA5">
      <w:pPr>
        <w:spacing w:after="0"/>
        <w:jc w:val="left"/>
        <w:rPr>
          <w:rFonts w:cs="Arial"/>
        </w:rPr>
      </w:pPr>
    </w:p>
    <w:p w14:paraId="2F1CDCCE" w14:textId="77777777" w:rsidR="00A66004" w:rsidRPr="00111DC0" w:rsidRDefault="00A66004" w:rsidP="00350BA5">
      <w:pPr>
        <w:spacing w:after="0"/>
        <w:rPr>
          <w:rFonts w:cs="Arial"/>
        </w:rPr>
      </w:pPr>
    </w:p>
    <w:p w14:paraId="3F1502A0" w14:textId="232FAAF1" w:rsidR="00EB3E83" w:rsidRPr="00111DC0" w:rsidRDefault="00FC3AE7" w:rsidP="00024B4E">
      <w:pPr>
        <w:pStyle w:val="Ttulo2"/>
      </w:pPr>
      <w:r w:rsidRPr="00111DC0">
        <w:br w:type="page"/>
      </w:r>
      <w:bookmarkStart w:id="23" w:name="_Toc122080797"/>
      <w:r w:rsidR="00EB3E83" w:rsidRPr="00111DC0">
        <w:t xml:space="preserve">Salud </w:t>
      </w:r>
      <w:r w:rsidR="000E69B0" w:rsidRPr="00111DC0">
        <w:t>l</w:t>
      </w:r>
      <w:r w:rsidR="00EB3E83" w:rsidRPr="00111DC0">
        <w:t>aboral</w:t>
      </w:r>
      <w:bookmarkEnd w:id="23"/>
      <w:r w:rsidR="00EB3E83" w:rsidRPr="00111DC0">
        <w:t xml:space="preserve"> </w:t>
      </w:r>
    </w:p>
    <w:p w14:paraId="54A1C2A9" w14:textId="77777777" w:rsidR="00E341E0" w:rsidRDefault="00E341E0" w:rsidP="00E341E0">
      <w:pPr>
        <w:spacing w:before="0" w:after="0"/>
        <w:rPr>
          <w:rFonts w:cs="Arial"/>
        </w:rPr>
      </w:pPr>
    </w:p>
    <w:p w14:paraId="4EE07E35" w14:textId="3779BF04" w:rsidR="00C748DD" w:rsidRPr="00111DC0" w:rsidRDefault="009F0E36" w:rsidP="001B0093">
      <w:pPr>
        <w:rPr>
          <w:rFonts w:cs="Arial"/>
          <w:b/>
          <w:bCs/>
        </w:rPr>
      </w:pPr>
      <w:r w:rsidRPr="00111DC0">
        <w:rPr>
          <w:rFonts w:cs="Arial"/>
        </w:rPr>
        <w:t xml:space="preserve">Incluir la perspectiva de género en el ámbito de la salud laboral, tiene diferentes implicaciones y exige algunos mínimos, como conocer la normativa vinculante en materia de igualdad, manejar </w:t>
      </w:r>
      <w:r w:rsidR="00A83B6E">
        <w:rPr>
          <w:rFonts w:cs="Arial"/>
        </w:rPr>
        <w:t>su</w:t>
      </w:r>
      <w:r w:rsidRPr="00111DC0">
        <w:rPr>
          <w:rFonts w:cs="Arial"/>
        </w:rPr>
        <w:t xml:space="preserve"> marco conceptual aplicado al ámbito de la salud y la seguridad en el empleo o disponer de datos desagregados por sexo. Eso es precisamente lo que va a ocurrir en la Administración General de la CAR: e</w:t>
      </w:r>
      <w:r w:rsidR="00C748DD" w:rsidRPr="00111DC0">
        <w:rPr>
          <w:rFonts w:cs="Arial"/>
        </w:rPr>
        <w:t xml:space="preserve">l último Plan de Prevención de Riesgos Laborales, aprobado en el año 2012, </w:t>
      </w:r>
      <w:r w:rsidR="00C748DD" w:rsidRPr="00111DC0">
        <w:rPr>
          <w:rFonts w:cs="Arial"/>
          <w:b/>
          <w:bCs/>
        </w:rPr>
        <w:t>será actualizado en los próximos meses. En este proceso de actualización se incluirá la perspectiva de género.</w:t>
      </w:r>
    </w:p>
    <w:p w14:paraId="723D98E7" w14:textId="02269417" w:rsidR="0084366F" w:rsidRPr="00111DC0" w:rsidRDefault="0084366F" w:rsidP="004F0C94">
      <w:pPr>
        <w:rPr>
          <w:rFonts w:cs="Arial"/>
        </w:rPr>
      </w:pPr>
      <w:r w:rsidRPr="00111DC0">
        <w:rPr>
          <w:rFonts w:cs="Arial"/>
        </w:rPr>
        <w:t xml:space="preserve">En relación con la normativa, no puede faltar el reconocimiento específico a la protección de las mujeres en determinadas situaciones vinculadas con la reproducción, lo cual son medidas preventivas obligadas en la normativa, en concreto en el artículo 26 de protección a la maternidad de la </w:t>
      </w:r>
      <w:r w:rsidRPr="00111DC0">
        <w:rPr>
          <w:rStyle w:val="KursivaCar"/>
          <w:rFonts w:cs="Arial"/>
        </w:rPr>
        <w:t>ley 31/1995 de 8 de noviembre de Prevención de Riesgos laborales.</w:t>
      </w:r>
      <w:r w:rsidR="004F0C94" w:rsidRPr="00111DC0">
        <w:rPr>
          <w:rStyle w:val="KursivaCar"/>
          <w:rFonts w:cs="Arial"/>
        </w:rPr>
        <w:t xml:space="preserve"> </w:t>
      </w:r>
      <w:r w:rsidR="004F0C94" w:rsidRPr="00111DC0">
        <w:rPr>
          <w:rFonts w:cs="Arial"/>
        </w:rPr>
        <w:t xml:space="preserve">Esta disposición atiende a una protección específica a </w:t>
      </w:r>
      <w:r w:rsidR="003036E8" w:rsidRPr="00111DC0">
        <w:rPr>
          <w:rFonts w:cs="Arial"/>
        </w:rPr>
        <w:t>las mujeres</w:t>
      </w:r>
      <w:r w:rsidR="004F0C94" w:rsidRPr="00111DC0">
        <w:rPr>
          <w:rFonts w:cs="Arial"/>
        </w:rPr>
        <w:t xml:space="preserve"> en función de unas circunstancias biológicas determinadas.  </w:t>
      </w:r>
    </w:p>
    <w:p w14:paraId="743C4832" w14:textId="17780F6E" w:rsidR="009B4858" w:rsidRPr="00111DC0" w:rsidRDefault="003036E8" w:rsidP="001B0093">
      <w:pPr>
        <w:rPr>
          <w:rFonts w:cs="Arial"/>
        </w:rPr>
      </w:pPr>
      <w:r w:rsidRPr="00494B79">
        <w:rPr>
          <w:rFonts w:cs="Arial"/>
          <w:b/>
          <w:bCs/>
        </w:rPr>
        <w:t xml:space="preserve">Respecto al marco conceptual, incorporar la perspectiva </w:t>
      </w:r>
      <w:r w:rsidR="00571E73" w:rsidRPr="00494B79">
        <w:rPr>
          <w:rFonts w:cs="Arial"/>
          <w:b/>
          <w:bCs/>
        </w:rPr>
        <w:t>feminista</w:t>
      </w:r>
      <w:r w:rsidRPr="00494B79">
        <w:rPr>
          <w:rFonts w:cs="Arial"/>
          <w:b/>
          <w:bCs/>
        </w:rPr>
        <w:t xml:space="preserve"> en la política de seguridad y salud laboral exige tener en cuenta los fa</w:t>
      </w:r>
      <w:r w:rsidR="00354E42" w:rsidRPr="00494B79">
        <w:rPr>
          <w:rFonts w:cs="Arial"/>
          <w:b/>
          <w:bCs/>
        </w:rPr>
        <w:t>c</w:t>
      </w:r>
      <w:r w:rsidRPr="00494B79">
        <w:rPr>
          <w:rFonts w:cs="Arial"/>
          <w:b/>
          <w:bCs/>
        </w:rPr>
        <w:t>tores de género que interactúan con el empleo o que interfieren en las formas de enfermar o conservar la seguridad y salud integral</w:t>
      </w:r>
      <w:r w:rsidR="00FE7731" w:rsidRPr="00111DC0">
        <w:rPr>
          <w:rFonts w:cs="Arial"/>
        </w:rPr>
        <w:t xml:space="preserve"> y que pueden</w:t>
      </w:r>
      <w:r w:rsidRPr="00111DC0">
        <w:rPr>
          <w:rFonts w:cs="Arial"/>
        </w:rPr>
        <w:t xml:space="preserve"> agravar</w:t>
      </w:r>
      <w:r w:rsidR="0085242D" w:rsidRPr="00111DC0">
        <w:rPr>
          <w:rFonts w:cs="Arial"/>
        </w:rPr>
        <w:t xml:space="preserve"> los riesgos laborales de las mujeres. Este tipo de riesgos psicosociales suelen clasificarse en tres grandes bloques. </w:t>
      </w:r>
    </w:p>
    <w:p w14:paraId="0FB2544B" w14:textId="152DDF61" w:rsidR="009B4858" w:rsidRPr="00111DC0" w:rsidRDefault="0085242D" w:rsidP="00E341E0">
      <w:pPr>
        <w:rPr>
          <w:rFonts w:cs="Arial"/>
        </w:rPr>
      </w:pPr>
      <w:r w:rsidRPr="00111DC0">
        <w:rPr>
          <w:rFonts w:cs="Arial"/>
        </w:rPr>
        <w:t xml:space="preserve">En primer lugar, los que están relacionados con el doble o triple rol y que impactan mayoritariamente en las mujeres en la </w:t>
      </w:r>
      <w:r w:rsidR="00FE7731" w:rsidRPr="00111DC0">
        <w:rPr>
          <w:rFonts w:cs="Arial"/>
        </w:rPr>
        <w:t>ya mencionada “</w:t>
      </w:r>
      <w:r w:rsidRPr="00111DC0">
        <w:rPr>
          <w:rFonts w:cs="Arial"/>
        </w:rPr>
        <w:t>doble o triple jornada</w:t>
      </w:r>
      <w:r w:rsidR="00FE7731" w:rsidRPr="00111DC0">
        <w:rPr>
          <w:rFonts w:cs="Arial"/>
        </w:rPr>
        <w:t>”</w:t>
      </w:r>
      <w:r w:rsidRPr="00111DC0">
        <w:rPr>
          <w:rFonts w:cs="Arial"/>
        </w:rPr>
        <w:t xml:space="preserve"> de trabajo, con todas sus consecuencias sobre la salud integral</w:t>
      </w:r>
      <w:r w:rsidR="009B4858" w:rsidRPr="00111DC0">
        <w:rPr>
          <w:rFonts w:cs="Arial"/>
        </w:rPr>
        <w:t xml:space="preserve"> (</w:t>
      </w:r>
      <w:proofErr w:type="spellStart"/>
      <w:r w:rsidR="009B4858" w:rsidRPr="00111DC0">
        <w:rPr>
          <w:rFonts w:cs="Arial"/>
          <w:i/>
        </w:rPr>
        <w:t>burnout</w:t>
      </w:r>
      <w:proofErr w:type="spellEnd"/>
      <w:r w:rsidR="009B4858" w:rsidRPr="00111DC0">
        <w:rPr>
          <w:rFonts w:cs="Arial"/>
          <w:i/>
        </w:rPr>
        <w:t xml:space="preserve">, </w:t>
      </w:r>
      <w:r w:rsidR="009B4858" w:rsidRPr="00111DC0">
        <w:rPr>
          <w:rFonts w:cs="Arial"/>
        </w:rPr>
        <w:t xml:space="preserve">cansancio crónico, depresión, ansiedad, o trastornos de diferente tipo como los cardiovasculares, respiratorios, gastrointestinales, dermatológicos, </w:t>
      </w:r>
      <w:proofErr w:type="spellStart"/>
      <w:r w:rsidR="009B4858" w:rsidRPr="00111DC0">
        <w:rPr>
          <w:rFonts w:cs="Arial"/>
        </w:rPr>
        <w:t>musculoesqueléticos</w:t>
      </w:r>
      <w:proofErr w:type="spellEnd"/>
      <w:r w:rsidR="009B4858" w:rsidRPr="00111DC0">
        <w:rPr>
          <w:rFonts w:cs="Arial"/>
        </w:rPr>
        <w:t>, endocrinos, etc.)</w:t>
      </w:r>
      <w:r w:rsidRPr="00111DC0">
        <w:rPr>
          <w:rFonts w:cs="Arial"/>
        </w:rPr>
        <w:t xml:space="preserve">. En segundo lugar, los factores específicos de discriminación por razón de </w:t>
      </w:r>
      <w:r w:rsidR="004F5A71">
        <w:rPr>
          <w:rFonts w:cs="Arial"/>
        </w:rPr>
        <w:t>sexo</w:t>
      </w:r>
      <w:r w:rsidRPr="00111DC0">
        <w:rPr>
          <w:rFonts w:cs="Arial"/>
        </w:rPr>
        <w:t xml:space="preserve">, como el </w:t>
      </w:r>
      <w:r w:rsidR="00C81B8C" w:rsidRPr="00111DC0">
        <w:rPr>
          <w:rFonts w:cs="Arial"/>
        </w:rPr>
        <w:t>“</w:t>
      </w:r>
      <w:r w:rsidRPr="00111DC0">
        <w:rPr>
          <w:rFonts w:cs="Arial"/>
        </w:rPr>
        <w:t>techo de cristal</w:t>
      </w:r>
      <w:r w:rsidR="00C81B8C" w:rsidRPr="00111DC0">
        <w:rPr>
          <w:rFonts w:cs="Arial"/>
        </w:rPr>
        <w:t>”</w:t>
      </w:r>
      <w:r w:rsidRPr="00111DC0">
        <w:rPr>
          <w:rFonts w:cs="Arial"/>
        </w:rPr>
        <w:t xml:space="preserve"> o el </w:t>
      </w:r>
      <w:r w:rsidR="00C81B8C" w:rsidRPr="00111DC0">
        <w:rPr>
          <w:rFonts w:cs="Arial"/>
        </w:rPr>
        <w:t>“</w:t>
      </w:r>
      <w:r w:rsidRPr="00111DC0">
        <w:rPr>
          <w:rFonts w:cs="Arial"/>
        </w:rPr>
        <w:t>suelo pegajoso</w:t>
      </w:r>
      <w:r w:rsidR="00C81B8C" w:rsidRPr="00111DC0">
        <w:rPr>
          <w:rFonts w:cs="Arial"/>
        </w:rPr>
        <w:t>”</w:t>
      </w:r>
      <w:r w:rsidRPr="00111DC0">
        <w:rPr>
          <w:rFonts w:cs="Arial"/>
        </w:rPr>
        <w:t xml:space="preserve">, la </w:t>
      </w:r>
      <w:r w:rsidR="00382106" w:rsidRPr="00111DC0">
        <w:rPr>
          <w:rFonts w:cs="Arial"/>
        </w:rPr>
        <w:t>menor presencia</w:t>
      </w:r>
      <w:r w:rsidRPr="00111DC0">
        <w:rPr>
          <w:rFonts w:cs="Arial"/>
        </w:rPr>
        <w:t xml:space="preserve"> en los puestos de toma de decisiones</w:t>
      </w:r>
      <w:r w:rsidR="00382106" w:rsidRPr="00111DC0">
        <w:rPr>
          <w:rFonts w:cs="Arial"/>
        </w:rPr>
        <w:t>, la falta de credibilidad, autoridad o poder</w:t>
      </w:r>
      <w:r w:rsidR="00FE7731" w:rsidRPr="00111DC0">
        <w:rPr>
          <w:rFonts w:cs="Arial"/>
        </w:rPr>
        <w:t xml:space="preserve">, </w:t>
      </w:r>
      <w:r w:rsidR="00382106" w:rsidRPr="00111DC0">
        <w:rPr>
          <w:rFonts w:cs="Arial"/>
        </w:rPr>
        <w:t>o</w:t>
      </w:r>
      <w:r w:rsidRPr="00111DC0">
        <w:rPr>
          <w:rFonts w:cs="Arial"/>
        </w:rPr>
        <w:t xml:space="preserve"> la brecha salarial</w:t>
      </w:r>
      <w:r w:rsidR="00382106" w:rsidRPr="00111DC0">
        <w:rPr>
          <w:rFonts w:cs="Arial"/>
        </w:rPr>
        <w:t xml:space="preserve">. </w:t>
      </w:r>
      <w:r w:rsidR="00C42D9E" w:rsidRPr="00111DC0">
        <w:rPr>
          <w:rFonts w:cs="Arial"/>
        </w:rPr>
        <w:t>En tercer lugar, el acoso laboral sexual o por razón de sexo</w:t>
      </w:r>
      <w:r w:rsidR="00E341E0">
        <w:rPr>
          <w:rFonts w:cs="Arial"/>
        </w:rPr>
        <w:t>.</w:t>
      </w:r>
    </w:p>
    <w:p w14:paraId="713A149F" w14:textId="1E41F283" w:rsidR="001B0093" w:rsidRPr="00111DC0" w:rsidRDefault="00E341E0" w:rsidP="001B0093">
      <w:pPr>
        <w:rPr>
          <w:rFonts w:cs="Arial"/>
        </w:rPr>
      </w:pPr>
      <w:r>
        <w:rPr>
          <w:rFonts w:cs="Arial"/>
          <w:b/>
          <w:bCs/>
        </w:rPr>
        <w:t>E</w:t>
      </w:r>
      <w:r w:rsidR="00C748DD" w:rsidRPr="00111DC0">
        <w:rPr>
          <w:rFonts w:cs="Arial"/>
          <w:b/>
          <w:bCs/>
        </w:rPr>
        <w:t xml:space="preserve">l Servicio de Prevención </w:t>
      </w:r>
      <w:r w:rsidR="00A94190" w:rsidRPr="00111DC0">
        <w:rPr>
          <w:rFonts w:cs="Arial"/>
          <w:b/>
          <w:bCs/>
        </w:rPr>
        <w:t>de la Administración General ha evaluado, entre otras situaciones, el acoso sexual como un factor de riesgo psicosocial</w:t>
      </w:r>
      <w:r w:rsidR="00A94190" w:rsidRPr="00111DC0">
        <w:rPr>
          <w:rFonts w:cs="Arial"/>
        </w:rPr>
        <w:t xml:space="preserve"> agrupado en el conjunto de riesgos del apartado referido a las Relaciones y Apoyo Social. </w:t>
      </w:r>
    </w:p>
    <w:p w14:paraId="5A8DAE65" w14:textId="6886D98E" w:rsidR="00A94190" w:rsidRPr="00111DC0" w:rsidRDefault="00832FB0" w:rsidP="001B0093">
      <w:pPr>
        <w:rPr>
          <w:rFonts w:cs="Arial"/>
        </w:rPr>
      </w:pPr>
      <w:r w:rsidRPr="00111DC0">
        <w:rPr>
          <w:rFonts w:cs="Arial"/>
        </w:rPr>
        <w:t>D</w:t>
      </w:r>
      <w:r w:rsidR="00A94190" w:rsidRPr="00111DC0">
        <w:rPr>
          <w:rFonts w:cs="Arial"/>
        </w:rPr>
        <w:t>e las evaluaciones realizadas a 1.912 personas empleadas en la Administración General de La Rioja entre los años 2014 y 2019 se desprende</w:t>
      </w:r>
      <w:r w:rsidR="0070604B" w:rsidRPr="00111DC0">
        <w:rPr>
          <w:rFonts w:cs="Arial"/>
        </w:rPr>
        <w:t>n</w:t>
      </w:r>
      <w:r w:rsidR="000524E1" w:rsidRPr="00111DC0">
        <w:rPr>
          <w:rFonts w:cs="Arial"/>
        </w:rPr>
        <w:t xml:space="preserve">, en términos muy similares a los referidos </w:t>
      </w:r>
      <w:r w:rsidR="00FE7731" w:rsidRPr="00111DC0">
        <w:rPr>
          <w:rFonts w:cs="Arial"/>
        </w:rPr>
        <w:t>anteriormente</w:t>
      </w:r>
      <w:r w:rsidR="0070604B" w:rsidRPr="00111DC0">
        <w:rPr>
          <w:rFonts w:cs="Arial"/>
        </w:rPr>
        <w:t>, los datos</w:t>
      </w:r>
      <w:r w:rsidR="00FE7731" w:rsidRPr="00111DC0">
        <w:rPr>
          <w:rFonts w:cs="Arial"/>
        </w:rPr>
        <w:t xml:space="preserve"> incluidos en las dos siguientes gráficas</w:t>
      </w:r>
      <w:r w:rsidR="00A94190" w:rsidRPr="00111DC0">
        <w:rPr>
          <w:rFonts w:cs="Arial"/>
        </w:rPr>
        <w:t xml:space="preserve">: </w:t>
      </w:r>
    </w:p>
    <w:p w14:paraId="0D0A4690" w14:textId="77777777" w:rsidR="00FE7731" w:rsidRPr="00111DC0" w:rsidRDefault="00FE7731" w:rsidP="001B0093">
      <w:pPr>
        <w:rPr>
          <w:rFonts w:cs="Arial"/>
        </w:rPr>
      </w:pPr>
    </w:p>
    <w:p w14:paraId="209B1AC1" w14:textId="47DC27EA" w:rsidR="00A94190" w:rsidRPr="00111DC0" w:rsidRDefault="008E08C7" w:rsidP="00680126">
      <w:pPr>
        <w:tabs>
          <w:tab w:val="left" w:pos="7513"/>
        </w:tabs>
        <w:spacing w:after="0"/>
        <w:rPr>
          <w:rFonts w:cs="Arial"/>
        </w:rPr>
      </w:pPr>
      <w:r w:rsidRPr="00111DC0">
        <w:rPr>
          <w:rFonts w:cs="Arial"/>
          <w:noProof/>
          <w:color w:val="EA0000"/>
          <w:sz w:val="24"/>
          <w:szCs w:val="24"/>
          <w:lang w:eastAsia="es-ES"/>
        </w:rPr>
        <w:drawing>
          <wp:inline distT="0" distB="0" distL="0" distR="0" wp14:anchorId="63F429A0" wp14:editId="5268055D">
            <wp:extent cx="5400040" cy="2179320"/>
            <wp:effectExtent l="0" t="0" r="0" b="0"/>
            <wp:docPr id="44" name="Gráfico 44"/>
            <wp:cNvGraphicFramePr/>
            <a:graphic xmlns:a="http://schemas.openxmlformats.org/drawingml/2006/main">
              <a:graphicData uri="http://schemas.openxmlformats.org/drawingml/2006/chart">
                <c:chart xmlns:c="http://schemas.openxmlformats.org/drawingml/2006/chart" r:id="rId66"/>
              </a:graphicData>
            </a:graphic>
          </wp:inline>
        </w:drawing>
      </w:r>
    </w:p>
    <w:p w14:paraId="2D5F280B" w14:textId="062ECFF5" w:rsidR="006A264A" w:rsidRDefault="00DF7E44" w:rsidP="00B94957">
      <w:pPr>
        <w:rPr>
          <w:rFonts w:cs="Arial"/>
        </w:rPr>
      </w:pPr>
      <w:r w:rsidRPr="00111DC0">
        <w:rPr>
          <w:rFonts w:cs="Arial"/>
          <w:b/>
          <w:bCs/>
        </w:rPr>
        <w:t>La inmensa mayoría del personal público percibe que nunca o raras veces se enfrenta a situaciones de acoso</w:t>
      </w:r>
      <w:r w:rsidR="007407F1" w:rsidRPr="00111DC0">
        <w:rPr>
          <w:rFonts w:cs="Arial"/>
          <w:b/>
          <w:bCs/>
        </w:rPr>
        <w:t xml:space="preserve"> </w:t>
      </w:r>
      <w:r w:rsidRPr="00111DC0">
        <w:rPr>
          <w:rFonts w:cs="Arial"/>
          <w:b/>
          <w:bCs/>
        </w:rPr>
        <w:t>sexual</w:t>
      </w:r>
      <w:r w:rsidRPr="00111DC0">
        <w:rPr>
          <w:rFonts w:cs="Arial"/>
        </w:rPr>
        <w:t>, bien sea entre el propio personal</w:t>
      </w:r>
      <w:r w:rsidR="007407F1" w:rsidRPr="00111DC0">
        <w:rPr>
          <w:rFonts w:cs="Arial"/>
        </w:rPr>
        <w:t xml:space="preserve"> o</w:t>
      </w:r>
      <w:r w:rsidRPr="00111DC0">
        <w:rPr>
          <w:rFonts w:cs="Arial"/>
        </w:rPr>
        <w:t xml:space="preserve"> bien en el ejercicio de su profesión y como un factor de violencia ocupacional externa. </w:t>
      </w:r>
    </w:p>
    <w:p w14:paraId="49E08415" w14:textId="23803279" w:rsidR="006A264A" w:rsidRDefault="000524E1" w:rsidP="0094389F">
      <w:r w:rsidRPr="00111DC0">
        <w:rPr>
          <w:noProof/>
          <w:lang w:eastAsia="es-ES"/>
        </w:rPr>
        <w:drawing>
          <wp:inline distT="0" distB="0" distL="0" distR="0" wp14:anchorId="34880178" wp14:editId="07DD35F0">
            <wp:extent cx="5400040" cy="2286000"/>
            <wp:effectExtent l="0" t="0" r="0" b="0"/>
            <wp:docPr id="46" name="Gráfico 46"/>
            <wp:cNvGraphicFramePr/>
            <a:graphic xmlns:a="http://schemas.openxmlformats.org/drawingml/2006/main">
              <a:graphicData uri="http://schemas.openxmlformats.org/drawingml/2006/chart">
                <c:chart xmlns:c="http://schemas.openxmlformats.org/drawingml/2006/chart" r:id="rId67"/>
              </a:graphicData>
            </a:graphic>
          </wp:inline>
        </w:drawing>
      </w:r>
    </w:p>
    <w:p w14:paraId="257ECC9F" w14:textId="6A91560A" w:rsidR="00F02A4F" w:rsidRPr="00111DC0" w:rsidRDefault="00767FD1" w:rsidP="00350BA5">
      <w:pPr>
        <w:spacing w:after="0"/>
        <w:rPr>
          <w:rFonts w:cs="Arial"/>
          <w:b/>
          <w:bCs/>
        </w:rPr>
      </w:pPr>
      <w:r w:rsidRPr="00111DC0">
        <w:rPr>
          <w:rFonts w:cs="Arial"/>
        </w:rPr>
        <w:t xml:space="preserve">Siendo útiles estos datos, </w:t>
      </w:r>
      <w:r w:rsidR="003036E8" w:rsidRPr="00111DC0">
        <w:rPr>
          <w:rFonts w:cs="Arial"/>
        </w:rPr>
        <w:t xml:space="preserve">no obstante, no permiten conocer las diferencias en la percepción de mujeres y hombres. </w:t>
      </w:r>
      <w:r w:rsidR="00C0696B">
        <w:rPr>
          <w:rFonts w:cs="Arial"/>
        </w:rPr>
        <w:t>D</w:t>
      </w:r>
      <w:r w:rsidR="003036E8" w:rsidRPr="00111DC0">
        <w:rPr>
          <w:rFonts w:cs="Arial"/>
        </w:rPr>
        <w:t>isponer de datos desagregados por sexo es una exigencia mínima para aplicar la perspectiva de género</w:t>
      </w:r>
      <w:r w:rsidR="00436B40" w:rsidRPr="00111DC0">
        <w:rPr>
          <w:rFonts w:cs="Arial"/>
        </w:rPr>
        <w:t>, un mandato recogido en la normativa de igualdad y una condición para</w:t>
      </w:r>
      <w:r w:rsidR="003036E8" w:rsidRPr="00111DC0">
        <w:rPr>
          <w:rFonts w:cs="Arial"/>
        </w:rPr>
        <w:t xml:space="preserve"> poder </w:t>
      </w:r>
      <w:r w:rsidR="00436B40" w:rsidRPr="00111DC0">
        <w:rPr>
          <w:rFonts w:cs="Arial"/>
        </w:rPr>
        <w:t>favorecer la igualdad defectiva.</w:t>
      </w:r>
      <w:r w:rsidR="00436B40" w:rsidRPr="00111DC0">
        <w:rPr>
          <w:rFonts w:cs="Arial"/>
          <w:b/>
          <w:bCs/>
        </w:rPr>
        <w:t xml:space="preserve"> </w:t>
      </w:r>
    </w:p>
    <w:p w14:paraId="61EAEEB0" w14:textId="55990A93" w:rsidR="00194389" w:rsidRPr="00111DC0" w:rsidRDefault="0087157F" w:rsidP="00350BA5">
      <w:pPr>
        <w:spacing w:after="0"/>
        <w:rPr>
          <w:rFonts w:cs="Arial"/>
          <w:b/>
          <w:bCs/>
        </w:rPr>
      </w:pPr>
      <w:r w:rsidRPr="00111DC0">
        <w:rPr>
          <w:rFonts w:cs="Arial"/>
        </w:rPr>
        <w:t>Por ello,</w:t>
      </w:r>
      <w:r w:rsidRPr="00111DC0">
        <w:rPr>
          <w:rFonts w:cs="Arial"/>
          <w:b/>
          <w:bCs/>
        </w:rPr>
        <w:t xml:space="preserve"> </w:t>
      </w:r>
      <w:r w:rsidRPr="00111DC0">
        <w:rPr>
          <w:rFonts w:cs="Arial"/>
        </w:rPr>
        <w:t>se vuelve necesario que, para futuras evaluaciones de riesgos realizadas por el Servicio de Prevención,</w:t>
      </w:r>
      <w:r w:rsidRPr="00111DC0">
        <w:rPr>
          <w:rFonts w:cs="Arial"/>
          <w:b/>
          <w:bCs/>
        </w:rPr>
        <w:t xml:space="preserve"> se incluya la variable sexo en las herramientas de recogida de información, de modo que se puedan conocer las percepciones de mujeres y hombres de una manera diferenciada.</w:t>
      </w:r>
    </w:p>
    <w:p w14:paraId="1424511E" w14:textId="590010DF" w:rsidR="00265097" w:rsidRDefault="00436B40" w:rsidP="00350BA5">
      <w:pPr>
        <w:spacing w:after="0"/>
        <w:rPr>
          <w:rFonts w:cs="Arial"/>
        </w:rPr>
      </w:pPr>
      <w:r w:rsidRPr="00111DC0">
        <w:rPr>
          <w:rFonts w:cs="Arial"/>
        </w:rPr>
        <w:t xml:space="preserve">Al margen de esta información cualitativa, </w:t>
      </w:r>
      <w:r w:rsidRPr="00111DC0">
        <w:rPr>
          <w:rFonts w:cs="Arial"/>
          <w:b/>
          <w:bCs/>
        </w:rPr>
        <w:t>el Servicio de Prevención sí desagrega por sexo el resto de datos relacionados con otros aspectos de la seguridad y salud en el trabajo</w:t>
      </w:r>
      <w:r w:rsidRPr="00111DC0">
        <w:rPr>
          <w:rFonts w:cs="Arial"/>
        </w:rPr>
        <w:t xml:space="preserve">, por ejemplo, los que tienen que ver con los accidentes de trabajo cruzados con su duración y los puestos desempeñados por las personas afectadas, </w:t>
      </w:r>
      <w:r w:rsidR="00E8522B" w:rsidRPr="00111DC0">
        <w:rPr>
          <w:rFonts w:cs="Arial"/>
        </w:rPr>
        <w:t>l</w:t>
      </w:r>
      <w:r w:rsidRPr="00111DC0">
        <w:rPr>
          <w:rFonts w:cs="Arial"/>
        </w:rPr>
        <w:t>os tipos de enfermedades profesionales, por grupo, u otra serie de informaciones vinculadas con la vigilancia de la salud a través de los Comités de seguridad y salud</w:t>
      </w:r>
      <w:r w:rsidR="00265097">
        <w:rPr>
          <w:rFonts w:cs="Arial"/>
        </w:rPr>
        <w:t xml:space="preserve">. </w:t>
      </w:r>
      <w:r w:rsidR="00265097">
        <w:rPr>
          <w:rFonts w:cs="Arial"/>
        </w:rPr>
        <w:br w:type="page"/>
      </w:r>
    </w:p>
    <w:p w14:paraId="4A8FE48F" w14:textId="0C616DDC" w:rsidR="00D76630" w:rsidRPr="00111DC0" w:rsidRDefault="002D53BA" w:rsidP="00350BA5">
      <w:pPr>
        <w:spacing w:after="0"/>
        <w:rPr>
          <w:rFonts w:cs="Arial"/>
        </w:rPr>
      </w:pPr>
      <w:r w:rsidRPr="00111DC0">
        <w:rPr>
          <w:rFonts w:cs="Arial"/>
        </w:rPr>
        <w:t xml:space="preserve">En relación con </w:t>
      </w:r>
      <w:r w:rsidR="004F76C1" w:rsidRPr="00111DC0">
        <w:rPr>
          <w:rFonts w:cs="Arial"/>
        </w:rPr>
        <w:t xml:space="preserve">los accidentes de trabajo, </w:t>
      </w:r>
      <w:r w:rsidR="003B35EF" w:rsidRPr="00111DC0">
        <w:rPr>
          <w:rFonts w:cs="Arial"/>
        </w:rPr>
        <w:t xml:space="preserve">los datos disponibles para el Diagnóstico indican que, entre el total de accidentes con baja y sin baja producidos en el año 2020 (168 accidentes), todos salvo uno, sufrido por una empleada, han sido de carácter leve. </w:t>
      </w:r>
      <w:r w:rsidR="007D3498" w:rsidRPr="00111DC0">
        <w:rPr>
          <w:rFonts w:cs="Arial"/>
        </w:rPr>
        <w:t xml:space="preserve">De este total (167 accidentes leves), el 56% </w:t>
      </w:r>
      <w:r w:rsidR="002A2C22" w:rsidRPr="00111DC0">
        <w:rPr>
          <w:rFonts w:cs="Arial"/>
        </w:rPr>
        <w:t>les</w:t>
      </w:r>
      <w:r w:rsidR="007D3498" w:rsidRPr="00111DC0">
        <w:rPr>
          <w:rFonts w:cs="Arial"/>
        </w:rPr>
        <w:t xml:space="preserve"> ha sucedido a empleadas y el 44% a empleados. </w:t>
      </w:r>
      <w:r w:rsidR="00D76630" w:rsidRPr="00111DC0">
        <w:rPr>
          <w:rFonts w:cs="Arial"/>
          <w:b/>
          <w:bCs/>
        </w:rPr>
        <w:t>Si comparamos el número de accidentes registrados en 2020 con el número de personas que son objeto de este análisis, la ratio de accidentes apenas alcanza el 2%</w:t>
      </w:r>
      <w:r w:rsidR="00F66BDE" w:rsidRPr="00111DC0">
        <w:rPr>
          <w:rFonts w:cs="Arial"/>
          <w:b/>
          <w:bCs/>
        </w:rPr>
        <w:t>.</w:t>
      </w:r>
      <w:r w:rsidR="00D76630" w:rsidRPr="00111DC0">
        <w:rPr>
          <w:rFonts w:cs="Arial"/>
        </w:rPr>
        <w:t xml:space="preserve"> </w:t>
      </w:r>
    </w:p>
    <w:p w14:paraId="63660C4C" w14:textId="536E53C1" w:rsidR="002D53BA" w:rsidRPr="00111DC0" w:rsidRDefault="007D3498" w:rsidP="00350BA5">
      <w:pPr>
        <w:spacing w:after="0"/>
        <w:rPr>
          <w:rFonts w:cs="Arial"/>
        </w:rPr>
      </w:pPr>
      <w:r w:rsidRPr="00111DC0">
        <w:rPr>
          <w:rFonts w:cs="Arial"/>
        </w:rPr>
        <w:t xml:space="preserve">En términos comparativos con la presencia total de mujeres y hombres en la Administración </w:t>
      </w:r>
      <w:r w:rsidR="00A93E6A" w:rsidRPr="00111DC0">
        <w:rPr>
          <w:rFonts w:cs="Arial"/>
        </w:rPr>
        <w:t>G</w:t>
      </w:r>
      <w:r w:rsidRPr="00111DC0">
        <w:rPr>
          <w:rFonts w:cs="Arial"/>
        </w:rPr>
        <w:t>eneral, esto supone un incremento relativo de 12 puntos porcentuales en la afectación de accidentes laborales en hombres (su presencia total es del 32%)</w:t>
      </w:r>
      <w:r w:rsidR="00A93E6A" w:rsidRPr="00111DC0">
        <w:rPr>
          <w:rFonts w:cs="Arial"/>
        </w:rPr>
        <w:t xml:space="preserve"> y, por consiguiente, una disminución relativa en la proporción de empleadas que sufren accidentes laborales, cuya ratio es del 56% (y su presencia en el total de la plantilla del 68%)</w:t>
      </w:r>
      <w:r w:rsidRPr="00111DC0">
        <w:rPr>
          <w:rFonts w:cs="Arial"/>
        </w:rPr>
        <w:t xml:space="preserve">. </w:t>
      </w:r>
    </w:p>
    <w:p w14:paraId="5CDFAE7C" w14:textId="77777777" w:rsidR="008439BE" w:rsidRPr="00111DC0" w:rsidRDefault="00A93E6A" w:rsidP="00350BA5">
      <w:pPr>
        <w:spacing w:after="0"/>
        <w:rPr>
          <w:rFonts w:cs="Arial"/>
        </w:rPr>
      </w:pPr>
      <w:r w:rsidRPr="00111DC0">
        <w:rPr>
          <w:rFonts w:cs="Arial"/>
        </w:rPr>
        <w:t>Estos datos se replican en medidas similares tanto entre los accidentes que requieren baja laboral como entre los que no la requieren</w:t>
      </w:r>
      <w:r w:rsidR="008439BE" w:rsidRPr="00111DC0">
        <w:rPr>
          <w:rFonts w:cs="Arial"/>
        </w:rPr>
        <w:t xml:space="preserve">, tal y como se recoge en la gráfica mostrada a continuación. </w:t>
      </w:r>
    </w:p>
    <w:p w14:paraId="1ADB9E40" w14:textId="3459345A" w:rsidR="00A93E6A" w:rsidRPr="00111DC0" w:rsidRDefault="008439BE" w:rsidP="00350BA5">
      <w:pPr>
        <w:spacing w:after="0"/>
        <w:rPr>
          <w:rFonts w:cs="Arial"/>
        </w:rPr>
      </w:pPr>
      <w:r w:rsidRPr="00111DC0">
        <w:rPr>
          <w:rFonts w:cs="Arial"/>
        </w:rPr>
        <w:t xml:space="preserve">Entre las empleadas, los accidentes de trabajo se producen con mayor recurrencia en puestos como el de Auxiliar de enfermería, Ayudante Técnico Educativo o Tareas administrativas, que concentran el </w:t>
      </w:r>
      <w:r w:rsidR="00F52895" w:rsidRPr="00111DC0">
        <w:rPr>
          <w:rFonts w:cs="Arial"/>
        </w:rPr>
        <w:t>40% de los accidentes femeninos</w:t>
      </w:r>
      <w:r w:rsidRPr="00111DC0">
        <w:rPr>
          <w:rFonts w:cs="Arial"/>
        </w:rPr>
        <w:t xml:space="preserve">. Entre los empleados en puestos como Agente forestal u Operario de retenes, en donde se concentra el 34% de los accidentes </w:t>
      </w:r>
      <w:r w:rsidR="00F52895" w:rsidRPr="00111DC0">
        <w:rPr>
          <w:rFonts w:cs="Arial"/>
        </w:rPr>
        <w:t>masculinos</w:t>
      </w:r>
      <w:r w:rsidRPr="00111DC0">
        <w:rPr>
          <w:rFonts w:cs="Arial"/>
        </w:rPr>
        <w:t xml:space="preserve">. </w:t>
      </w:r>
    </w:p>
    <w:p w14:paraId="62AFE30F" w14:textId="366382F7" w:rsidR="00A93E6A" w:rsidRPr="00111DC0" w:rsidRDefault="00A93E6A" w:rsidP="00350BA5">
      <w:pPr>
        <w:spacing w:after="0"/>
        <w:rPr>
          <w:rFonts w:cs="Arial"/>
        </w:rPr>
      </w:pPr>
    </w:p>
    <w:p w14:paraId="22A3FE9F" w14:textId="66C63F3A" w:rsidR="00A93E6A" w:rsidRPr="00111DC0" w:rsidRDefault="00A93E6A" w:rsidP="00350BA5">
      <w:pPr>
        <w:spacing w:after="0"/>
        <w:rPr>
          <w:rFonts w:cs="Arial"/>
        </w:rPr>
      </w:pPr>
      <w:r w:rsidRPr="00111DC0">
        <w:rPr>
          <w:rFonts w:cs="Arial"/>
          <w:noProof/>
          <w:lang w:eastAsia="es-ES"/>
        </w:rPr>
        <w:drawing>
          <wp:inline distT="0" distB="0" distL="0" distR="0" wp14:anchorId="5E747D91" wp14:editId="4AAF9114">
            <wp:extent cx="5349240" cy="2438400"/>
            <wp:effectExtent l="0" t="0" r="0" b="0"/>
            <wp:docPr id="60" name="Gráfico 60"/>
            <wp:cNvGraphicFramePr/>
            <a:graphic xmlns:a="http://schemas.openxmlformats.org/drawingml/2006/main">
              <a:graphicData uri="http://schemas.openxmlformats.org/drawingml/2006/chart">
                <c:chart xmlns:c="http://schemas.openxmlformats.org/drawingml/2006/chart" r:id="rId68"/>
              </a:graphicData>
            </a:graphic>
          </wp:inline>
        </w:drawing>
      </w:r>
    </w:p>
    <w:p w14:paraId="6A22CFFA" w14:textId="77777777" w:rsidR="003B35EF" w:rsidRPr="00111DC0" w:rsidRDefault="003B35EF" w:rsidP="00350BA5">
      <w:pPr>
        <w:spacing w:after="0"/>
        <w:rPr>
          <w:rFonts w:cs="Arial"/>
        </w:rPr>
      </w:pPr>
    </w:p>
    <w:p w14:paraId="5E1982F7" w14:textId="362DEBB6" w:rsidR="009B4BB4" w:rsidRPr="00111DC0" w:rsidRDefault="009B4BB4" w:rsidP="00350BA5">
      <w:pPr>
        <w:spacing w:after="0"/>
        <w:rPr>
          <w:rFonts w:cs="Arial"/>
        </w:rPr>
      </w:pPr>
    </w:p>
    <w:p w14:paraId="572AF088" w14:textId="77777777" w:rsidR="00332DE1" w:rsidRDefault="00332DE1" w:rsidP="004B6A1B">
      <w:pPr>
        <w:pStyle w:val="Ttulo3"/>
        <w:rPr>
          <w:rFonts w:cs="Arial"/>
        </w:rPr>
      </w:pPr>
      <w:r>
        <w:rPr>
          <w:rFonts w:cs="Arial"/>
        </w:rPr>
        <w:br w:type="page"/>
      </w:r>
    </w:p>
    <w:p w14:paraId="1C3AF91C" w14:textId="22CABFC0" w:rsidR="00FC0FED" w:rsidRPr="00111DC0" w:rsidRDefault="00FC0FED" w:rsidP="004B6A1B">
      <w:pPr>
        <w:pStyle w:val="Ttulo3"/>
        <w:rPr>
          <w:rFonts w:cs="Arial"/>
        </w:rPr>
      </w:pPr>
      <w:r w:rsidRPr="00111DC0">
        <w:rPr>
          <w:rFonts w:cs="Arial"/>
        </w:rPr>
        <w:t>Conclusiones</w:t>
      </w:r>
    </w:p>
    <w:p w14:paraId="52A756F3" w14:textId="0622F2DA" w:rsidR="00FC0FED" w:rsidRPr="00111DC0" w:rsidRDefault="00EB3E83" w:rsidP="00DE69A1">
      <w:pPr>
        <w:pStyle w:val="Ttulo4"/>
        <w:rPr>
          <w:rFonts w:cs="Arial"/>
        </w:rPr>
      </w:pPr>
      <w:r w:rsidRPr="00111DC0">
        <w:rPr>
          <w:rFonts w:cs="Arial"/>
        </w:rPr>
        <w:t xml:space="preserve">Fortalezas </w:t>
      </w:r>
    </w:p>
    <w:p w14:paraId="05CB59FC" w14:textId="2F05C4BE" w:rsidR="00FC0FED" w:rsidRPr="00111DC0" w:rsidRDefault="00FC0FED" w:rsidP="00FC0FED">
      <w:pPr>
        <w:rPr>
          <w:rFonts w:eastAsia="Helvetica Neue" w:cs="Arial"/>
        </w:rPr>
      </w:pPr>
      <w:r w:rsidRPr="00111DC0">
        <w:rPr>
          <w:rFonts w:cs="Arial"/>
          <w:noProof/>
          <w:sz w:val="20"/>
          <w:szCs w:val="18"/>
          <w:lang w:eastAsia="es-ES"/>
        </w:rPr>
        <w:drawing>
          <wp:inline distT="0" distB="0" distL="0" distR="0" wp14:anchorId="27A9A21A" wp14:editId="31BC8A99">
            <wp:extent cx="299923" cy="299923"/>
            <wp:effectExtent l="0" t="0" r="0" b="0"/>
            <wp:docPr id="168" name="Gráfico 168"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494B79">
        <w:rPr>
          <w:rFonts w:cs="Arial"/>
          <w:b/>
          <w:bCs/>
        </w:rPr>
        <w:t xml:space="preserve">Se está trabajando en la actualización del </w:t>
      </w:r>
      <w:r w:rsidRPr="00494B79">
        <w:rPr>
          <w:rFonts w:eastAsia="Helvetica Neue" w:cs="Arial"/>
          <w:b/>
          <w:bCs/>
        </w:rPr>
        <w:t>Plan de Prevención de Riesgos Laborales</w:t>
      </w:r>
      <w:r w:rsidR="00BD2D3D" w:rsidRPr="00494B79">
        <w:rPr>
          <w:rFonts w:eastAsia="Helvetica Neue" w:cs="Arial"/>
          <w:b/>
          <w:bCs/>
        </w:rPr>
        <w:t>,</w:t>
      </w:r>
      <w:r w:rsidRPr="00111DC0">
        <w:rPr>
          <w:rFonts w:eastAsia="Helvetica Neue" w:cs="Arial"/>
        </w:rPr>
        <w:t xml:space="preserve"> que incorporará la perspectiva de género teniendo en cuenta la normativa vinculante en materia de igualdad y el marco conceptual básico en materia de seguridad, salud laboral y género, para conocer y dar respuesta a los factores de riegos psicosociales que específicamente afectan a las mujeres.</w:t>
      </w:r>
    </w:p>
    <w:p w14:paraId="4B7E4970" w14:textId="0B597C60" w:rsidR="00FC0FED" w:rsidRPr="00111DC0" w:rsidRDefault="00FC0FED" w:rsidP="00FC0FED">
      <w:pPr>
        <w:rPr>
          <w:rFonts w:cs="Arial"/>
        </w:rPr>
      </w:pPr>
      <w:r w:rsidRPr="00111DC0">
        <w:rPr>
          <w:rFonts w:cs="Arial"/>
          <w:noProof/>
          <w:sz w:val="20"/>
          <w:szCs w:val="18"/>
          <w:lang w:eastAsia="es-ES"/>
        </w:rPr>
        <w:drawing>
          <wp:inline distT="0" distB="0" distL="0" distR="0" wp14:anchorId="703E101F" wp14:editId="17FD6595">
            <wp:extent cx="299923" cy="299923"/>
            <wp:effectExtent l="0" t="0" r="0" b="0"/>
            <wp:docPr id="170" name="Gráfico 170"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494B79">
        <w:rPr>
          <w:rFonts w:cs="Arial"/>
          <w:b/>
          <w:bCs/>
        </w:rPr>
        <w:t>La inmensa mayoría de las empleadas y empleados públicos percibe que nunca o raras veces</w:t>
      </w:r>
      <w:r w:rsidRPr="00111DC0">
        <w:rPr>
          <w:rFonts w:cs="Arial"/>
        </w:rPr>
        <w:t xml:space="preserve"> se enfrenta a situaciones de acoso sexual, bien sea entre el propio personal bien en el ejercicio de su profesión como un factor de violencia ocupacional externa.</w:t>
      </w:r>
    </w:p>
    <w:p w14:paraId="563590D1" w14:textId="48263CCC" w:rsidR="00FC0FED" w:rsidRPr="00111DC0" w:rsidRDefault="00FC0FED" w:rsidP="00FC0FED">
      <w:pPr>
        <w:rPr>
          <w:rFonts w:cs="Arial"/>
        </w:rPr>
      </w:pPr>
      <w:r w:rsidRPr="00111DC0">
        <w:rPr>
          <w:rFonts w:cs="Arial"/>
          <w:noProof/>
          <w:sz w:val="20"/>
          <w:szCs w:val="18"/>
          <w:lang w:eastAsia="es-ES"/>
        </w:rPr>
        <w:drawing>
          <wp:inline distT="0" distB="0" distL="0" distR="0" wp14:anchorId="377C7744" wp14:editId="3CF84F6F">
            <wp:extent cx="299923" cy="299923"/>
            <wp:effectExtent l="0" t="0" r="0" b="0"/>
            <wp:docPr id="171" name="Gráfico 171" descr="Manos aplaudiend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Manos aplaudiendo con relleno sólido"/>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306321" cy="306321"/>
                    </a:xfrm>
                    <a:prstGeom prst="rect">
                      <a:avLst/>
                    </a:prstGeom>
                  </pic:spPr>
                </pic:pic>
              </a:graphicData>
            </a:graphic>
          </wp:inline>
        </w:drawing>
      </w:r>
      <w:r w:rsidRPr="00111DC0">
        <w:rPr>
          <w:rFonts w:cs="Arial"/>
        </w:rPr>
        <w:t xml:space="preserve"> </w:t>
      </w:r>
      <w:r w:rsidRPr="00494B79">
        <w:rPr>
          <w:rFonts w:cs="Arial"/>
          <w:b/>
          <w:bCs/>
        </w:rPr>
        <w:t>El Servicio de Prevención recoge información sobre todos los casos informados de acoso sexual,</w:t>
      </w:r>
      <w:r w:rsidRPr="00111DC0">
        <w:rPr>
          <w:rFonts w:cs="Arial"/>
        </w:rPr>
        <w:t xml:space="preserve"> guardando </w:t>
      </w:r>
      <w:r w:rsidR="00BD2D3D" w:rsidRPr="00111DC0">
        <w:rPr>
          <w:rFonts w:cs="Arial"/>
        </w:rPr>
        <w:t>la</w:t>
      </w:r>
      <w:r w:rsidRPr="00111DC0">
        <w:rPr>
          <w:rFonts w:cs="Arial"/>
        </w:rPr>
        <w:t xml:space="preserve"> confidencialidad</w:t>
      </w:r>
      <w:r w:rsidR="00BD2D3D" w:rsidRPr="00111DC0">
        <w:rPr>
          <w:rFonts w:cs="Arial"/>
        </w:rPr>
        <w:t xml:space="preserve"> de las personas afectadas</w:t>
      </w:r>
      <w:r w:rsidRPr="00111DC0">
        <w:rPr>
          <w:rFonts w:cs="Arial"/>
        </w:rPr>
        <w:t xml:space="preserve"> y salvaguardando las garantías de agilidad y objetividad.</w:t>
      </w:r>
    </w:p>
    <w:p w14:paraId="013C4768" w14:textId="03053011" w:rsidR="00FC0FED" w:rsidRPr="00111DC0" w:rsidRDefault="00FC0FED" w:rsidP="00FC0FED">
      <w:pPr>
        <w:rPr>
          <w:rFonts w:cs="Arial"/>
        </w:rPr>
      </w:pPr>
    </w:p>
    <w:p w14:paraId="7911B0B3" w14:textId="77777777" w:rsidR="00BD2D3D" w:rsidRPr="00111DC0" w:rsidRDefault="00BD2D3D" w:rsidP="00FC0FED">
      <w:pPr>
        <w:rPr>
          <w:rFonts w:cs="Arial"/>
        </w:rPr>
      </w:pPr>
    </w:p>
    <w:p w14:paraId="24128221" w14:textId="446D2170" w:rsidR="00EB3E83" w:rsidRPr="00111DC0" w:rsidRDefault="00FC0FED" w:rsidP="00DE69A1">
      <w:pPr>
        <w:pStyle w:val="Ttulo4"/>
        <w:rPr>
          <w:rFonts w:cs="Arial"/>
        </w:rPr>
      </w:pPr>
      <w:r w:rsidRPr="00111DC0">
        <w:rPr>
          <w:rFonts w:cs="Arial"/>
        </w:rPr>
        <w:t>Á</w:t>
      </w:r>
      <w:r w:rsidR="00EB3E83" w:rsidRPr="00111DC0">
        <w:rPr>
          <w:rFonts w:cs="Arial"/>
        </w:rPr>
        <w:t>reas de mejora</w:t>
      </w:r>
    </w:p>
    <w:p w14:paraId="2C2E379A" w14:textId="31782026" w:rsidR="005722C3" w:rsidRPr="00111DC0" w:rsidRDefault="00FC0FED" w:rsidP="00350BA5">
      <w:pPr>
        <w:spacing w:after="0"/>
        <w:rPr>
          <w:rFonts w:cs="Arial"/>
        </w:rPr>
      </w:pPr>
      <w:r w:rsidRPr="00111DC0">
        <w:rPr>
          <w:rFonts w:cs="Arial"/>
          <w:noProof/>
          <w:sz w:val="20"/>
          <w:szCs w:val="18"/>
          <w:lang w:eastAsia="es-ES"/>
        </w:rPr>
        <w:drawing>
          <wp:inline distT="0" distB="0" distL="0" distR="0" wp14:anchorId="1495CE1F" wp14:editId="52112A51">
            <wp:extent cx="277978" cy="277978"/>
            <wp:effectExtent l="0" t="0" r="0" b="0"/>
            <wp:docPr id="169" name="Gráfico 169"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eastAsia="Helvetica Neue" w:cs="Arial"/>
        </w:rPr>
        <w:t xml:space="preserve"> 1 </w:t>
      </w:r>
      <w:r w:rsidRPr="00494B79">
        <w:rPr>
          <w:rFonts w:eastAsia="Helvetica Neue" w:cs="Arial"/>
          <w:b/>
          <w:bCs/>
        </w:rPr>
        <w:t>- Se deberá incluir la variable sexo también en los formularios y datos</w:t>
      </w:r>
      <w:r w:rsidRPr="00111DC0">
        <w:rPr>
          <w:rFonts w:eastAsia="Helvetica Neue" w:cs="Arial"/>
        </w:rPr>
        <w:t xml:space="preserve"> recogidos por el Servicio de Prevención </w:t>
      </w:r>
      <w:r w:rsidR="00BD2D3D" w:rsidRPr="00111DC0">
        <w:rPr>
          <w:rFonts w:eastAsia="Helvetica Neue" w:cs="Arial"/>
        </w:rPr>
        <w:t>mediante</w:t>
      </w:r>
      <w:r w:rsidRPr="00111DC0">
        <w:rPr>
          <w:rFonts w:eastAsia="Helvetica Neue" w:cs="Arial"/>
        </w:rPr>
        <w:t xml:space="preserve"> cuestionarios y evaluaciones </w:t>
      </w:r>
      <w:r w:rsidR="00BD2D3D" w:rsidRPr="00111DC0">
        <w:rPr>
          <w:rFonts w:eastAsia="Helvetica Neue" w:cs="Arial"/>
        </w:rPr>
        <w:t>de carácter cualitativo</w:t>
      </w:r>
      <w:r w:rsidRPr="00111DC0">
        <w:rPr>
          <w:rFonts w:eastAsia="Helvetica Neue" w:cs="Arial"/>
        </w:rPr>
        <w:t>.</w:t>
      </w:r>
    </w:p>
    <w:p w14:paraId="018AB372" w14:textId="196991CF" w:rsidR="00FC0FED" w:rsidRPr="00111DC0" w:rsidRDefault="00FC0FED" w:rsidP="00350BA5">
      <w:pPr>
        <w:spacing w:after="0"/>
        <w:rPr>
          <w:rFonts w:cs="Arial"/>
        </w:rPr>
      </w:pPr>
      <w:r w:rsidRPr="00111DC0">
        <w:rPr>
          <w:rFonts w:cs="Arial"/>
          <w:noProof/>
          <w:sz w:val="20"/>
          <w:szCs w:val="18"/>
          <w:lang w:eastAsia="es-ES"/>
        </w:rPr>
        <w:drawing>
          <wp:inline distT="0" distB="0" distL="0" distR="0" wp14:anchorId="5008DD9D" wp14:editId="7F2AB1F7">
            <wp:extent cx="277978" cy="277978"/>
            <wp:effectExtent l="0" t="0" r="0" b="0"/>
            <wp:docPr id="172" name="Gráfico 172"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Diana con relleno sólido"/>
                    <pic:cNvPicPr/>
                  </pic:nvPicPr>
                  <pic:blipFill>
                    <a:blip r:embed="rId13"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flipV="1">
                      <a:off x="0" y="0"/>
                      <a:ext cx="282075" cy="282075"/>
                    </a:xfrm>
                    <a:prstGeom prst="rect">
                      <a:avLst/>
                    </a:prstGeom>
                  </pic:spPr>
                </pic:pic>
              </a:graphicData>
            </a:graphic>
          </wp:inline>
        </w:drawing>
      </w:r>
      <w:r w:rsidRPr="00111DC0">
        <w:rPr>
          <w:rFonts w:cs="Arial"/>
        </w:rPr>
        <w:t xml:space="preserve"> 2 </w:t>
      </w:r>
      <w:r w:rsidRPr="00494B79">
        <w:rPr>
          <w:rFonts w:cs="Arial"/>
          <w:b/>
          <w:bCs/>
        </w:rPr>
        <w:t>- En futuras evaluaciones de riesgos, se puede valorar la inclusión de otros factores</w:t>
      </w:r>
      <w:r w:rsidRPr="00111DC0">
        <w:rPr>
          <w:rFonts w:cs="Arial"/>
        </w:rPr>
        <w:t xml:space="preserve"> que determinan una mayor vulnerabilidad ante riesgos psicosociales, como identidad de género, origen, orientación sexual, edad o diversidad funcional</w:t>
      </w:r>
      <w:r w:rsidRPr="00111DC0">
        <w:rPr>
          <w:rFonts w:eastAsia="Helvetica Neue" w:cs="Arial"/>
        </w:rPr>
        <w:t>.</w:t>
      </w:r>
    </w:p>
    <w:p w14:paraId="7A50BF53" w14:textId="1AE9325F" w:rsidR="00FC0FED" w:rsidRPr="00111DC0" w:rsidRDefault="00FC0FED" w:rsidP="00350BA5">
      <w:pPr>
        <w:spacing w:after="0"/>
        <w:rPr>
          <w:rFonts w:cs="Arial"/>
        </w:rPr>
      </w:pPr>
    </w:p>
    <w:p w14:paraId="7F3E21ED" w14:textId="77777777" w:rsidR="00FC0FED" w:rsidRPr="00111DC0" w:rsidRDefault="00FC0FED" w:rsidP="00350BA5">
      <w:pPr>
        <w:spacing w:after="0"/>
        <w:rPr>
          <w:rFonts w:cs="Arial"/>
        </w:rPr>
      </w:pPr>
    </w:p>
    <w:p w14:paraId="3C29CA02" w14:textId="77777777" w:rsidR="005722C3" w:rsidRPr="00111DC0" w:rsidRDefault="005722C3" w:rsidP="00350BA5">
      <w:pPr>
        <w:spacing w:after="0"/>
        <w:rPr>
          <w:rFonts w:cs="Arial"/>
        </w:rPr>
      </w:pPr>
    </w:p>
    <w:p w14:paraId="2A377A55" w14:textId="77777777" w:rsidR="005722C3" w:rsidRPr="00111DC0" w:rsidRDefault="005722C3" w:rsidP="00350BA5">
      <w:pPr>
        <w:spacing w:after="0"/>
        <w:jc w:val="left"/>
        <w:rPr>
          <w:rFonts w:cs="Arial"/>
        </w:rPr>
      </w:pPr>
    </w:p>
    <w:p w14:paraId="527A462E" w14:textId="00BCB41A" w:rsidR="00EB3E83" w:rsidRPr="00111DC0" w:rsidRDefault="00EB3E83" w:rsidP="00350BA5">
      <w:pPr>
        <w:spacing w:after="0" w:line="259" w:lineRule="auto"/>
        <w:jc w:val="left"/>
        <w:rPr>
          <w:rFonts w:eastAsiaTheme="majorEastAsia" w:cs="Arial"/>
          <w:b/>
          <w:bCs/>
          <w:snapToGrid w:val="0"/>
          <w:color w:val="78BE20"/>
          <w:kern w:val="32"/>
          <w:sz w:val="32"/>
          <w:szCs w:val="32"/>
        </w:rPr>
      </w:pPr>
    </w:p>
    <w:p w14:paraId="37101FF4" w14:textId="77777777" w:rsidR="00540FF8" w:rsidRPr="00111DC0" w:rsidRDefault="00540FF8">
      <w:pPr>
        <w:spacing w:before="0" w:after="160" w:line="259" w:lineRule="auto"/>
        <w:jc w:val="left"/>
        <w:rPr>
          <w:rFonts w:eastAsiaTheme="majorEastAsia" w:cs="Arial"/>
          <w:b/>
          <w:bCs/>
          <w:snapToGrid w:val="0"/>
          <w:color w:val="78BE20"/>
          <w:kern w:val="32"/>
          <w:sz w:val="32"/>
          <w:szCs w:val="32"/>
        </w:rPr>
      </w:pPr>
      <w:r w:rsidRPr="00111DC0">
        <w:rPr>
          <w:rFonts w:cs="Arial"/>
        </w:rPr>
        <w:br w:type="page"/>
      </w:r>
    </w:p>
    <w:p w14:paraId="3364E6E8" w14:textId="00036DD9" w:rsidR="00A9202D" w:rsidRDefault="006B148D" w:rsidP="00BD6B35">
      <w:pPr>
        <w:pStyle w:val="Ttulo1"/>
        <w:rPr>
          <w:rFonts w:cs="Arial"/>
          <w:lang w:val="es-ES_tradnl"/>
        </w:rPr>
      </w:pPr>
      <w:bookmarkStart w:id="24" w:name="_Toc122080798"/>
      <w:r>
        <w:rPr>
          <w:rFonts w:cs="Arial"/>
          <w:lang w:val="es-ES_tradnl"/>
        </w:rPr>
        <w:t>PLAN DE IGUALDAD</w:t>
      </w:r>
      <w:bookmarkEnd w:id="24"/>
    </w:p>
    <w:p w14:paraId="2B2AB312" w14:textId="4362A552" w:rsidR="004B5F98" w:rsidRPr="00EA35D6" w:rsidRDefault="004B5F98" w:rsidP="004B5F98">
      <w:pPr>
        <w:tabs>
          <w:tab w:val="left" w:pos="0"/>
        </w:tabs>
        <w:rPr>
          <w:b/>
        </w:rPr>
      </w:pPr>
      <w:r w:rsidRPr="00EA35D6">
        <w:rPr>
          <w:b/>
        </w:rPr>
        <w:t xml:space="preserve">En base a las áreas de mejora identificadas en el Diagnóstico, el Plan persigue dos fines estratégicos: </w:t>
      </w:r>
    </w:p>
    <w:p w14:paraId="2024720A" w14:textId="4C9A386E" w:rsidR="004B5F98" w:rsidRPr="001159B7" w:rsidRDefault="004B5F98">
      <w:pPr>
        <w:pStyle w:val="Prrafodelista"/>
        <w:numPr>
          <w:ilvl w:val="0"/>
          <w:numId w:val="2"/>
        </w:numPr>
        <w:rPr>
          <w:bCs/>
        </w:rPr>
      </w:pPr>
      <w:r>
        <w:t xml:space="preserve">Reforzar la aplicación del principio de igualdad y no discriminación en la estructura y relaciones </w:t>
      </w:r>
      <w:r w:rsidR="00EA35D6">
        <w:t xml:space="preserve">laborales </w:t>
      </w:r>
      <w:r>
        <w:t>de la Administración General</w:t>
      </w:r>
    </w:p>
    <w:p w14:paraId="3D53CFB0" w14:textId="7F6B5D47" w:rsidR="004B5F98" w:rsidRPr="004B5F98" w:rsidRDefault="004B5F98">
      <w:pPr>
        <w:pStyle w:val="Prrafodelista"/>
        <w:numPr>
          <w:ilvl w:val="0"/>
          <w:numId w:val="2"/>
        </w:numPr>
      </w:pPr>
      <w:r>
        <w:t xml:space="preserve">Seguir transformando la cultura laboral de la Administración General hacia mayores cotas de concienciación </w:t>
      </w:r>
      <w:r w:rsidR="00EA35D6">
        <w:t>feminista</w:t>
      </w:r>
      <w:r>
        <w:t xml:space="preserve">. </w:t>
      </w:r>
    </w:p>
    <w:p w14:paraId="2EE3917F" w14:textId="77777777" w:rsidR="004B5F98" w:rsidRDefault="004B5F98" w:rsidP="004B5F98">
      <w:pPr>
        <w:tabs>
          <w:tab w:val="left" w:pos="0"/>
        </w:tabs>
      </w:pPr>
    </w:p>
    <w:p w14:paraId="2121528F" w14:textId="70930627" w:rsidR="004B5F98" w:rsidRDefault="004B5F98" w:rsidP="004B5F98">
      <w:pPr>
        <w:tabs>
          <w:tab w:val="left" w:pos="0"/>
        </w:tabs>
        <w:rPr>
          <w:bCs/>
        </w:rPr>
      </w:pPr>
      <w:r w:rsidRPr="00EA35D6">
        <w:rPr>
          <w:b/>
          <w:bCs/>
        </w:rPr>
        <w:t>A la luz de estos fines, la organización de los objetivos se realiza en torno a 8 ámbitos de actuación.</w:t>
      </w:r>
      <w:r w:rsidRPr="00332DE1">
        <w:t xml:space="preserve"> Cada uno de estos ámbitos agrupa uno o más objetivos, tal y como se muestra a continuación</w:t>
      </w:r>
      <w:r w:rsidR="005121F6" w:rsidRPr="00332DE1">
        <w:t>.</w:t>
      </w:r>
      <w:r>
        <w:t xml:space="preserve"> </w:t>
      </w:r>
      <w:r w:rsidR="00332DE1">
        <w:t xml:space="preserve"> Y c</w:t>
      </w:r>
      <w:r>
        <w:rPr>
          <w:bCs/>
        </w:rPr>
        <w:t xml:space="preserve">ada uno de estos objetivos integra diferentes medidas que, en su aplicación, y de manera complementaria, permitirán el logro de los objetivos planteados y el avance hacia los fines estratégicos. </w:t>
      </w:r>
    </w:p>
    <w:p w14:paraId="1668F7F1" w14:textId="442E0D54" w:rsidR="004B5F98" w:rsidRDefault="004B5F98" w:rsidP="004B5F98">
      <w:pPr>
        <w:tabs>
          <w:tab w:val="left" w:pos="0"/>
        </w:tabs>
        <w:rPr>
          <w:rFonts w:ascii="Helvetica" w:hAnsi="Helvetica"/>
        </w:rPr>
      </w:pPr>
      <w:r w:rsidRPr="00EA35D6">
        <w:rPr>
          <w:b/>
        </w:rPr>
        <w:t>Cada medida está estructurada en una ficha individual, y se ha planteado para ser plausible y medible</w:t>
      </w:r>
      <w:r w:rsidR="009B14CB" w:rsidRPr="00EA35D6">
        <w:rPr>
          <w:b/>
        </w:rPr>
        <w:t>, tal y como se especifica en los principios del Plan</w:t>
      </w:r>
      <w:r w:rsidRPr="00EA35D6">
        <w:rPr>
          <w:b/>
        </w:rPr>
        <w:t>.</w:t>
      </w:r>
      <w:r>
        <w:rPr>
          <w:bCs/>
        </w:rPr>
        <w:t xml:space="preserve"> </w:t>
      </w:r>
      <w:r w:rsidR="009B14CB">
        <w:rPr>
          <w:bCs/>
        </w:rPr>
        <w:t>Asimismo, cada medida i</w:t>
      </w:r>
      <w:r>
        <w:rPr>
          <w:bCs/>
        </w:rPr>
        <w:t xml:space="preserve">ntegra información sobre el grupo destinatario, las acciones de desarrollo, los medios y recursos, los indicadores de seguimiento, el agente responsable de su ejecución y su calendario de </w:t>
      </w:r>
      <w:r w:rsidR="009B14CB">
        <w:rPr>
          <w:bCs/>
        </w:rPr>
        <w:t>aplicación</w:t>
      </w:r>
      <w:r>
        <w:rPr>
          <w:bCs/>
        </w:rPr>
        <w:t xml:space="preserve">. </w:t>
      </w:r>
    </w:p>
    <w:p w14:paraId="7EF92845" w14:textId="100171C1" w:rsidR="004B5F98" w:rsidRPr="004B5F98" w:rsidRDefault="004B5F98" w:rsidP="004B5F98">
      <w:pPr>
        <w:rPr>
          <w:bCs/>
        </w:rPr>
      </w:pPr>
      <w:r w:rsidRPr="004B5F98">
        <w:rPr>
          <w:bCs/>
        </w:rPr>
        <w:t>La versión final de las medidas aprobadas en el seno de la Comisión Negociadora en diciembre de 2022</w:t>
      </w:r>
      <w:r>
        <w:rPr>
          <w:bCs/>
        </w:rPr>
        <w:t xml:space="preserve"> se detalla a continuación. </w:t>
      </w:r>
      <w:r w:rsidRPr="004B5F98">
        <w:rPr>
          <w:bCs/>
        </w:rPr>
        <w:t xml:space="preserve"> </w:t>
      </w:r>
    </w:p>
    <w:p w14:paraId="471B948E" w14:textId="77777777" w:rsidR="00A9202D" w:rsidRPr="004B5F98" w:rsidRDefault="00A9202D" w:rsidP="00A9202D"/>
    <w:p w14:paraId="48B6ABC7" w14:textId="77777777" w:rsidR="004B5F98" w:rsidRDefault="004B5F98">
      <w:pPr>
        <w:spacing w:before="0" w:after="160" w:line="259" w:lineRule="auto"/>
        <w:jc w:val="left"/>
        <w:rPr>
          <w:rFonts w:eastAsiaTheme="majorEastAsia" w:cstheme="majorBidi"/>
          <w:b/>
          <w:bCs/>
          <w:snapToGrid w:val="0"/>
          <w:color w:val="78BE20"/>
          <w:kern w:val="32"/>
          <w:sz w:val="32"/>
          <w:szCs w:val="32"/>
        </w:rPr>
      </w:pPr>
      <w:bookmarkStart w:id="25" w:name="_Hlk115867600"/>
      <w:r>
        <w:br w:type="page"/>
      </w:r>
    </w:p>
    <w:p w14:paraId="01739CAB" w14:textId="1BA51501" w:rsidR="004B5F98" w:rsidRPr="00A16CA1" w:rsidRDefault="00024B4E" w:rsidP="00024B4E">
      <w:pPr>
        <w:pStyle w:val="Ttulo2"/>
      </w:pPr>
      <w:bookmarkStart w:id="26" w:name="_Toc122080799"/>
      <w:r>
        <w:t>Ámbito</w:t>
      </w:r>
      <w:r w:rsidR="004B5F98" w:rsidRPr="00024B4E">
        <w:t xml:space="preserve"> 1.</w:t>
      </w:r>
      <w:r w:rsidR="004B5F98" w:rsidRPr="00A16CA1">
        <w:t xml:space="preserve"> </w:t>
      </w:r>
      <w:r w:rsidR="004B5F98" w:rsidRPr="00024B4E">
        <w:t>Cultura organizativa y gestión de la igualdad</w:t>
      </w:r>
      <w:bookmarkEnd w:id="26"/>
    </w:p>
    <w:bookmarkEnd w:id="25"/>
    <w:p w14:paraId="5312A459" w14:textId="7AE5D96E" w:rsidR="009B14CB" w:rsidRDefault="009B14CB" w:rsidP="009B14CB">
      <w:r w:rsidRPr="00EA35D6">
        <w:rPr>
          <w:b/>
          <w:bCs/>
        </w:rPr>
        <w:t>Es</w:t>
      </w:r>
      <w:r w:rsidR="00024B4E" w:rsidRPr="00EA35D6">
        <w:rPr>
          <w:b/>
          <w:bCs/>
        </w:rPr>
        <w:t>te es</w:t>
      </w:r>
      <w:r w:rsidRPr="00EA35D6">
        <w:rPr>
          <w:b/>
          <w:bCs/>
        </w:rPr>
        <w:t xml:space="preserve"> un </w:t>
      </w:r>
      <w:r w:rsidR="00564CC6" w:rsidRPr="00EA35D6">
        <w:rPr>
          <w:b/>
          <w:bCs/>
        </w:rPr>
        <w:t>ámbito</w:t>
      </w:r>
      <w:r w:rsidRPr="00EA35D6">
        <w:rPr>
          <w:b/>
          <w:bCs/>
        </w:rPr>
        <w:t xml:space="preserve"> de contenidos transformadores para la práctica administrativa</w:t>
      </w:r>
      <w:r w:rsidR="005121F6">
        <w:t xml:space="preserve"> que persigue numeros</w:t>
      </w:r>
      <w:r w:rsidR="0032742C">
        <w:t>o</w:t>
      </w:r>
      <w:r w:rsidR="005121F6">
        <w:t xml:space="preserve">s </w:t>
      </w:r>
      <w:r>
        <w:t>objetivos</w:t>
      </w:r>
      <w:r w:rsidR="0032742C">
        <w:t>.</w:t>
      </w:r>
      <w:r w:rsidR="005121F6">
        <w:t xml:space="preserve"> </w:t>
      </w:r>
      <w:r w:rsidR="0032742C" w:rsidRPr="0032742C">
        <w:t>Todos ellos unifican 11 medidas que sientan las bases para la aplicación efectiva del principio de igualdad por medio de la estrategia de la transversalidad de género.</w:t>
      </w:r>
    </w:p>
    <w:p w14:paraId="5ED348D8" w14:textId="77777777" w:rsidR="00F87995" w:rsidRDefault="00F87995" w:rsidP="00F87995">
      <w:pPr>
        <w:spacing w:before="0" w:after="0"/>
      </w:pPr>
    </w:p>
    <w:tbl>
      <w:tblPr>
        <w:tblStyle w:val="Tablaconcuadrcula"/>
        <w:tblW w:w="0" w:type="auto"/>
        <w:tblLook w:val="04A0" w:firstRow="1" w:lastRow="0" w:firstColumn="1" w:lastColumn="0" w:noHBand="0" w:noVBand="1"/>
      </w:tblPr>
      <w:tblGrid>
        <w:gridCol w:w="1101"/>
        <w:gridCol w:w="7543"/>
      </w:tblGrid>
      <w:tr w:rsidR="0032742C" w14:paraId="02DBC9E0" w14:textId="77777777" w:rsidTr="002F7442">
        <w:tc>
          <w:tcPr>
            <w:tcW w:w="8644" w:type="dxa"/>
            <w:gridSpan w:val="2"/>
            <w:tcBorders>
              <w:top w:val="single" w:sz="4" w:space="0" w:color="78BE20"/>
              <w:left w:val="single" w:sz="4" w:space="0" w:color="78BE20"/>
              <w:bottom w:val="single" w:sz="4" w:space="0" w:color="FFFFFF"/>
              <w:right w:val="single" w:sz="4" w:space="0" w:color="78BE20"/>
            </w:tcBorders>
            <w:vAlign w:val="center"/>
          </w:tcPr>
          <w:p w14:paraId="0701CAB8" w14:textId="77777777" w:rsidR="00503940" w:rsidRDefault="00503940" w:rsidP="000F4CC1">
            <w:pPr>
              <w:spacing w:before="0" w:after="0" w:line="259" w:lineRule="auto"/>
              <w:rPr>
                <w:b/>
                <w:bCs/>
                <w:color w:val="78BE20"/>
                <w:sz w:val="20"/>
                <w:szCs w:val="20"/>
              </w:rPr>
            </w:pPr>
          </w:p>
          <w:p w14:paraId="730DB481" w14:textId="620222E6" w:rsidR="0032742C" w:rsidRDefault="0032742C" w:rsidP="000F4CC1">
            <w:pPr>
              <w:spacing w:before="0" w:after="0" w:line="259" w:lineRule="auto"/>
              <w:rPr>
                <w:sz w:val="20"/>
                <w:szCs w:val="20"/>
              </w:rPr>
            </w:pPr>
            <w:r w:rsidRPr="000A25DD">
              <w:rPr>
                <w:b/>
                <w:bCs/>
                <w:color w:val="78BE20"/>
                <w:sz w:val="20"/>
                <w:szCs w:val="20"/>
              </w:rPr>
              <w:t>OBJETIVO.</w:t>
            </w:r>
            <w:r>
              <w:rPr>
                <w:sz w:val="20"/>
                <w:szCs w:val="20"/>
              </w:rPr>
              <w:t xml:space="preserve"> </w:t>
            </w:r>
            <w:r w:rsidRPr="0032742C">
              <w:rPr>
                <w:b/>
                <w:bCs/>
                <w:sz w:val="20"/>
                <w:szCs w:val="20"/>
              </w:rPr>
              <w:t>Dar a conocer la situación de igualdad en la Administración General</w:t>
            </w:r>
            <w:r>
              <w:rPr>
                <w:b/>
                <w:bCs/>
                <w:sz w:val="20"/>
                <w:szCs w:val="20"/>
              </w:rPr>
              <w:t>.</w:t>
            </w:r>
          </w:p>
          <w:p w14:paraId="6FD2BE4F" w14:textId="77777777" w:rsidR="0032742C" w:rsidRDefault="0032742C" w:rsidP="000F4CC1">
            <w:pPr>
              <w:spacing w:before="0" w:after="0" w:line="259" w:lineRule="auto"/>
            </w:pPr>
          </w:p>
        </w:tc>
      </w:tr>
      <w:tr w:rsidR="0032742C" w14:paraId="3800F181" w14:textId="77777777" w:rsidTr="002F7442">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44DC3C83" w14:textId="4E6CA4C3" w:rsidR="0032742C" w:rsidRPr="000A25DD" w:rsidRDefault="002F7442" w:rsidP="00F87995">
            <w:pPr>
              <w:spacing w:before="0" w:after="0" w:line="259" w:lineRule="auto"/>
              <w:jc w:val="right"/>
              <w:rPr>
                <w:b/>
                <w:bCs/>
                <w:color w:val="FFFFFF" w:themeColor="background1"/>
              </w:rPr>
            </w:pPr>
            <w:r w:rsidRPr="002F7442">
              <w:rPr>
                <w:b/>
                <w:bCs/>
                <w:color w:val="FFFFFF" w:themeColor="background1"/>
                <w:sz w:val="20"/>
                <w:szCs w:val="20"/>
              </w:rPr>
              <w:t xml:space="preserve">Medida </w:t>
            </w:r>
            <w:r w:rsidR="00F87995" w:rsidRPr="00F87995">
              <w:rPr>
                <w:b/>
                <w:bCs/>
                <w:color w:val="FFFFFF" w:themeColor="background1"/>
                <w:sz w:val="32"/>
                <w:szCs w:val="32"/>
              </w:rPr>
              <w:t>1</w:t>
            </w:r>
            <w:r w:rsidR="0032742C" w:rsidRPr="000A25DD">
              <w:rPr>
                <w:b/>
                <w:bCs/>
                <w:color w:val="FFFFFF" w:themeColor="background1"/>
                <w:sz w:val="20"/>
                <w:szCs w:val="20"/>
              </w:rPr>
              <w:t xml:space="preserve"> </w:t>
            </w:r>
          </w:p>
        </w:tc>
        <w:tc>
          <w:tcPr>
            <w:tcW w:w="7543" w:type="dxa"/>
            <w:tcBorders>
              <w:top w:val="single" w:sz="4" w:space="0" w:color="FFFFFF"/>
              <w:left w:val="single" w:sz="4" w:space="0" w:color="FFFFFF"/>
              <w:bottom w:val="single" w:sz="4" w:space="0" w:color="78BE20"/>
              <w:right w:val="single" w:sz="4" w:space="0" w:color="78BE20"/>
            </w:tcBorders>
            <w:vAlign w:val="center"/>
          </w:tcPr>
          <w:p w14:paraId="500A58E4" w14:textId="59106C5C" w:rsidR="0032742C" w:rsidRPr="00F87995" w:rsidRDefault="00F87995" w:rsidP="000F4CC1">
            <w:pPr>
              <w:spacing w:before="0" w:after="0" w:line="259" w:lineRule="auto"/>
            </w:pPr>
            <w:r w:rsidRPr="00F87995">
              <w:rPr>
                <w:sz w:val="20"/>
                <w:szCs w:val="20"/>
              </w:rPr>
              <w:t>Publicación de los principales resultados del Diagnóstico de situación y del Plan de Igualdad en la página web del Gobierno de La Rioja</w:t>
            </w:r>
            <w:r>
              <w:rPr>
                <w:sz w:val="20"/>
                <w:szCs w:val="20"/>
              </w:rPr>
              <w:t>.</w:t>
            </w:r>
          </w:p>
        </w:tc>
      </w:tr>
      <w:tr w:rsidR="0032742C" w14:paraId="73888240" w14:textId="77777777" w:rsidTr="002F7442">
        <w:tc>
          <w:tcPr>
            <w:tcW w:w="8644" w:type="dxa"/>
            <w:gridSpan w:val="2"/>
            <w:tcBorders>
              <w:top w:val="single" w:sz="4" w:space="0" w:color="78BE20"/>
              <w:left w:val="single" w:sz="4" w:space="0" w:color="78BE20"/>
              <w:bottom w:val="single" w:sz="4" w:space="0" w:color="FFFFFF"/>
              <w:right w:val="single" w:sz="4" w:space="0" w:color="78BE20"/>
            </w:tcBorders>
            <w:vAlign w:val="center"/>
          </w:tcPr>
          <w:p w14:paraId="173DB111" w14:textId="77777777" w:rsidR="0032742C" w:rsidRDefault="0032742C" w:rsidP="000F4CC1">
            <w:pPr>
              <w:spacing w:before="0" w:after="0" w:line="259" w:lineRule="auto"/>
              <w:rPr>
                <w:b/>
                <w:bCs/>
                <w:color w:val="78BE20"/>
                <w:sz w:val="20"/>
                <w:szCs w:val="20"/>
              </w:rPr>
            </w:pPr>
          </w:p>
          <w:p w14:paraId="34BE8C6E" w14:textId="77777777" w:rsidR="0032742C" w:rsidRDefault="0032742C" w:rsidP="000F4CC1">
            <w:pPr>
              <w:spacing w:before="0" w:after="0" w:line="259" w:lineRule="auto"/>
              <w:rPr>
                <w:b/>
                <w:bCs/>
                <w:color w:val="78BE20"/>
                <w:sz w:val="20"/>
                <w:szCs w:val="20"/>
              </w:rPr>
            </w:pPr>
          </w:p>
          <w:p w14:paraId="0D1E14BB" w14:textId="458957EF" w:rsidR="0032742C" w:rsidRDefault="0032742C" w:rsidP="000F4CC1">
            <w:pPr>
              <w:spacing w:before="0" w:after="0" w:line="259" w:lineRule="auto"/>
              <w:rPr>
                <w:sz w:val="20"/>
                <w:szCs w:val="20"/>
              </w:rPr>
            </w:pPr>
            <w:r w:rsidRPr="000A25DD">
              <w:rPr>
                <w:b/>
                <w:bCs/>
                <w:color w:val="78BE20"/>
                <w:sz w:val="20"/>
                <w:szCs w:val="20"/>
              </w:rPr>
              <w:t>OBJETIVO.</w:t>
            </w:r>
            <w:r>
              <w:rPr>
                <w:sz w:val="20"/>
                <w:szCs w:val="20"/>
              </w:rPr>
              <w:t xml:space="preserve"> </w:t>
            </w:r>
            <w:r w:rsidRPr="0032742C">
              <w:rPr>
                <w:b/>
                <w:bCs/>
                <w:sz w:val="20"/>
                <w:szCs w:val="20"/>
              </w:rPr>
              <w:t>Favorecer la generalización del uso no sexista del lenguaje en la actividad rutinaria administrativa</w:t>
            </w:r>
            <w:r>
              <w:rPr>
                <w:b/>
                <w:bCs/>
                <w:sz w:val="20"/>
                <w:szCs w:val="20"/>
              </w:rPr>
              <w:t>.</w:t>
            </w:r>
          </w:p>
          <w:p w14:paraId="560E0952" w14:textId="77777777" w:rsidR="0032742C" w:rsidRPr="000A25DD" w:rsidRDefault="0032742C" w:rsidP="000F4CC1">
            <w:pPr>
              <w:spacing w:before="0" w:after="0" w:line="259" w:lineRule="auto"/>
              <w:rPr>
                <w:sz w:val="20"/>
                <w:szCs w:val="20"/>
              </w:rPr>
            </w:pPr>
          </w:p>
        </w:tc>
      </w:tr>
      <w:tr w:rsidR="0032742C" w14:paraId="5A3B3417" w14:textId="77777777" w:rsidTr="002F7442">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56F9CDEE" w14:textId="38F9AAF3" w:rsidR="0032742C" w:rsidRDefault="002F7442" w:rsidP="00F87995">
            <w:pPr>
              <w:spacing w:before="0" w:after="0" w:line="259" w:lineRule="auto"/>
              <w:jc w:val="right"/>
            </w:pPr>
            <w:r w:rsidRPr="002F7442">
              <w:rPr>
                <w:b/>
                <w:bCs/>
                <w:color w:val="FFFFFF" w:themeColor="background1"/>
                <w:sz w:val="20"/>
                <w:szCs w:val="20"/>
              </w:rPr>
              <w:t xml:space="preserve">Medida </w:t>
            </w:r>
            <w:r w:rsidR="00F87995" w:rsidRPr="00F87995">
              <w:rPr>
                <w:b/>
                <w:bCs/>
                <w:color w:val="FFFFFF" w:themeColor="background1"/>
                <w:sz w:val="32"/>
                <w:szCs w:val="32"/>
              </w:rPr>
              <w:t>2</w:t>
            </w:r>
          </w:p>
        </w:tc>
        <w:tc>
          <w:tcPr>
            <w:tcW w:w="7543" w:type="dxa"/>
            <w:tcBorders>
              <w:top w:val="single" w:sz="4" w:space="0" w:color="FFFFFF"/>
              <w:left w:val="single" w:sz="4" w:space="0" w:color="FFFFFF"/>
              <w:bottom w:val="single" w:sz="4" w:space="0" w:color="78BE20"/>
              <w:right w:val="single" w:sz="4" w:space="0" w:color="78BE20"/>
            </w:tcBorders>
            <w:vAlign w:val="center"/>
          </w:tcPr>
          <w:p w14:paraId="485E06E4" w14:textId="6619E939" w:rsidR="0032742C" w:rsidRDefault="00F87995" w:rsidP="000F4CC1">
            <w:pPr>
              <w:spacing w:before="0" w:after="0" w:line="259" w:lineRule="auto"/>
            </w:pPr>
            <w:r w:rsidRPr="00F87995">
              <w:rPr>
                <w:sz w:val="20"/>
                <w:szCs w:val="20"/>
              </w:rPr>
              <w:t>Difusión de la guía “GUÍATE. Comunicar de manera inclusiva, guía de lenguaje no sexista”</w:t>
            </w:r>
            <w:r>
              <w:rPr>
                <w:sz w:val="20"/>
                <w:szCs w:val="20"/>
              </w:rPr>
              <w:t>.</w:t>
            </w:r>
          </w:p>
        </w:tc>
      </w:tr>
      <w:tr w:rsidR="0032742C" w14:paraId="6493321F" w14:textId="77777777" w:rsidTr="002F7442">
        <w:tc>
          <w:tcPr>
            <w:tcW w:w="8644" w:type="dxa"/>
            <w:gridSpan w:val="2"/>
            <w:tcBorders>
              <w:top w:val="single" w:sz="4" w:space="0" w:color="78BE20"/>
              <w:left w:val="single" w:sz="4" w:space="0" w:color="78BE20"/>
              <w:bottom w:val="single" w:sz="4" w:space="0" w:color="FFFFFF"/>
              <w:right w:val="single" w:sz="4" w:space="0" w:color="78BE20"/>
            </w:tcBorders>
            <w:shd w:val="clear" w:color="auto" w:fill="auto"/>
            <w:vAlign w:val="center"/>
          </w:tcPr>
          <w:p w14:paraId="239FE963" w14:textId="77777777" w:rsidR="00723A72" w:rsidRDefault="00723A72" w:rsidP="000F4CC1">
            <w:pPr>
              <w:spacing w:before="0" w:after="0" w:line="259" w:lineRule="auto"/>
              <w:rPr>
                <w:b/>
                <w:bCs/>
                <w:color w:val="78BE20"/>
                <w:sz w:val="20"/>
                <w:szCs w:val="20"/>
              </w:rPr>
            </w:pPr>
          </w:p>
          <w:p w14:paraId="269AA1C2" w14:textId="77777777" w:rsidR="004523D0" w:rsidRDefault="004523D0" w:rsidP="000F4CC1">
            <w:pPr>
              <w:spacing w:before="0" w:after="0" w:line="259" w:lineRule="auto"/>
              <w:rPr>
                <w:b/>
                <w:bCs/>
                <w:color w:val="78BE20"/>
                <w:sz w:val="20"/>
                <w:szCs w:val="20"/>
              </w:rPr>
            </w:pPr>
          </w:p>
          <w:p w14:paraId="08829206" w14:textId="0947E7F7" w:rsidR="0032742C" w:rsidRPr="00723A72" w:rsidRDefault="00723A72" w:rsidP="000F4CC1">
            <w:pPr>
              <w:spacing w:before="0" w:after="0" w:line="259" w:lineRule="auto"/>
              <w:rPr>
                <w:sz w:val="20"/>
                <w:szCs w:val="20"/>
              </w:rPr>
            </w:pPr>
            <w:r w:rsidRPr="000A25DD">
              <w:rPr>
                <w:b/>
                <w:bCs/>
                <w:color w:val="78BE20"/>
                <w:sz w:val="20"/>
                <w:szCs w:val="20"/>
              </w:rPr>
              <w:t>OBJETIVO.</w:t>
            </w:r>
            <w:r>
              <w:rPr>
                <w:sz w:val="20"/>
                <w:szCs w:val="20"/>
              </w:rPr>
              <w:t xml:space="preserve"> </w:t>
            </w:r>
            <w:r w:rsidRPr="00723A72">
              <w:rPr>
                <w:b/>
                <w:bCs/>
                <w:sz w:val="20"/>
                <w:szCs w:val="20"/>
              </w:rPr>
              <w:t xml:space="preserve">Unificar el procedimiento de elaboración de los Informes de Evaluación del Impacto de Género </w:t>
            </w:r>
            <w:r w:rsidRPr="00FC5885">
              <w:rPr>
                <w:b/>
                <w:bCs/>
                <w:i/>
                <w:iCs/>
                <w:sz w:val="20"/>
                <w:szCs w:val="20"/>
              </w:rPr>
              <w:t>ex - ante</w:t>
            </w:r>
            <w:r w:rsidRPr="00723A72">
              <w:rPr>
                <w:b/>
                <w:bCs/>
                <w:sz w:val="20"/>
                <w:szCs w:val="20"/>
              </w:rPr>
              <w:t xml:space="preserve"> que deben quedar insertos en las Memorias de Análisis de Impacto Normativo</w:t>
            </w:r>
            <w:r>
              <w:rPr>
                <w:b/>
                <w:bCs/>
                <w:sz w:val="20"/>
                <w:szCs w:val="20"/>
              </w:rPr>
              <w:t>.</w:t>
            </w:r>
          </w:p>
          <w:p w14:paraId="1B2138F8" w14:textId="1AD21529" w:rsidR="00723A72" w:rsidRDefault="00723A72" w:rsidP="000F4CC1">
            <w:pPr>
              <w:spacing w:before="0" w:after="0" w:line="259" w:lineRule="auto"/>
            </w:pPr>
          </w:p>
        </w:tc>
      </w:tr>
      <w:tr w:rsidR="0032742C" w14:paraId="3686EE33" w14:textId="77777777" w:rsidTr="002F7442">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7DF6B9A8" w14:textId="5D200B82" w:rsidR="0032742C" w:rsidRPr="00F87995" w:rsidRDefault="002F7442" w:rsidP="00F87995">
            <w:pPr>
              <w:spacing w:before="0" w:after="0" w:line="259" w:lineRule="auto"/>
              <w:jc w:val="right"/>
              <w:rPr>
                <w:b/>
                <w:bCs/>
                <w:color w:val="FFFFFF" w:themeColor="background1"/>
                <w:sz w:val="32"/>
                <w:szCs w:val="32"/>
              </w:rPr>
            </w:pPr>
            <w:r w:rsidRPr="002F7442">
              <w:rPr>
                <w:b/>
                <w:bCs/>
                <w:color w:val="FFFFFF" w:themeColor="background1"/>
                <w:sz w:val="20"/>
                <w:szCs w:val="20"/>
              </w:rPr>
              <w:t xml:space="preserve">Medida </w:t>
            </w:r>
            <w:r w:rsidR="00F87995">
              <w:rPr>
                <w:b/>
                <w:bCs/>
                <w:color w:val="FFFFFF" w:themeColor="background1"/>
                <w:sz w:val="32"/>
                <w:szCs w:val="32"/>
              </w:rPr>
              <w:t>3</w:t>
            </w:r>
          </w:p>
        </w:tc>
        <w:tc>
          <w:tcPr>
            <w:tcW w:w="7543" w:type="dxa"/>
            <w:tcBorders>
              <w:top w:val="single" w:sz="4" w:space="0" w:color="FFFFFF"/>
              <w:left w:val="single" w:sz="4" w:space="0" w:color="FFFFFF"/>
              <w:bottom w:val="single" w:sz="4" w:space="0" w:color="78BE20"/>
              <w:right w:val="single" w:sz="4" w:space="0" w:color="78BE20"/>
            </w:tcBorders>
            <w:vAlign w:val="center"/>
          </w:tcPr>
          <w:p w14:paraId="7D3D5F88" w14:textId="6B3951A9" w:rsidR="0032742C" w:rsidRPr="00F87995" w:rsidRDefault="00F87995" w:rsidP="000F4CC1">
            <w:pPr>
              <w:spacing w:before="0" w:after="0" w:line="259" w:lineRule="auto"/>
            </w:pPr>
            <w:r w:rsidRPr="00F87995">
              <w:rPr>
                <w:sz w:val="20"/>
                <w:szCs w:val="20"/>
              </w:rPr>
              <w:t>Establecimiento de unas directrices propias para la elaboración de los Informes de evaluación del impacto de género que acompañan los Expedientes de tramitación normativa.</w:t>
            </w:r>
          </w:p>
        </w:tc>
      </w:tr>
      <w:tr w:rsidR="0032742C" w14:paraId="7C7A2878" w14:textId="77777777" w:rsidTr="002F7442">
        <w:tc>
          <w:tcPr>
            <w:tcW w:w="8644" w:type="dxa"/>
            <w:gridSpan w:val="2"/>
            <w:tcBorders>
              <w:top w:val="single" w:sz="4" w:space="0" w:color="78BE20"/>
              <w:left w:val="single" w:sz="4" w:space="0" w:color="78BE20"/>
              <w:bottom w:val="single" w:sz="4" w:space="0" w:color="FFFFFF"/>
              <w:right w:val="single" w:sz="4" w:space="0" w:color="78BE20"/>
            </w:tcBorders>
            <w:shd w:val="clear" w:color="auto" w:fill="auto"/>
            <w:vAlign w:val="center"/>
          </w:tcPr>
          <w:p w14:paraId="47E38E25" w14:textId="77777777" w:rsidR="004523D0" w:rsidRDefault="004523D0" w:rsidP="00723A72">
            <w:pPr>
              <w:spacing w:before="0" w:after="0" w:line="259" w:lineRule="auto"/>
              <w:rPr>
                <w:b/>
                <w:bCs/>
                <w:color w:val="78BE20"/>
                <w:sz w:val="20"/>
                <w:szCs w:val="20"/>
              </w:rPr>
            </w:pPr>
          </w:p>
          <w:p w14:paraId="0D3102C2" w14:textId="77777777" w:rsidR="004523D0" w:rsidRDefault="004523D0" w:rsidP="00723A72">
            <w:pPr>
              <w:spacing w:before="0" w:after="0" w:line="259" w:lineRule="auto"/>
              <w:rPr>
                <w:b/>
                <w:bCs/>
                <w:color w:val="78BE20"/>
                <w:sz w:val="20"/>
                <w:szCs w:val="20"/>
              </w:rPr>
            </w:pPr>
          </w:p>
          <w:p w14:paraId="1A8644AC" w14:textId="77777777" w:rsidR="0032742C" w:rsidRDefault="00723A72" w:rsidP="004523D0">
            <w:pPr>
              <w:spacing w:before="0" w:after="0" w:line="259" w:lineRule="auto"/>
              <w:rPr>
                <w:b/>
                <w:bCs/>
                <w:sz w:val="20"/>
                <w:szCs w:val="20"/>
              </w:rPr>
            </w:pPr>
            <w:r w:rsidRPr="000A25DD">
              <w:rPr>
                <w:b/>
                <w:bCs/>
                <w:color w:val="78BE20"/>
                <w:sz w:val="20"/>
                <w:szCs w:val="20"/>
              </w:rPr>
              <w:t>OBJETIVO.</w:t>
            </w:r>
            <w:r>
              <w:rPr>
                <w:sz w:val="20"/>
                <w:szCs w:val="20"/>
              </w:rPr>
              <w:t xml:space="preserve"> </w:t>
            </w:r>
            <w:r w:rsidRPr="00723A72">
              <w:rPr>
                <w:b/>
                <w:bCs/>
                <w:sz w:val="20"/>
                <w:szCs w:val="20"/>
              </w:rPr>
              <w:t>Garantizar el cumplimiento del artículo 55 de la ley orgánica de igualdad que establece que todas las convocatorias de pruebas selectivas para acceso al empleo público deberán estar acompañadas de un informe de evaluación del impacto de género</w:t>
            </w:r>
            <w:r>
              <w:rPr>
                <w:b/>
                <w:bCs/>
                <w:sz w:val="20"/>
                <w:szCs w:val="20"/>
              </w:rPr>
              <w:t>.</w:t>
            </w:r>
          </w:p>
          <w:p w14:paraId="3FAD754F" w14:textId="09B25C29" w:rsidR="004523D0" w:rsidRDefault="004523D0" w:rsidP="004523D0">
            <w:pPr>
              <w:spacing w:before="0" w:after="0" w:line="259" w:lineRule="auto"/>
            </w:pPr>
          </w:p>
        </w:tc>
      </w:tr>
      <w:tr w:rsidR="0032742C" w14:paraId="78F2FAB4" w14:textId="77777777" w:rsidTr="002F7442">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756F7C73" w14:textId="31667543" w:rsidR="0032742C" w:rsidRPr="00F87995" w:rsidRDefault="002F7442" w:rsidP="00F87995">
            <w:pPr>
              <w:spacing w:before="0" w:after="0" w:line="259" w:lineRule="auto"/>
              <w:jc w:val="right"/>
              <w:rPr>
                <w:b/>
                <w:bCs/>
                <w:color w:val="FFFFFF" w:themeColor="background1"/>
                <w:sz w:val="32"/>
                <w:szCs w:val="32"/>
              </w:rPr>
            </w:pPr>
            <w:r w:rsidRPr="002F7442">
              <w:rPr>
                <w:b/>
                <w:bCs/>
                <w:color w:val="FFFFFF" w:themeColor="background1"/>
                <w:sz w:val="20"/>
                <w:szCs w:val="20"/>
              </w:rPr>
              <w:t xml:space="preserve">Medida </w:t>
            </w:r>
            <w:r w:rsidR="00F87995" w:rsidRPr="00F87995">
              <w:rPr>
                <w:b/>
                <w:bCs/>
                <w:color w:val="FFFFFF" w:themeColor="background1"/>
                <w:sz w:val="32"/>
                <w:szCs w:val="32"/>
              </w:rPr>
              <w:t>4</w:t>
            </w:r>
          </w:p>
        </w:tc>
        <w:tc>
          <w:tcPr>
            <w:tcW w:w="7543" w:type="dxa"/>
            <w:tcBorders>
              <w:top w:val="single" w:sz="4" w:space="0" w:color="FFFFFF"/>
              <w:left w:val="single" w:sz="4" w:space="0" w:color="FFFFFF"/>
              <w:bottom w:val="single" w:sz="4" w:space="0" w:color="78BE20"/>
              <w:right w:val="single" w:sz="4" w:space="0" w:color="78BE20"/>
            </w:tcBorders>
            <w:vAlign w:val="center"/>
          </w:tcPr>
          <w:p w14:paraId="51064788" w14:textId="57D21B4D" w:rsidR="0032742C" w:rsidRDefault="00F87995" w:rsidP="000F4CC1">
            <w:pPr>
              <w:spacing w:before="0" w:after="0" w:line="259" w:lineRule="auto"/>
            </w:pPr>
            <w:r w:rsidRPr="00F87995">
              <w:rPr>
                <w:sz w:val="20"/>
                <w:szCs w:val="20"/>
              </w:rPr>
              <w:t>Elaboración de un modelo de informe de evaluación del impacto de género para acompañar a las convocatorias de acceso al empleo público.</w:t>
            </w:r>
          </w:p>
        </w:tc>
      </w:tr>
      <w:tr w:rsidR="0032742C" w14:paraId="2DD2539B" w14:textId="77777777" w:rsidTr="002F7442">
        <w:tc>
          <w:tcPr>
            <w:tcW w:w="8644" w:type="dxa"/>
            <w:gridSpan w:val="2"/>
            <w:tcBorders>
              <w:top w:val="single" w:sz="4" w:space="0" w:color="78BE20"/>
              <w:left w:val="single" w:sz="4" w:space="0" w:color="78BE20"/>
              <w:bottom w:val="single" w:sz="4" w:space="0" w:color="FFFFFF"/>
              <w:right w:val="single" w:sz="4" w:space="0" w:color="78BE20"/>
            </w:tcBorders>
            <w:shd w:val="clear" w:color="auto" w:fill="auto"/>
            <w:vAlign w:val="center"/>
          </w:tcPr>
          <w:p w14:paraId="33C74E5E" w14:textId="77777777" w:rsidR="004523D0" w:rsidRDefault="004523D0" w:rsidP="00723A72">
            <w:pPr>
              <w:spacing w:before="0" w:after="0" w:line="259" w:lineRule="auto"/>
              <w:rPr>
                <w:b/>
                <w:bCs/>
                <w:color w:val="78BE20"/>
                <w:sz w:val="20"/>
                <w:szCs w:val="20"/>
              </w:rPr>
            </w:pPr>
          </w:p>
          <w:p w14:paraId="6EB36D2B" w14:textId="77777777" w:rsidR="004523D0" w:rsidRDefault="004523D0" w:rsidP="00723A72">
            <w:pPr>
              <w:spacing w:before="0" w:after="0" w:line="259" w:lineRule="auto"/>
              <w:rPr>
                <w:b/>
                <w:bCs/>
                <w:color w:val="78BE20"/>
                <w:sz w:val="20"/>
                <w:szCs w:val="20"/>
              </w:rPr>
            </w:pPr>
          </w:p>
          <w:p w14:paraId="6AFA0CD5" w14:textId="0016331C" w:rsidR="00723A72" w:rsidRPr="00723A72" w:rsidRDefault="00723A72" w:rsidP="00723A72">
            <w:pPr>
              <w:spacing w:before="0" w:after="0" w:line="259" w:lineRule="auto"/>
              <w:rPr>
                <w:sz w:val="20"/>
                <w:szCs w:val="20"/>
              </w:rPr>
            </w:pPr>
            <w:r w:rsidRPr="000A25DD">
              <w:rPr>
                <w:b/>
                <w:bCs/>
                <w:color w:val="78BE20"/>
                <w:sz w:val="20"/>
                <w:szCs w:val="20"/>
              </w:rPr>
              <w:t>OBJETIVO.</w:t>
            </w:r>
            <w:r>
              <w:rPr>
                <w:sz w:val="20"/>
                <w:szCs w:val="20"/>
              </w:rPr>
              <w:t xml:space="preserve"> </w:t>
            </w:r>
            <w:r w:rsidRPr="00723A72">
              <w:rPr>
                <w:b/>
                <w:bCs/>
                <w:sz w:val="20"/>
                <w:szCs w:val="20"/>
              </w:rPr>
              <w:t>Facilitar la aplicación del principio de igualdad y de la estrategia de la transversalidad de género en la actividad administrativa de cada Departamento</w:t>
            </w:r>
            <w:r>
              <w:rPr>
                <w:b/>
                <w:bCs/>
                <w:sz w:val="20"/>
                <w:szCs w:val="20"/>
              </w:rPr>
              <w:t>.</w:t>
            </w:r>
          </w:p>
          <w:p w14:paraId="45E6442D" w14:textId="77777777" w:rsidR="0032742C" w:rsidRDefault="0032742C" w:rsidP="000F4CC1">
            <w:pPr>
              <w:spacing w:before="0" w:after="0" w:line="259" w:lineRule="auto"/>
            </w:pPr>
          </w:p>
        </w:tc>
      </w:tr>
      <w:tr w:rsidR="0032742C" w14:paraId="58E13C9C" w14:textId="77777777" w:rsidTr="00C76233">
        <w:trPr>
          <w:trHeight w:val="850"/>
        </w:trPr>
        <w:tc>
          <w:tcPr>
            <w:tcW w:w="1101" w:type="dxa"/>
            <w:tcBorders>
              <w:top w:val="single" w:sz="4" w:space="0" w:color="FFFFFF"/>
              <w:left w:val="single" w:sz="4" w:space="0" w:color="78BE20"/>
              <w:bottom w:val="single" w:sz="4" w:space="0" w:color="FFFFFF" w:themeColor="background1"/>
              <w:right w:val="single" w:sz="4" w:space="0" w:color="FFFFFF"/>
            </w:tcBorders>
            <w:shd w:val="clear" w:color="auto" w:fill="78BE20"/>
            <w:vAlign w:val="center"/>
          </w:tcPr>
          <w:p w14:paraId="78DE324E" w14:textId="42AD488E" w:rsidR="0032742C" w:rsidRPr="00F87995" w:rsidRDefault="002F7442" w:rsidP="00F87995">
            <w:pPr>
              <w:spacing w:before="0" w:after="0" w:line="259" w:lineRule="auto"/>
              <w:jc w:val="right"/>
              <w:rPr>
                <w:b/>
                <w:bCs/>
                <w:color w:val="FFFFFF" w:themeColor="background1"/>
                <w:sz w:val="32"/>
                <w:szCs w:val="32"/>
              </w:rPr>
            </w:pPr>
            <w:r w:rsidRPr="002F7442">
              <w:rPr>
                <w:b/>
                <w:bCs/>
                <w:color w:val="FFFFFF" w:themeColor="background1"/>
                <w:sz w:val="20"/>
                <w:szCs w:val="20"/>
              </w:rPr>
              <w:t xml:space="preserve">Medida </w:t>
            </w:r>
            <w:r w:rsidR="00F87995" w:rsidRPr="00F87995">
              <w:rPr>
                <w:b/>
                <w:bCs/>
                <w:color w:val="FFFFFF" w:themeColor="background1"/>
                <w:sz w:val="32"/>
                <w:szCs w:val="32"/>
              </w:rPr>
              <w:t>5</w:t>
            </w:r>
          </w:p>
        </w:tc>
        <w:tc>
          <w:tcPr>
            <w:tcW w:w="7543" w:type="dxa"/>
            <w:tcBorders>
              <w:top w:val="single" w:sz="4" w:space="0" w:color="FFFFFF"/>
              <w:left w:val="single" w:sz="4" w:space="0" w:color="FFFFFF"/>
              <w:bottom w:val="single" w:sz="4" w:space="0" w:color="78BE20"/>
              <w:right w:val="single" w:sz="4" w:space="0" w:color="78BE20"/>
            </w:tcBorders>
            <w:vAlign w:val="center"/>
          </w:tcPr>
          <w:p w14:paraId="7F3CC1BC" w14:textId="467115B4" w:rsidR="0032742C" w:rsidRPr="00F87995" w:rsidRDefault="000F4CC1" w:rsidP="00353959">
            <w:pPr>
              <w:spacing w:before="0" w:after="0" w:line="259" w:lineRule="auto"/>
            </w:pPr>
            <w:r>
              <w:rPr>
                <w:sz w:val="20"/>
                <w:szCs w:val="20"/>
              </w:rPr>
              <w:t>Designación, funcionamiento</w:t>
            </w:r>
            <w:r w:rsidR="00F87995" w:rsidRPr="00F87995">
              <w:rPr>
                <w:sz w:val="20"/>
                <w:szCs w:val="20"/>
              </w:rPr>
              <w:t xml:space="preserve"> y coordinación de las Unidades de Igualdad dentro de la Administración General.</w:t>
            </w:r>
          </w:p>
        </w:tc>
      </w:tr>
      <w:tr w:rsidR="00F87995" w14:paraId="45F1D1EF" w14:textId="77777777" w:rsidTr="00C76233">
        <w:trPr>
          <w:trHeight w:val="850"/>
        </w:trPr>
        <w:tc>
          <w:tcPr>
            <w:tcW w:w="1101" w:type="dxa"/>
            <w:tcBorders>
              <w:top w:val="single" w:sz="4" w:space="0" w:color="FFFFFF" w:themeColor="background1"/>
              <w:left w:val="single" w:sz="4" w:space="0" w:color="78BE20"/>
              <w:bottom w:val="single" w:sz="4" w:space="0" w:color="FFFFFF" w:themeColor="background1"/>
              <w:right w:val="single" w:sz="4" w:space="0" w:color="FFFFFF"/>
            </w:tcBorders>
            <w:shd w:val="clear" w:color="auto" w:fill="78BE20"/>
            <w:vAlign w:val="center"/>
          </w:tcPr>
          <w:p w14:paraId="3F137059" w14:textId="0CC558CA" w:rsidR="00F87995" w:rsidRPr="00F87995" w:rsidRDefault="002F7442" w:rsidP="00F87995">
            <w:pPr>
              <w:spacing w:before="0" w:after="0" w:line="259" w:lineRule="auto"/>
              <w:jc w:val="right"/>
              <w:rPr>
                <w:b/>
                <w:bCs/>
                <w:color w:val="FFFFFF" w:themeColor="background1"/>
                <w:sz w:val="32"/>
                <w:szCs w:val="32"/>
              </w:rPr>
            </w:pPr>
            <w:r w:rsidRPr="002F7442">
              <w:rPr>
                <w:b/>
                <w:bCs/>
                <w:color w:val="FFFFFF" w:themeColor="background1"/>
                <w:sz w:val="20"/>
                <w:szCs w:val="20"/>
              </w:rPr>
              <w:t xml:space="preserve">Medida </w:t>
            </w:r>
            <w:r w:rsidR="00F87995" w:rsidRPr="00F87995">
              <w:rPr>
                <w:b/>
                <w:bCs/>
                <w:color w:val="FFFFFF" w:themeColor="background1"/>
                <w:sz w:val="32"/>
                <w:szCs w:val="32"/>
              </w:rPr>
              <w:t>6</w:t>
            </w:r>
          </w:p>
        </w:tc>
        <w:tc>
          <w:tcPr>
            <w:tcW w:w="7543" w:type="dxa"/>
            <w:tcBorders>
              <w:top w:val="single" w:sz="4" w:space="0" w:color="78BE20"/>
              <w:left w:val="single" w:sz="4" w:space="0" w:color="FFFFFF"/>
              <w:bottom w:val="single" w:sz="4" w:space="0" w:color="78BE20"/>
              <w:right w:val="single" w:sz="4" w:space="0" w:color="78BE20"/>
            </w:tcBorders>
            <w:vAlign w:val="center"/>
          </w:tcPr>
          <w:p w14:paraId="67C9DB60" w14:textId="121BA4C9" w:rsidR="00F87995" w:rsidRPr="00F87995" w:rsidRDefault="00F87995" w:rsidP="000F4CC1">
            <w:pPr>
              <w:spacing w:before="0" w:after="0" w:line="259" w:lineRule="auto"/>
              <w:rPr>
                <w:sz w:val="20"/>
                <w:szCs w:val="20"/>
              </w:rPr>
            </w:pPr>
            <w:r w:rsidRPr="00F87995">
              <w:rPr>
                <w:sz w:val="20"/>
                <w:szCs w:val="20"/>
              </w:rPr>
              <w:t>Creación de un “buzón de igualdad” en el área virtual del órgano competente en la materia de la página web del Gobierno de La Rioja.</w:t>
            </w:r>
          </w:p>
        </w:tc>
      </w:tr>
      <w:tr w:rsidR="0032742C" w14:paraId="6ED2E3F7" w14:textId="77777777" w:rsidTr="00503940">
        <w:tc>
          <w:tcPr>
            <w:tcW w:w="8644" w:type="dxa"/>
            <w:gridSpan w:val="2"/>
            <w:tcBorders>
              <w:top w:val="single" w:sz="4" w:space="0" w:color="78BE20"/>
              <w:left w:val="single" w:sz="4" w:space="0" w:color="78BE20"/>
              <w:right w:val="single" w:sz="4" w:space="0" w:color="78BE20"/>
            </w:tcBorders>
            <w:shd w:val="clear" w:color="auto" w:fill="auto"/>
            <w:vAlign w:val="center"/>
          </w:tcPr>
          <w:p w14:paraId="6CABA97C" w14:textId="77777777" w:rsidR="00C76233" w:rsidRDefault="00C76233" w:rsidP="00723A72">
            <w:pPr>
              <w:spacing w:before="0" w:after="0" w:line="259" w:lineRule="auto"/>
              <w:rPr>
                <w:b/>
                <w:bCs/>
                <w:color w:val="78BE20"/>
                <w:sz w:val="20"/>
                <w:szCs w:val="20"/>
              </w:rPr>
            </w:pPr>
          </w:p>
          <w:p w14:paraId="48F9F0FD" w14:textId="0D4D61C0" w:rsidR="00723A72" w:rsidRPr="00723A72" w:rsidRDefault="00723A72" w:rsidP="00723A72">
            <w:pPr>
              <w:spacing w:before="0" w:after="0" w:line="259" w:lineRule="auto"/>
              <w:rPr>
                <w:sz w:val="20"/>
                <w:szCs w:val="20"/>
              </w:rPr>
            </w:pPr>
            <w:r w:rsidRPr="000A25DD">
              <w:rPr>
                <w:b/>
                <w:bCs/>
                <w:color w:val="78BE20"/>
                <w:sz w:val="20"/>
                <w:szCs w:val="20"/>
              </w:rPr>
              <w:t>OBJETIVO.</w:t>
            </w:r>
            <w:r>
              <w:rPr>
                <w:sz w:val="20"/>
                <w:szCs w:val="20"/>
              </w:rPr>
              <w:t xml:space="preserve"> </w:t>
            </w:r>
            <w:r w:rsidRPr="00723A72">
              <w:rPr>
                <w:b/>
                <w:bCs/>
                <w:sz w:val="20"/>
                <w:szCs w:val="20"/>
              </w:rPr>
              <w:t>Avanzar en la consecución de la presencia equilibrada de mujeres y hombres en todos los contextos de la Administración General de La Rioja</w:t>
            </w:r>
            <w:r>
              <w:rPr>
                <w:b/>
                <w:bCs/>
                <w:sz w:val="20"/>
                <w:szCs w:val="20"/>
              </w:rPr>
              <w:t>.</w:t>
            </w:r>
          </w:p>
          <w:p w14:paraId="540F6CEF" w14:textId="77777777" w:rsidR="0032742C" w:rsidRDefault="0032742C" w:rsidP="000F4CC1">
            <w:pPr>
              <w:spacing w:before="0" w:after="0" w:line="259" w:lineRule="auto"/>
            </w:pPr>
          </w:p>
        </w:tc>
      </w:tr>
      <w:tr w:rsidR="0032742C" w14:paraId="63E9055C" w14:textId="77777777" w:rsidTr="00C76233">
        <w:trPr>
          <w:trHeight w:val="907"/>
        </w:trPr>
        <w:tc>
          <w:tcPr>
            <w:tcW w:w="1101" w:type="dxa"/>
            <w:tcBorders>
              <w:top w:val="single" w:sz="4" w:space="0" w:color="FFFFFF"/>
              <w:left w:val="single" w:sz="4" w:space="0" w:color="78BE20"/>
              <w:bottom w:val="single" w:sz="4" w:space="0" w:color="FFFFFF" w:themeColor="background1"/>
              <w:right w:val="single" w:sz="4" w:space="0" w:color="FFFFFF"/>
            </w:tcBorders>
            <w:shd w:val="clear" w:color="auto" w:fill="78BE20"/>
            <w:vAlign w:val="center"/>
          </w:tcPr>
          <w:p w14:paraId="2B805E16" w14:textId="09EBF1C3" w:rsidR="0032742C" w:rsidRPr="00F87995" w:rsidRDefault="002F7442" w:rsidP="00F87995">
            <w:pPr>
              <w:spacing w:before="0" w:after="0" w:line="259" w:lineRule="auto"/>
              <w:jc w:val="right"/>
              <w:rPr>
                <w:b/>
                <w:bCs/>
                <w:color w:val="FFFFFF" w:themeColor="background1"/>
                <w:sz w:val="32"/>
                <w:szCs w:val="32"/>
              </w:rPr>
            </w:pPr>
            <w:r w:rsidRPr="002F7442">
              <w:rPr>
                <w:b/>
                <w:bCs/>
                <w:color w:val="FFFFFF" w:themeColor="background1"/>
                <w:sz w:val="20"/>
                <w:szCs w:val="20"/>
              </w:rPr>
              <w:t xml:space="preserve">Medida </w:t>
            </w:r>
            <w:r w:rsidR="00F87995" w:rsidRPr="00F87995">
              <w:rPr>
                <w:b/>
                <w:bCs/>
                <w:color w:val="FFFFFF" w:themeColor="background1"/>
                <w:sz w:val="32"/>
                <w:szCs w:val="32"/>
              </w:rPr>
              <w:t>7</w:t>
            </w:r>
          </w:p>
        </w:tc>
        <w:tc>
          <w:tcPr>
            <w:tcW w:w="7543" w:type="dxa"/>
            <w:tcBorders>
              <w:top w:val="single" w:sz="4" w:space="0" w:color="FFFFFF"/>
              <w:left w:val="single" w:sz="4" w:space="0" w:color="FFFFFF"/>
              <w:bottom w:val="single" w:sz="4" w:space="0" w:color="78BE20"/>
              <w:right w:val="single" w:sz="4" w:space="0" w:color="78BE20"/>
            </w:tcBorders>
            <w:vAlign w:val="center"/>
          </w:tcPr>
          <w:p w14:paraId="76A6466F" w14:textId="52B41CD0" w:rsidR="0032742C" w:rsidRPr="00F87995" w:rsidRDefault="00F87995" w:rsidP="000F4CC1">
            <w:pPr>
              <w:spacing w:before="0" w:after="0" w:line="259" w:lineRule="auto"/>
            </w:pPr>
            <w:r w:rsidRPr="00F87995">
              <w:rPr>
                <w:sz w:val="20"/>
                <w:szCs w:val="20"/>
              </w:rPr>
              <w:t xml:space="preserve">Aplicación de medidas de acción positiva siempre que se cumplan las condiciones de acuerdo con la normativa, y en ámbitos como el acceso al empleo, la promoción o la participación de acciones formativas.  </w:t>
            </w:r>
          </w:p>
        </w:tc>
      </w:tr>
      <w:tr w:rsidR="00F87995" w14:paraId="543BC7D9" w14:textId="77777777" w:rsidTr="00C76233">
        <w:trPr>
          <w:trHeight w:val="907"/>
        </w:trPr>
        <w:tc>
          <w:tcPr>
            <w:tcW w:w="1101" w:type="dxa"/>
            <w:tcBorders>
              <w:top w:val="single" w:sz="4" w:space="0" w:color="FFFFFF" w:themeColor="background1"/>
              <w:left w:val="single" w:sz="4" w:space="0" w:color="78BE20"/>
              <w:bottom w:val="single" w:sz="4" w:space="0" w:color="FFFFFF"/>
              <w:right w:val="single" w:sz="4" w:space="0" w:color="FFFFFF"/>
            </w:tcBorders>
            <w:shd w:val="clear" w:color="auto" w:fill="78BE20"/>
            <w:vAlign w:val="center"/>
          </w:tcPr>
          <w:p w14:paraId="7039347E" w14:textId="3BA6780B" w:rsidR="00F87995" w:rsidRPr="00F87995" w:rsidRDefault="002F7442" w:rsidP="00F87995">
            <w:pPr>
              <w:spacing w:before="0" w:after="0" w:line="259" w:lineRule="auto"/>
              <w:jc w:val="right"/>
              <w:rPr>
                <w:b/>
                <w:bCs/>
                <w:color w:val="FFFFFF" w:themeColor="background1"/>
                <w:sz w:val="32"/>
                <w:szCs w:val="32"/>
              </w:rPr>
            </w:pPr>
            <w:r w:rsidRPr="002F7442">
              <w:rPr>
                <w:b/>
                <w:bCs/>
                <w:color w:val="FFFFFF" w:themeColor="background1"/>
                <w:sz w:val="20"/>
                <w:szCs w:val="20"/>
              </w:rPr>
              <w:t xml:space="preserve">Medida </w:t>
            </w:r>
            <w:r w:rsidR="00F87995" w:rsidRPr="00F87995">
              <w:rPr>
                <w:b/>
                <w:bCs/>
                <w:color w:val="FFFFFF" w:themeColor="background1"/>
                <w:sz w:val="32"/>
                <w:szCs w:val="32"/>
              </w:rPr>
              <w:t>8</w:t>
            </w:r>
          </w:p>
        </w:tc>
        <w:tc>
          <w:tcPr>
            <w:tcW w:w="7543" w:type="dxa"/>
            <w:tcBorders>
              <w:top w:val="single" w:sz="4" w:space="0" w:color="78BE20"/>
              <w:left w:val="single" w:sz="4" w:space="0" w:color="FFFFFF"/>
              <w:bottom w:val="single" w:sz="4" w:space="0" w:color="78BE20"/>
              <w:right w:val="single" w:sz="4" w:space="0" w:color="78BE20"/>
            </w:tcBorders>
            <w:vAlign w:val="center"/>
          </w:tcPr>
          <w:p w14:paraId="5D9FBDA8" w14:textId="146EA64D" w:rsidR="00F87995" w:rsidRPr="00F87995" w:rsidRDefault="00F87995" w:rsidP="000F4CC1">
            <w:pPr>
              <w:spacing w:before="0" w:after="0" w:line="259" w:lineRule="auto"/>
              <w:rPr>
                <w:sz w:val="20"/>
                <w:szCs w:val="20"/>
              </w:rPr>
            </w:pPr>
            <w:r w:rsidRPr="00F87995">
              <w:rPr>
                <w:sz w:val="20"/>
                <w:szCs w:val="20"/>
              </w:rPr>
              <w:t>Inclusión de la composición equilibrada de mujeres y hombres en las bases que rigen la constitución de las Comisiones de Valoración de los concursos de méritos.</w:t>
            </w:r>
            <w:r w:rsidRPr="00142AB7">
              <w:rPr>
                <w:b/>
                <w:bCs/>
                <w:color w:val="FFFFFF" w:themeColor="background1"/>
              </w:rPr>
              <w:t xml:space="preserve">  </w:t>
            </w:r>
          </w:p>
        </w:tc>
      </w:tr>
      <w:tr w:rsidR="00F87995" w14:paraId="7697CC0C" w14:textId="77777777" w:rsidTr="00C76233">
        <w:trPr>
          <w:trHeight w:val="907"/>
        </w:trPr>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1209AE17" w14:textId="7C580C4B" w:rsidR="00F87995" w:rsidRPr="00F87995" w:rsidRDefault="002F7442" w:rsidP="00F87995">
            <w:pPr>
              <w:spacing w:before="0" w:after="0" w:line="259" w:lineRule="auto"/>
              <w:jc w:val="right"/>
              <w:rPr>
                <w:b/>
                <w:bCs/>
                <w:color w:val="FFFFFF" w:themeColor="background1"/>
                <w:sz w:val="32"/>
                <w:szCs w:val="32"/>
              </w:rPr>
            </w:pPr>
            <w:r w:rsidRPr="002F7442">
              <w:rPr>
                <w:b/>
                <w:bCs/>
                <w:color w:val="FFFFFF" w:themeColor="background1"/>
                <w:sz w:val="20"/>
                <w:szCs w:val="20"/>
              </w:rPr>
              <w:t xml:space="preserve">Medida </w:t>
            </w:r>
            <w:r w:rsidR="00F87995" w:rsidRPr="00F87995">
              <w:rPr>
                <w:b/>
                <w:bCs/>
                <w:color w:val="FFFFFF" w:themeColor="background1"/>
                <w:sz w:val="32"/>
                <w:szCs w:val="32"/>
              </w:rPr>
              <w:t>9</w:t>
            </w:r>
          </w:p>
        </w:tc>
        <w:tc>
          <w:tcPr>
            <w:tcW w:w="7543" w:type="dxa"/>
            <w:tcBorders>
              <w:top w:val="single" w:sz="4" w:space="0" w:color="78BE20"/>
              <w:left w:val="single" w:sz="4" w:space="0" w:color="FFFFFF"/>
              <w:bottom w:val="single" w:sz="4" w:space="0" w:color="78BE20"/>
              <w:right w:val="single" w:sz="4" w:space="0" w:color="78BE20"/>
            </w:tcBorders>
            <w:vAlign w:val="center"/>
          </w:tcPr>
          <w:p w14:paraId="18685BD5" w14:textId="0775CF17" w:rsidR="00F87995" w:rsidRPr="00F87995" w:rsidRDefault="00F87995" w:rsidP="000F4CC1">
            <w:pPr>
              <w:spacing w:before="0" w:after="0" w:line="259" w:lineRule="auto"/>
              <w:rPr>
                <w:sz w:val="20"/>
                <w:szCs w:val="20"/>
              </w:rPr>
            </w:pPr>
            <w:r w:rsidRPr="00F87995">
              <w:rPr>
                <w:sz w:val="20"/>
                <w:szCs w:val="20"/>
              </w:rPr>
              <w:t>Inclusión en las bases reguladoras de los Tribunales Calificadores de una cláusula de alternancia entre mujeres y hombres en el desempeño de los diferentes cargos que los constituyen, especialmente de la Presidencia.</w:t>
            </w:r>
          </w:p>
        </w:tc>
      </w:tr>
      <w:tr w:rsidR="0032742C" w14:paraId="430B2BF5" w14:textId="77777777" w:rsidTr="003E22E2">
        <w:tc>
          <w:tcPr>
            <w:tcW w:w="8644" w:type="dxa"/>
            <w:gridSpan w:val="2"/>
            <w:tcBorders>
              <w:top w:val="single" w:sz="4" w:space="0" w:color="78BE20"/>
              <w:left w:val="single" w:sz="4" w:space="0" w:color="78BE20"/>
              <w:bottom w:val="single" w:sz="4" w:space="0" w:color="FFFFFF"/>
              <w:right w:val="single" w:sz="4" w:space="0" w:color="78BE20"/>
            </w:tcBorders>
            <w:shd w:val="clear" w:color="auto" w:fill="auto"/>
            <w:vAlign w:val="center"/>
          </w:tcPr>
          <w:p w14:paraId="002AE625" w14:textId="77777777" w:rsidR="004523D0" w:rsidRDefault="004523D0" w:rsidP="00723A72">
            <w:pPr>
              <w:spacing w:before="0" w:after="0" w:line="259" w:lineRule="auto"/>
              <w:rPr>
                <w:b/>
                <w:bCs/>
                <w:color w:val="78BE20"/>
                <w:sz w:val="20"/>
                <w:szCs w:val="20"/>
              </w:rPr>
            </w:pPr>
          </w:p>
          <w:p w14:paraId="0DA6835E" w14:textId="77777777" w:rsidR="004523D0" w:rsidRDefault="004523D0" w:rsidP="00723A72">
            <w:pPr>
              <w:spacing w:before="0" w:after="0" w:line="259" w:lineRule="auto"/>
              <w:rPr>
                <w:b/>
                <w:bCs/>
                <w:color w:val="78BE20"/>
                <w:sz w:val="20"/>
                <w:szCs w:val="20"/>
              </w:rPr>
            </w:pPr>
          </w:p>
          <w:p w14:paraId="54C0FDCE" w14:textId="4001A953" w:rsidR="00723A72" w:rsidRPr="00723A72" w:rsidRDefault="00723A72" w:rsidP="00723A72">
            <w:pPr>
              <w:spacing w:before="0" w:after="0" w:line="259" w:lineRule="auto"/>
              <w:rPr>
                <w:sz w:val="20"/>
                <w:szCs w:val="20"/>
              </w:rPr>
            </w:pPr>
            <w:r w:rsidRPr="000A25DD">
              <w:rPr>
                <w:b/>
                <w:bCs/>
                <w:color w:val="78BE20"/>
                <w:sz w:val="20"/>
                <w:szCs w:val="20"/>
              </w:rPr>
              <w:t>OBJETIVO.</w:t>
            </w:r>
            <w:r>
              <w:rPr>
                <w:sz w:val="20"/>
                <w:szCs w:val="20"/>
              </w:rPr>
              <w:t xml:space="preserve"> </w:t>
            </w:r>
            <w:r w:rsidRPr="00723A72">
              <w:rPr>
                <w:b/>
                <w:bCs/>
                <w:sz w:val="20"/>
                <w:szCs w:val="20"/>
              </w:rPr>
              <w:t xml:space="preserve">Seguir </w:t>
            </w:r>
            <w:r w:rsidR="00F87995">
              <w:rPr>
                <w:b/>
                <w:bCs/>
                <w:sz w:val="20"/>
                <w:szCs w:val="20"/>
              </w:rPr>
              <w:t>ampliando</w:t>
            </w:r>
            <w:r w:rsidRPr="00723A72">
              <w:rPr>
                <w:b/>
                <w:bCs/>
                <w:sz w:val="20"/>
                <w:szCs w:val="20"/>
              </w:rPr>
              <w:t xml:space="preserve"> la recogida y sistematización de datos desagregados por sexo y otros factores relevantes en el funcionamiento de la Administración General de La Rioja</w:t>
            </w:r>
            <w:r>
              <w:rPr>
                <w:b/>
                <w:bCs/>
                <w:sz w:val="20"/>
                <w:szCs w:val="20"/>
              </w:rPr>
              <w:t>.</w:t>
            </w:r>
          </w:p>
          <w:p w14:paraId="21C94FE8" w14:textId="77777777" w:rsidR="0032742C" w:rsidRDefault="0032742C" w:rsidP="000F4CC1">
            <w:pPr>
              <w:spacing w:before="0" w:after="0" w:line="259" w:lineRule="auto"/>
            </w:pPr>
          </w:p>
        </w:tc>
      </w:tr>
      <w:tr w:rsidR="0032742C" w14:paraId="6977A4A2" w14:textId="77777777" w:rsidTr="00C76233">
        <w:trPr>
          <w:trHeight w:val="907"/>
        </w:trPr>
        <w:tc>
          <w:tcPr>
            <w:tcW w:w="1101" w:type="dxa"/>
            <w:tcBorders>
              <w:top w:val="single" w:sz="4" w:space="0" w:color="FFFFFF"/>
              <w:left w:val="single" w:sz="4" w:space="0" w:color="78BE20"/>
              <w:bottom w:val="single" w:sz="4" w:space="0" w:color="FFFFFF" w:themeColor="background1"/>
              <w:right w:val="single" w:sz="4" w:space="0" w:color="FFFFFF"/>
            </w:tcBorders>
            <w:shd w:val="clear" w:color="auto" w:fill="78BE20"/>
            <w:vAlign w:val="center"/>
          </w:tcPr>
          <w:p w14:paraId="1EA22415" w14:textId="2790E818" w:rsidR="0032742C" w:rsidRPr="00F87995" w:rsidRDefault="00574ACA" w:rsidP="00F87995">
            <w:pPr>
              <w:spacing w:before="0" w:after="0" w:line="259" w:lineRule="auto"/>
              <w:jc w:val="right"/>
              <w:rPr>
                <w:b/>
                <w:bCs/>
                <w:color w:val="FFFFFF" w:themeColor="background1"/>
                <w:sz w:val="32"/>
                <w:szCs w:val="32"/>
              </w:rPr>
            </w:pPr>
            <w:r w:rsidRPr="002F7442">
              <w:rPr>
                <w:b/>
                <w:bCs/>
                <w:color w:val="FFFFFF" w:themeColor="background1"/>
                <w:sz w:val="20"/>
                <w:szCs w:val="20"/>
              </w:rPr>
              <w:t xml:space="preserve">Medida </w:t>
            </w:r>
            <w:r w:rsidR="00F87995" w:rsidRPr="00F87995">
              <w:rPr>
                <w:b/>
                <w:bCs/>
                <w:color w:val="FFFFFF" w:themeColor="background1"/>
                <w:sz w:val="32"/>
                <w:szCs w:val="32"/>
              </w:rPr>
              <w:t>10</w:t>
            </w:r>
          </w:p>
        </w:tc>
        <w:tc>
          <w:tcPr>
            <w:tcW w:w="7543" w:type="dxa"/>
            <w:tcBorders>
              <w:top w:val="single" w:sz="4" w:space="0" w:color="FFFFFF"/>
              <w:left w:val="single" w:sz="4" w:space="0" w:color="FFFFFF"/>
              <w:bottom w:val="single" w:sz="4" w:space="0" w:color="78BE20"/>
              <w:right w:val="single" w:sz="4" w:space="0" w:color="78BE20"/>
            </w:tcBorders>
            <w:vAlign w:val="center"/>
          </w:tcPr>
          <w:p w14:paraId="4D4EF772" w14:textId="5CB6D03A" w:rsidR="0032742C" w:rsidRPr="00F87995" w:rsidRDefault="00F87995" w:rsidP="000F4CC1">
            <w:pPr>
              <w:spacing w:before="0" w:after="0" w:line="259" w:lineRule="auto"/>
            </w:pPr>
            <w:r w:rsidRPr="00F87995">
              <w:rPr>
                <w:sz w:val="20"/>
                <w:szCs w:val="20"/>
              </w:rPr>
              <w:t xml:space="preserve">Registro de los datos desagregados por sexo y cargo de la composición de los Tribunales de las pruebas de acceso a puestos de Personal Docente.  </w:t>
            </w:r>
          </w:p>
        </w:tc>
      </w:tr>
      <w:tr w:rsidR="00F87995" w14:paraId="7615AF5A" w14:textId="77777777" w:rsidTr="00C76233">
        <w:trPr>
          <w:trHeight w:val="907"/>
        </w:trPr>
        <w:tc>
          <w:tcPr>
            <w:tcW w:w="1101" w:type="dxa"/>
            <w:tcBorders>
              <w:top w:val="single" w:sz="4" w:space="0" w:color="FFFFFF" w:themeColor="background1"/>
              <w:left w:val="single" w:sz="4" w:space="0" w:color="78BE20"/>
              <w:bottom w:val="single" w:sz="4" w:space="0" w:color="78BE20"/>
              <w:right w:val="single" w:sz="4" w:space="0" w:color="FFFFFF"/>
            </w:tcBorders>
            <w:shd w:val="clear" w:color="auto" w:fill="78BE20"/>
            <w:vAlign w:val="center"/>
          </w:tcPr>
          <w:p w14:paraId="443B1417" w14:textId="7D24A81F" w:rsidR="00F87995" w:rsidRPr="00F87995" w:rsidRDefault="00574ACA" w:rsidP="00F87995">
            <w:pPr>
              <w:spacing w:before="0" w:after="0" w:line="259" w:lineRule="auto"/>
              <w:jc w:val="right"/>
              <w:rPr>
                <w:b/>
                <w:bCs/>
                <w:color w:val="FFFFFF" w:themeColor="background1"/>
                <w:sz w:val="32"/>
                <w:szCs w:val="32"/>
              </w:rPr>
            </w:pPr>
            <w:r w:rsidRPr="002F7442">
              <w:rPr>
                <w:b/>
                <w:bCs/>
                <w:color w:val="FFFFFF" w:themeColor="background1"/>
                <w:sz w:val="20"/>
                <w:szCs w:val="20"/>
              </w:rPr>
              <w:t xml:space="preserve">Medida </w:t>
            </w:r>
            <w:r w:rsidR="00F87995" w:rsidRPr="00F87995">
              <w:rPr>
                <w:b/>
                <w:bCs/>
                <w:color w:val="FFFFFF" w:themeColor="background1"/>
                <w:sz w:val="32"/>
                <w:szCs w:val="32"/>
              </w:rPr>
              <w:t>11</w:t>
            </w:r>
          </w:p>
        </w:tc>
        <w:tc>
          <w:tcPr>
            <w:tcW w:w="7543" w:type="dxa"/>
            <w:tcBorders>
              <w:top w:val="single" w:sz="4" w:space="0" w:color="78BE20"/>
              <w:left w:val="single" w:sz="4" w:space="0" w:color="FFFFFF"/>
              <w:bottom w:val="single" w:sz="4" w:space="0" w:color="78BE20"/>
              <w:right w:val="single" w:sz="4" w:space="0" w:color="78BE20"/>
            </w:tcBorders>
            <w:vAlign w:val="center"/>
          </w:tcPr>
          <w:p w14:paraId="297E8734" w14:textId="754FCEEE" w:rsidR="00F87995" w:rsidRPr="00F87995" w:rsidRDefault="00F87995" w:rsidP="000F4CC1">
            <w:pPr>
              <w:spacing w:before="0" w:after="0" w:line="259" w:lineRule="auto"/>
              <w:rPr>
                <w:sz w:val="20"/>
                <w:szCs w:val="20"/>
              </w:rPr>
            </w:pPr>
            <w:r w:rsidRPr="00F87995">
              <w:rPr>
                <w:sz w:val="20"/>
                <w:szCs w:val="20"/>
              </w:rPr>
              <w:t xml:space="preserve">Creación de un sistema estandarizado de solicitud de medidas de conciliación que identifique la motivación de la necesidad y a la persona solicitante desagregando por sexo, tipo de personal, grupo profesional y modelo de familia al que pertenece.  </w:t>
            </w:r>
          </w:p>
        </w:tc>
      </w:tr>
    </w:tbl>
    <w:p w14:paraId="732AF13D" w14:textId="77777777" w:rsidR="0032742C" w:rsidRDefault="0032742C" w:rsidP="009B14CB"/>
    <w:p w14:paraId="0BEA3239" w14:textId="4845A3D3" w:rsidR="00024B4E" w:rsidRDefault="00024B4E" w:rsidP="004B5F98">
      <w:r>
        <w:br w:type="page"/>
      </w:r>
    </w:p>
    <w:p w14:paraId="5AC1D36F" w14:textId="77777777" w:rsidR="00024B4E" w:rsidRPr="00990586" w:rsidRDefault="00024B4E" w:rsidP="00024B4E">
      <w:pPr>
        <w:rPr>
          <w:b/>
          <w:bCs/>
        </w:rPr>
      </w:pPr>
      <w:r w:rsidRPr="00990586">
        <w:rPr>
          <w:b/>
          <w:bCs/>
          <w:color w:val="78BE20"/>
        </w:rPr>
        <w:t xml:space="preserve">OBJETIVO. </w:t>
      </w:r>
      <w:r w:rsidRPr="00990586">
        <w:rPr>
          <w:b/>
          <w:bCs/>
        </w:rPr>
        <w:t>Dar a conocer la situación de igualdad en la Administración General.</w:t>
      </w:r>
    </w:p>
    <w:p w14:paraId="58D92ABB" w14:textId="1F65B6F6" w:rsidR="00024B4E" w:rsidRDefault="00024B4E" w:rsidP="00024B4E">
      <w:pPr>
        <w:pStyle w:val="Ttulo3"/>
      </w:pPr>
      <w:r>
        <w:t>Medida</w:t>
      </w:r>
      <w:r w:rsidRPr="00990586">
        <w:t xml:space="preserve"> 1</w:t>
      </w:r>
    </w:p>
    <w:tbl>
      <w:tblPr>
        <w:tblStyle w:val="Tablaconcuadrcula"/>
        <w:tblW w:w="0" w:type="auto"/>
        <w:tblLook w:val="04A0" w:firstRow="1" w:lastRow="0" w:firstColumn="1" w:lastColumn="0" w:noHBand="0" w:noVBand="1"/>
      </w:tblPr>
      <w:tblGrid>
        <w:gridCol w:w="2402"/>
        <w:gridCol w:w="6072"/>
      </w:tblGrid>
      <w:tr w:rsidR="0060220E" w:rsidRPr="0060220E" w14:paraId="60DF53F1" w14:textId="77777777" w:rsidTr="000F4CC1">
        <w:trPr>
          <w:trHeight w:val="918"/>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0D4666B8" w14:textId="77777777" w:rsidR="0060220E" w:rsidRPr="0060220E" w:rsidRDefault="0060220E" w:rsidP="0060220E">
            <w:pPr>
              <w:spacing w:before="0" w:after="0"/>
              <w:ind w:left="22"/>
              <w:jc w:val="left"/>
              <w:rPr>
                <w:sz w:val="20"/>
                <w:szCs w:val="20"/>
              </w:rPr>
            </w:pPr>
            <w:r w:rsidRPr="0060220E">
              <w:rPr>
                <w:b/>
                <w:bCs/>
                <w:color w:val="FFFFFF" w:themeColor="background1"/>
              </w:rPr>
              <w:t>Publicación de los principales resultados del Diagnóstico de situación y del Plan de Igualdad en la página web del Gobierno de La Rioja</w:t>
            </w:r>
          </w:p>
        </w:tc>
      </w:tr>
      <w:tr w:rsidR="0060220E" w:rsidRPr="0060220E" w14:paraId="45C5EE89" w14:textId="77777777" w:rsidTr="000F4CC1">
        <w:trPr>
          <w:trHeight w:val="1016"/>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72A4401B" w14:textId="77777777" w:rsidR="0060220E" w:rsidRPr="0060220E" w:rsidRDefault="0060220E" w:rsidP="0060220E">
            <w:pPr>
              <w:spacing w:before="0" w:after="0"/>
              <w:ind w:left="22"/>
              <w:jc w:val="left"/>
              <w:rPr>
                <w:sz w:val="20"/>
                <w:szCs w:val="20"/>
              </w:rPr>
            </w:pPr>
            <w:r w:rsidRPr="0060220E">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223C39CE" w14:textId="77777777" w:rsidR="0060220E" w:rsidRPr="0060220E" w:rsidRDefault="0060220E">
            <w:pPr>
              <w:numPr>
                <w:ilvl w:val="0"/>
                <w:numId w:val="8"/>
              </w:numPr>
              <w:tabs>
                <w:tab w:val="left" w:pos="5698"/>
              </w:tabs>
              <w:spacing w:before="0" w:after="0" w:line="259" w:lineRule="auto"/>
              <w:ind w:left="294" w:right="12" w:hanging="197"/>
              <w:contextualSpacing/>
              <w:jc w:val="left"/>
              <w:rPr>
                <w:sz w:val="20"/>
                <w:szCs w:val="18"/>
              </w:rPr>
            </w:pPr>
            <w:r w:rsidRPr="0060220E">
              <w:rPr>
                <w:sz w:val="20"/>
                <w:szCs w:val="18"/>
              </w:rPr>
              <w:t>Personal de la Administración General</w:t>
            </w:r>
          </w:p>
          <w:p w14:paraId="7B82602F" w14:textId="77777777" w:rsidR="0060220E" w:rsidRPr="0060220E" w:rsidRDefault="0060220E">
            <w:pPr>
              <w:numPr>
                <w:ilvl w:val="0"/>
                <w:numId w:val="8"/>
              </w:numPr>
              <w:tabs>
                <w:tab w:val="left" w:pos="5698"/>
              </w:tabs>
              <w:spacing w:before="0" w:after="0" w:line="259" w:lineRule="auto"/>
              <w:ind w:left="294" w:right="12" w:hanging="197"/>
              <w:contextualSpacing/>
              <w:jc w:val="left"/>
              <w:rPr>
                <w:sz w:val="20"/>
                <w:szCs w:val="18"/>
              </w:rPr>
            </w:pPr>
            <w:r w:rsidRPr="0060220E">
              <w:rPr>
                <w:sz w:val="20"/>
                <w:szCs w:val="18"/>
              </w:rPr>
              <w:t>Población riojana</w:t>
            </w:r>
          </w:p>
          <w:p w14:paraId="53B0EECC" w14:textId="77777777" w:rsidR="0060220E" w:rsidRPr="0060220E" w:rsidRDefault="0060220E">
            <w:pPr>
              <w:numPr>
                <w:ilvl w:val="0"/>
                <w:numId w:val="8"/>
              </w:numPr>
              <w:tabs>
                <w:tab w:val="left" w:pos="5698"/>
              </w:tabs>
              <w:spacing w:before="0" w:after="0" w:line="259" w:lineRule="auto"/>
              <w:ind w:left="294" w:right="12" w:hanging="197"/>
              <w:contextualSpacing/>
              <w:jc w:val="left"/>
              <w:rPr>
                <w:sz w:val="20"/>
                <w:szCs w:val="18"/>
              </w:rPr>
            </w:pPr>
            <w:r w:rsidRPr="0060220E">
              <w:rPr>
                <w:sz w:val="20"/>
                <w:szCs w:val="18"/>
              </w:rPr>
              <w:t xml:space="preserve">Otras partes interesadas </w:t>
            </w:r>
          </w:p>
        </w:tc>
      </w:tr>
      <w:tr w:rsidR="0060220E" w:rsidRPr="0060220E" w14:paraId="1098A2EE" w14:textId="77777777" w:rsidTr="000F4CC1">
        <w:trPr>
          <w:trHeight w:val="300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55CE339" w14:textId="77777777" w:rsidR="0060220E" w:rsidRPr="0060220E" w:rsidRDefault="0060220E" w:rsidP="0060220E">
            <w:pPr>
              <w:spacing w:before="0" w:after="0"/>
              <w:ind w:left="22"/>
              <w:jc w:val="left"/>
              <w:rPr>
                <w:sz w:val="20"/>
                <w:szCs w:val="20"/>
              </w:rPr>
            </w:pPr>
            <w:r w:rsidRPr="0060220E">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785D94C" w14:textId="77777777" w:rsidR="0060220E" w:rsidRPr="0060220E" w:rsidRDefault="0060220E">
            <w:pPr>
              <w:numPr>
                <w:ilvl w:val="0"/>
                <w:numId w:val="8"/>
              </w:numPr>
              <w:tabs>
                <w:tab w:val="left" w:pos="5698"/>
              </w:tabs>
              <w:spacing w:before="0" w:after="0" w:line="259" w:lineRule="auto"/>
              <w:ind w:left="294" w:right="12" w:hanging="197"/>
              <w:contextualSpacing/>
              <w:jc w:val="left"/>
              <w:rPr>
                <w:sz w:val="20"/>
                <w:szCs w:val="18"/>
              </w:rPr>
            </w:pPr>
            <w:r w:rsidRPr="0060220E">
              <w:rPr>
                <w:sz w:val="20"/>
                <w:szCs w:val="18"/>
              </w:rPr>
              <w:t>Diseño y maquetación de un documento unificado que incluya el resumen de las principales conclusiones del Diagnóstico de situación y las fichas completas de las medidas del Plan de Igualdad aprobadas por la Comisión Negociadora.</w:t>
            </w:r>
          </w:p>
          <w:p w14:paraId="14EE1F6A" w14:textId="77777777" w:rsidR="0060220E" w:rsidRPr="0060220E" w:rsidRDefault="0060220E">
            <w:pPr>
              <w:numPr>
                <w:ilvl w:val="0"/>
                <w:numId w:val="8"/>
              </w:numPr>
              <w:tabs>
                <w:tab w:val="left" w:pos="5698"/>
              </w:tabs>
              <w:spacing w:before="0" w:after="0" w:line="259" w:lineRule="auto"/>
              <w:ind w:left="294" w:right="12" w:hanging="197"/>
              <w:contextualSpacing/>
              <w:jc w:val="left"/>
              <w:rPr>
                <w:sz w:val="20"/>
                <w:szCs w:val="18"/>
              </w:rPr>
            </w:pPr>
            <w:r w:rsidRPr="0060220E">
              <w:rPr>
                <w:sz w:val="20"/>
                <w:szCs w:val="18"/>
              </w:rPr>
              <w:t>Publicación del documento en el portal web del Gobierno de La Rioja, tanto en la sección de “empleados públicos” como en el tablón virtual de anuncios.</w:t>
            </w:r>
          </w:p>
          <w:p w14:paraId="0E37E114" w14:textId="77777777" w:rsidR="0060220E" w:rsidRPr="0060220E" w:rsidRDefault="0060220E">
            <w:pPr>
              <w:numPr>
                <w:ilvl w:val="0"/>
                <w:numId w:val="8"/>
              </w:numPr>
              <w:tabs>
                <w:tab w:val="left" w:pos="5698"/>
              </w:tabs>
              <w:spacing w:before="0" w:after="0" w:line="259" w:lineRule="auto"/>
              <w:ind w:left="294" w:right="12" w:hanging="197"/>
              <w:contextualSpacing/>
              <w:jc w:val="left"/>
              <w:rPr>
                <w:sz w:val="20"/>
                <w:szCs w:val="18"/>
              </w:rPr>
            </w:pPr>
            <w:r w:rsidRPr="0060220E">
              <w:rPr>
                <w:sz w:val="20"/>
                <w:szCs w:val="18"/>
              </w:rPr>
              <w:t>Publicación de los Informes anuales de la Comisión de Seguimiento, a modo de boletín informativo</w:t>
            </w:r>
          </w:p>
          <w:p w14:paraId="10C27F41" w14:textId="77777777" w:rsidR="0060220E" w:rsidRPr="0060220E" w:rsidRDefault="0060220E">
            <w:pPr>
              <w:numPr>
                <w:ilvl w:val="0"/>
                <w:numId w:val="8"/>
              </w:numPr>
              <w:tabs>
                <w:tab w:val="left" w:pos="5698"/>
              </w:tabs>
              <w:spacing w:before="0" w:after="0" w:line="259" w:lineRule="auto"/>
              <w:ind w:left="294" w:right="12" w:hanging="197"/>
              <w:contextualSpacing/>
              <w:jc w:val="left"/>
              <w:rPr>
                <w:sz w:val="20"/>
                <w:szCs w:val="18"/>
              </w:rPr>
            </w:pPr>
            <w:r w:rsidRPr="0060220E">
              <w:rPr>
                <w:sz w:val="20"/>
                <w:szCs w:val="18"/>
              </w:rPr>
              <w:t>Envío masivo por correo-e del enlace al documento ubicado en el portal web, y de los sucesivos Informes de seguimiento.</w:t>
            </w:r>
          </w:p>
        </w:tc>
      </w:tr>
      <w:tr w:rsidR="0060220E" w:rsidRPr="0060220E" w14:paraId="67410989" w14:textId="77777777" w:rsidTr="000F4CC1">
        <w:trPr>
          <w:trHeight w:val="122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4AAF2E6C" w14:textId="77777777" w:rsidR="0060220E" w:rsidRPr="0060220E" w:rsidRDefault="0060220E" w:rsidP="0060220E">
            <w:pPr>
              <w:spacing w:before="0" w:after="0"/>
              <w:ind w:left="22"/>
              <w:jc w:val="left"/>
              <w:rPr>
                <w:sz w:val="20"/>
                <w:szCs w:val="20"/>
              </w:rPr>
            </w:pPr>
            <w:r w:rsidRPr="0060220E">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3D94B449" w14:textId="77777777" w:rsidR="0060220E" w:rsidRPr="0060220E" w:rsidRDefault="0060220E">
            <w:pPr>
              <w:numPr>
                <w:ilvl w:val="0"/>
                <w:numId w:val="8"/>
              </w:numPr>
              <w:tabs>
                <w:tab w:val="left" w:pos="5698"/>
              </w:tabs>
              <w:spacing w:before="0" w:after="0" w:line="259" w:lineRule="auto"/>
              <w:ind w:left="294" w:right="12" w:hanging="197"/>
              <w:contextualSpacing/>
              <w:jc w:val="left"/>
              <w:rPr>
                <w:sz w:val="20"/>
                <w:szCs w:val="18"/>
              </w:rPr>
            </w:pPr>
            <w:r w:rsidRPr="0060220E">
              <w:rPr>
                <w:sz w:val="20"/>
                <w:szCs w:val="18"/>
              </w:rPr>
              <w:t>Documento final definitivo aprobado en Comisión Negociadora y Consejo de Gobierno</w:t>
            </w:r>
          </w:p>
          <w:p w14:paraId="0CD52033" w14:textId="77777777" w:rsidR="0060220E" w:rsidRPr="0060220E" w:rsidRDefault="0060220E">
            <w:pPr>
              <w:numPr>
                <w:ilvl w:val="0"/>
                <w:numId w:val="8"/>
              </w:numPr>
              <w:tabs>
                <w:tab w:val="left" w:pos="5698"/>
              </w:tabs>
              <w:spacing w:before="0" w:after="0" w:line="259" w:lineRule="auto"/>
              <w:ind w:left="294" w:right="12" w:hanging="197"/>
              <w:contextualSpacing/>
              <w:jc w:val="left"/>
              <w:rPr>
                <w:sz w:val="20"/>
                <w:szCs w:val="20"/>
              </w:rPr>
            </w:pPr>
            <w:r w:rsidRPr="0060220E">
              <w:rPr>
                <w:sz w:val="20"/>
                <w:szCs w:val="18"/>
              </w:rPr>
              <w:t>La dotación presupuestaria queda incluida en la resolución del contrato menor CM DGFP 1/2022</w:t>
            </w:r>
          </w:p>
        </w:tc>
      </w:tr>
      <w:tr w:rsidR="0060220E" w:rsidRPr="0060220E" w14:paraId="14C72B12" w14:textId="77777777" w:rsidTr="000F4CC1">
        <w:trPr>
          <w:trHeight w:val="53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4517B1C6" w14:textId="77777777" w:rsidR="0060220E" w:rsidRPr="0060220E" w:rsidRDefault="0060220E" w:rsidP="0060220E">
            <w:pPr>
              <w:spacing w:before="0" w:after="0"/>
              <w:ind w:left="22"/>
              <w:jc w:val="left"/>
              <w:rPr>
                <w:sz w:val="20"/>
                <w:szCs w:val="20"/>
              </w:rPr>
            </w:pPr>
            <w:r w:rsidRPr="0060220E">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390BCD13" w14:textId="77777777" w:rsidR="0060220E" w:rsidRPr="0060220E" w:rsidRDefault="0060220E" w:rsidP="0060220E">
            <w:pPr>
              <w:spacing w:before="0" w:after="0"/>
              <w:ind w:left="315" w:hanging="218"/>
            </w:pPr>
            <w:r w:rsidRPr="0060220E">
              <w:rPr>
                <w:sz w:val="20"/>
                <w:szCs w:val="20"/>
              </w:rPr>
              <w:t>Órgano con competencias en materia de Función Pública</w:t>
            </w:r>
          </w:p>
        </w:tc>
      </w:tr>
      <w:tr w:rsidR="0060220E" w:rsidRPr="0060220E" w14:paraId="2E3951AF" w14:textId="77777777" w:rsidTr="000F4CC1">
        <w:trPr>
          <w:trHeight w:val="1654"/>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37CC0ADC" w14:textId="77777777" w:rsidR="0060220E" w:rsidRPr="0060220E" w:rsidRDefault="0060220E" w:rsidP="0060220E">
            <w:pPr>
              <w:spacing w:before="0" w:after="0"/>
              <w:ind w:left="22"/>
              <w:jc w:val="left"/>
              <w:rPr>
                <w:sz w:val="20"/>
                <w:szCs w:val="20"/>
              </w:rPr>
            </w:pPr>
            <w:r w:rsidRPr="0060220E">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29C9720A" w14:textId="77777777" w:rsidR="0060220E" w:rsidRPr="0060220E" w:rsidRDefault="0060220E">
            <w:pPr>
              <w:numPr>
                <w:ilvl w:val="0"/>
                <w:numId w:val="8"/>
              </w:numPr>
              <w:tabs>
                <w:tab w:val="left" w:pos="5698"/>
              </w:tabs>
              <w:spacing w:before="0" w:after="0" w:line="259" w:lineRule="auto"/>
              <w:ind w:left="294" w:right="12" w:hanging="197"/>
              <w:contextualSpacing/>
              <w:jc w:val="left"/>
              <w:rPr>
                <w:sz w:val="20"/>
                <w:szCs w:val="18"/>
              </w:rPr>
            </w:pPr>
            <w:r w:rsidRPr="0060220E">
              <w:rPr>
                <w:sz w:val="20"/>
                <w:szCs w:val="18"/>
              </w:rPr>
              <w:t>Documento editado</w:t>
            </w:r>
          </w:p>
          <w:p w14:paraId="3028B47D" w14:textId="77777777" w:rsidR="0060220E" w:rsidRPr="0060220E" w:rsidRDefault="0060220E">
            <w:pPr>
              <w:numPr>
                <w:ilvl w:val="0"/>
                <w:numId w:val="8"/>
              </w:numPr>
              <w:tabs>
                <w:tab w:val="left" w:pos="5698"/>
              </w:tabs>
              <w:spacing w:before="0" w:after="0" w:line="259" w:lineRule="auto"/>
              <w:ind w:left="294" w:right="12" w:hanging="197"/>
              <w:contextualSpacing/>
              <w:jc w:val="left"/>
              <w:rPr>
                <w:sz w:val="20"/>
                <w:szCs w:val="18"/>
              </w:rPr>
            </w:pPr>
            <w:r w:rsidRPr="0060220E">
              <w:rPr>
                <w:sz w:val="20"/>
                <w:szCs w:val="18"/>
              </w:rPr>
              <w:t>Documento publicado en el portal web</w:t>
            </w:r>
          </w:p>
          <w:p w14:paraId="24A0E47F" w14:textId="77777777" w:rsidR="0060220E" w:rsidRPr="0060220E" w:rsidRDefault="0060220E">
            <w:pPr>
              <w:numPr>
                <w:ilvl w:val="0"/>
                <w:numId w:val="8"/>
              </w:numPr>
              <w:tabs>
                <w:tab w:val="left" w:pos="5698"/>
              </w:tabs>
              <w:spacing w:before="0" w:after="0" w:line="259" w:lineRule="auto"/>
              <w:ind w:left="294" w:right="12" w:hanging="197"/>
              <w:contextualSpacing/>
              <w:jc w:val="left"/>
              <w:rPr>
                <w:sz w:val="20"/>
                <w:szCs w:val="18"/>
              </w:rPr>
            </w:pPr>
            <w:r w:rsidRPr="0060220E">
              <w:rPr>
                <w:sz w:val="20"/>
                <w:szCs w:val="18"/>
              </w:rPr>
              <w:t>Enlace al documento enviado masivamente por correo-e</w:t>
            </w:r>
          </w:p>
          <w:p w14:paraId="4B6AA1BF" w14:textId="77777777" w:rsidR="0060220E" w:rsidRPr="0060220E" w:rsidRDefault="0060220E">
            <w:pPr>
              <w:numPr>
                <w:ilvl w:val="0"/>
                <w:numId w:val="8"/>
              </w:numPr>
              <w:tabs>
                <w:tab w:val="left" w:pos="5698"/>
              </w:tabs>
              <w:spacing w:before="0" w:after="0" w:line="259" w:lineRule="auto"/>
              <w:ind w:left="294" w:right="12" w:hanging="197"/>
              <w:contextualSpacing/>
              <w:jc w:val="left"/>
              <w:rPr>
                <w:sz w:val="20"/>
                <w:szCs w:val="18"/>
              </w:rPr>
            </w:pPr>
            <w:r w:rsidRPr="0060220E">
              <w:rPr>
                <w:sz w:val="20"/>
                <w:szCs w:val="18"/>
              </w:rPr>
              <w:t>Nº de Informes de seguimiento publicados</w:t>
            </w:r>
          </w:p>
          <w:p w14:paraId="54CBEC69" w14:textId="77777777" w:rsidR="0060220E" w:rsidRPr="0060220E" w:rsidRDefault="0060220E">
            <w:pPr>
              <w:numPr>
                <w:ilvl w:val="0"/>
                <w:numId w:val="8"/>
              </w:numPr>
              <w:tabs>
                <w:tab w:val="left" w:pos="5698"/>
              </w:tabs>
              <w:spacing w:before="0" w:after="0" w:line="259" w:lineRule="auto"/>
              <w:ind w:left="294" w:right="12" w:hanging="197"/>
              <w:contextualSpacing/>
              <w:jc w:val="left"/>
              <w:rPr>
                <w:sz w:val="20"/>
                <w:szCs w:val="18"/>
              </w:rPr>
            </w:pPr>
            <w:r w:rsidRPr="0060220E">
              <w:rPr>
                <w:sz w:val="20"/>
                <w:szCs w:val="18"/>
              </w:rPr>
              <w:t xml:space="preserve">Enlaces a los Informes de seguimiento enviados masivamente, según año del informe. </w:t>
            </w:r>
          </w:p>
        </w:tc>
      </w:tr>
      <w:tr w:rsidR="0060220E" w:rsidRPr="0060220E" w14:paraId="5ADB74B6" w14:textId="77777777" w:rsidTr="000F4CC1">
        <w:trPr>
          <w:trHeight w:val="544"/>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67FF82BC" w14:textId="77777777" w:rsidR="0060220E" w:rsidRPr="0060220E" w:rsidRDefault="0060220E" w:rsidP="0060220E">
            <w:pPr>
              <w:spacing w:before="0" w:after="0"/>
              <w:ind w:left="22"/>
              <w:jc w:val="left"/>
              <w:rPr>
                <w:sz w:val="20"/>
                <w:szCs w:val="20"/>
              </w:rPr>
            </w:pPr>
            <w:r w:rsidRPr="0060220E">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5047502B" w14:textId="77777777" w:rsidR="0060220E" w:rsidRPr="0060220E" w:rsidRDefault="0060220E" w:rsidP="007C5EA0">
            <w:pPr>
              <w:spacing w:before="0" w:after="0"/>
              <w:ind w:left="152"/>
              <w:jc w:val="left"/>
              <w:rPr>
                <w:sz w:val="20"/>
                <w:szCs w:val="20"/>
              </w:rPr>
            </w:pPr>
            <w:r w:rsidRPr="0060220E">
              <w:rPr>
                <w:sz w:val="20"/>
                <w:szCs w:val="20"/>
              </w:rPr>
              <w:t>Anual desde el inicio del Plan de Igualdad</w:t>
            </w:r>
          </w:p>
        </w:tc>
      </w:tr>
      <w:tr w:rsidR="0060220E" w:rsidRPr="0060220E" w14:paraId="6FCAD22A" w14:textId="77777777" w:rsidTr="00EA35D6">
        <w:trPr>
          <w:trHeight w:val="2515"/>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301943F5" w14:textId="77777777" w:rsidR="0060220E" w:rsidRPr="0060220E" w:rsidRDefault="0060220E" w:rsidP="00EA35D6">
            <w:pPr>
              <w:spacing w:before="0" w:after="0"/>
              <w:jc w:val="left"/>
              <w:rPr>
                <w:b/>
                <w:bCs/>
                <w:sz w:val="18"/>
                <w:szCs w:val="18"/>
              </w:rPr>
            </w:pPr>
            <w:r w:rsidRPr="0060220E">
              <w:rPr>
                <w:b/>
                <w:bCs/>
                <w:sz w:val="18"/>
                <w:szCs w:val="18"/>
              </w:rPr>
              <w:t>Observaciones</w:t>
            </w:r>
          </w:p>
          <w:p w14:paraId="5450DFAD" w14:textId="77777777" w:rsidR="0060220E" w:rsidRPr="0060220E" w:rsidRDefault="0060220E" w:rsidP="00EA35D6">
            <w:pPr>
              <w:spacing w:before="0" w:after="0"/>
              <w:jc w:val="left"/>
            </w:pPr>
          </w:p>
          <w:p w14:paraId="3DA1C93D" w14:textId="77777777" w:rsidR="0060220E" w:rsidRPr="0060220E" w:rsidRDefault="0060220E" w:rsidP="00EA35D6">
            <w:pPr>
              <w:spacing w:before="0" w:after="0"/>
              <w:jc w:val="left"/>
              <w:rPr>
                <w:sz w:val="18"/>
                <w:szCs w:val="18"/>
              </w:rPr>
            </w:pPr>
            <w:r w:rsidRPr="0060220E">
              <w:rPr>
                <w:sz w:val="18"/>
                <w:szCs w:val="18"/>
              </w:rPr>
              <w:t xml:space="preserve">Aplicación prioritaria: la publicación de los principales resultados del Diagnóstico, así como de las medidas acordadas en la Comisión Negociadora será inmediata al diseño del documento final tras su registro. La publicación de los Informes Anuales de Seguimiento será inmediata a su presentación y firma del acta de cada sesión de la Comisión de Seguimiento en la que se presenten. </w:t>
            </w:r>
          </w:p>
          <w:p w14:paraId="02B1F764" w14:textId="77777777" w:rsidR="0060220E" w:rsidRPr="0060220E" w:rsidRDefault="0060220E" w:rsidP="00EA35D6">
            <w:pPr>
              <w:spacing w:before="0" w:after="0"/>
              <w:jc w:val="left"/>
              <w:rPr>
                <w:sz w:val="18"/>
                <w:szCs w:val="18"/>
              </w:rPr>
            </w:pPr>
          </w:p>
          <w:p w14:paraId="006C5CB9" w14:textId="77777777" w:rsidR="0060220E" w:rsidRPr="0060220E" w:rsidRDefault="0060220E" w:rsidP="00EA35D6">
            <w:pPr>
              <w:spacing w:before="0" w:after="0"/>
              <w:jc w:val="left"/>
              <w:rPr>
                <w:sz w:val="20"/>
                <w:szCs w:val="20"/>
              </w:rPr>
            </w:pPr>
            <w:r w:rsidRPr="0060220E">
              <w:rPr>
                <w:sz w:val="18"/>
                <w:szCs w:val="18"/>
              </w:rPr>
              <w:t xml:space="preserve">Los centros de trabajo facilitarán el acceso a los documentos a todas las personas que lo soliciten. </w:t>
            </w:r>
          </w:p>
          <w:p w14:paraId="582DCAD2" w14:textId="77777777" w:rsidR="0060220E" w:rsidRPr="0060220E" w:rsidRDefault="0060220E" w:rsidP="00EA35D6">
            <w:pPr>
              <w:spacing w:before="0" w:after="0"/>
              <w:jc w:val="left"/>
              <w:rPr>
                <w:sz w:val="20"/>
                <w:szCs w:val="20"/>
              </w:rPr>
            </w:pPr>
          </w:p>
        </w:tc>
      </w:tr>
    </w:tbl>
    <w:p w14:paraId="1C28B4B1" w14:textId="77777777" w:rsidR="0060220E" w:rsidRPr="0060220E" w:rsidRDefault="0060220E" w:rsidP="0060220E"/>
    <w:p w14:paraId="4DC9A4A4" w14:textId="77777777" w:rsidR="00024B4E" w:rsidRDefault="00024B4E" w:rsidP="00024B4E">
      <w:pPr>
        <w:rPr>
          <w:b/>
          <w:bCs/>
        </w:rPr>
      </w:pPr>
      <w:r>
        <w:rPr>
          <w:b/>
          <w:bCs/>
          <w:color w:val="78BE20"/>
        </w:rPr>
        <w:br w:type="page"/>
      </w:r>
      <w:r w:rsidRPr="00124E5E">
        <w:rPr>
          <w:b/>
          <w:bCs/>
          <w:color w:val="78BE20"/>
        </w:rPr>
        <w:t xml:space="preserve">OBJETIVO. </w:t>
      </w:r>
      <w:r w:rsidRPr="00A16CA1">
        <w:rPr>
          <w:b/>
          <w:bCs/>
        </w:rPr>
        <w:t>Favorecer la generalización del uso no sexista del lenguaje en la actividad rutinaria administrativa.</w:t>
      </w:r>
    </w:p>
    <w:p w14:paraId="4BBE007B" w14:textId="0F13FF77" w:rsidR="00024B4E" w:rsidRPr="00124E5E" w:rsidRDefault="00024B4E" w:rsidP="00024B4E">
      <w:pPr>
        <w:pStyle w:val="Ttulo3"/>
      </w:pPr>
      <w:r>
        <w:t>Medida</w:t>
      </w:r>
      <w:r w:rsidRPr="00990586">
        <w:t xml:space="preserve"> </w:t>
      </w:r>
      <w:r>
        <w:t>2</w:t>
      </w:r>
    </w:p>
    <w:tbl>
      <w:tblPr>
        <w:tblStyle w:val="Tablaconcuadrcula"/>
        <w:tblW w:w="0" w:type="auto"/>
        <w:tblLook w:val="04A0" w:firstRow="1" w:lastRow="0" w:firstColumn="1" w:lastColumn="0" w:noHBand="0" w:noVBand="1"/>
      </w:tblPr>
      <w:tblGrid>
        <w:gridCol w:w="2402"/>
        <w:gridCol w:w="6072"/>
      </w:tblGrid>
      <w:tr w:rsidR="00ED3FF5" w:rsidRPr="00ED3FF5" w14:paraId="075087FD" w14:textId="77777777" w:rsidTr="000F4CC1">
        <w:trPr>
          <w:trHeight w:val="918"/>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5C3C1077" w14:textId="77777777" w:rsidR="00ED3FF5" w:rsidRPr="00ED3FF5" w:rsidRDefault="00ED3FF5" w:rsidP="00ED3FF5">
            <w:pPr>
              <w:spacing w:before="0" w:after="0"/>
              <w:ind w:left="22"/>
              <w:jc w:val="left"/>
              <w:rPr>
                <w:sz w:val="20"/>
                <w:szCs w:val="20"/>
              </w:rPr>
            </w:pPr>
            <w:bookmarkStart w:id="27" w:name="_Hlk117596081"/>
            <w:r w:rsidRPr="00ED3FF5">
              <w:rPr>
                <w:b/>
                <w:bCs/>
                <w:color w:val="FFFFFF" w:themeColor="background1"/>
              </w:rPr>
              <w:t>Difusión de la guía “GUÍATE. Comunicar de manera inclusiva, guía de lenguaje no sexista”</w:t>
            </w:r>
          </w:p>
        </w:tc>
      </w:tr>
      <w:tr w:rsidR="00ED3FF5" w:rsidRPr="00ED3FF5" w14:paraId="2C306761" w14:textId="77777777" w:rsidTr="000F4CC1">
        <w:trPr>
          <w:trHeight w:val="734"/>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377DB7D2" w14:textId="77777777" w:rsidR="00ED3FF5" w:rsidRPr="00ED3FF5" w:rsidRDefault="00ED3FF5" w:rsidP="00ED3FF5">
            <w:pPr>
              <w:spacing w:before="0" w:after="0"/>
              <w:ind w:left="22"/>
              <w:jc w:val="left"/>
              <w:rPr>
                <w:sz w:val="20"/>
                <w:szCs w:val="20"/>
              </w:rPr>
            </w:pPr>
            <w:r w:rsidRPr="00ED3FF5">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6D01D4FE" w14:textId="5D3414F2" w:rsidR="00ED3FF5" w:rsidRPr="00ED3FF5" w:rsidRDefault="00ED3FF5">
            <w:pPr>
              <w:numPr>
                <w:ilvl w:val="0"/>
                <w:numId w:val="8"/>
              </w:numPr>
              <w:tabs>
                <w:tab w:val="left" w:pos="5698"/>
              </w:tabs>
              <w:spacing w:before="0" w:after="0" w:line="259" w:lineRule="auto"/>
              <w:ind w:left="294" w:right="12" w:hanging="197"/>
              <w:contextualSpacing/>
              <w:jc w:val="left"/>
              <w:rPr>
                <w:sz w:val="20"/>
                <w:szCs w:val="18"/>
              </w:rPr>
            </w:pPr>
            <w:r w:rsidRPr="00ED3FF5">
              <w:rPr>
                <w:sz w:val="20"/>
                <w:szCs w:val="18"/>
              </w:rPr>
              <w:t>Personal de la Administración General</w:t>
            </w:r>
          </w:p>
          <w:p w14:paraId="7A550F14" w14:textId="77777777" w:rsidR="00ED3FF5" w:rsidRPr="00ED3FF5" w:rsidRDefault="00ED3FF5">
            <w:pPr>
              <w:numPr>
                <w:ilvl w:val="0"/>
                <w:numId w:val="8"/>
              </w:numPr>
              <w:tabs>
                <w:tab w:val="left" w:pos="5698"/>
              </w:tabs>
              <w:spacing w:before="0" w:after="0" w:line="259" w:lineRule="auto"/>
              <w:ind w:left="294" w:right="12" w:hanging="197"/>
              <w:contextualSpacing/>
              <w:jc w:val="left"/>
              <w:rPr>
                <w:sz w:val="20"/>
                <w:szCs w:val="18"/>
              </w:rPr>
            </w:pPr>
            <w:r w:rsidRPr="00ED3FF5">
              <w:rPr>
                <w:sz w:val="20"/>
                <w:szCs w:val="18"/>
              </w:rPr>
              <w:t xml:space="preserve">Ponentes de los cursos de formación </w:t>
            </w:r>
          </w:p>
        </w:tc>
      </w:tr>
      <w:tr w:rsidR="00ED3FF5" w:rsidRPr="00ED3FF5" w14:paraId="4B583750" w14:textId="77777777" w:rsidTr="000F4CC1">
        <w:trPr>
          <w:trHeight w:val="282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7FACA7B" w14:textId="77777777" w:rsidR="00ED3FF5" w:rsidRPr="00ED3FF5" w:rsidRDefault="00ED3FF5" w:rsidP="00ED3FF5">
            <w:pPr>
              <w:spacing w:before="0" w:after="0"/>
              <w:ind w:left="22"/>
              <w:jc w:val="left"/>
              <w:rPr>
                <w:sz w:val="20"/>
                <w:szCs w:val="20"/>
              </w:rPr>
            </w:pPr>
            <w:r w:rsidRPr="00ED3FF5">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4B36AD25" w14:textId="77777777" w:rsidR="00ED3FF5" w:rsidRPr="00ED3FF5" w:rsidRDefault="00ED3FF5">
            <w:pPr>
              <w:numPr>
                <w:ilvl w:val="0"/>
                <w:numId w:val="8"/>
              </w:numPr>
              <w:tabs>
                <w:tab w:val="left" w:pos="5698"/>
              </w:tabs>
              <w:spacing w:before="0" w:after="0" w:line="259" w:lineRule="auto"/>
              <w:ind w:left="294" w:right="12" w:hanging="197"/>
              <w:contextualSpacing/>
              <w:jc w:val="left"/>
              <w:rPr>
                <w:sz w:val="20"/>
                <w:szCs w:val="18"/>
              </w:rPr>
            </w:pPr>
            <w:r w:rsidRPr="00ED3FF5">
              <w:rPr>
                <w:sz w:val="20"/>
                <w:szCs w:val="18"/>
              </w:rPr>
              <w:t>Elaborar un correo-e informativo y descriptivo de la guía y sus utilidades, incluyendo la referencia al mandato de igualdad y la dirección web pública en donde se aloja la guía.</w:t>
            </w:r>
          </w:p>
          <w:p w14:paraId="0B9D43D4" w14:textId="77777777" w:rsidR="00ED3FF5" w:rsidRPr="00ED3FF5" w:rsidRDefault="00ED3FF5">
            <w:pPr>
              <w:numPr>
                <w:ilvl w:val="0"/>
                <w:numId w:val="8"/>
              </w:numPr>
              <w:tabs>
                <w:tab w:val="left" w:pos="5698"/>
              </w:tabs>
              <w:spacing w:before="0" w:after="0" w:line="259" w:lineRule="auto"/>
              <w:ind w:left="294" w:right="12" w:hanging="197"/>
              <w:contextualSpacing/>
              <w:jc w:val="left"/>
              <w:rPr>
                <w:sz w:val="20"/>
                <w:szCs w:val="18"/>
              </w:rPr>
            </w:pPr>
            <w:r w:rsidRPr="00ED3FF5">
              <w:rPr>
                <w:sz w:val="20"/>
                <w:szCs w:val="18"/>
              </w:rPr>
              <w:t xml:space="preserve">Enviar dicho correo informativo a todos los órganos administrativos de las diferentes Consejerías, de modo que las personas que ostentan mayor responsabilidad en el cumplimiento de los mandatos de igualdad conozcan el recurso de primera mano. </w:t>
            </w:r>
          </w:p>
          <w:p w14:paraId="2B3FD842" w14:textId="77777777" w:rsidR="00ED3FF5" w:rsidRPr="00ED3FF5" w:rsidRDefault="00ED3FF5">
            <w:pPr>
              <w:numPr>
                <w:ilvl w:val="0"/>
                <w:numId w:val="8"/>
              </w:numPr>
              <w:tabs>
                <w:tab w:val="left" w:pos="5698"/>
              </w:tabs>
              <w:spacing w:before="0" w:after="0" w:line="259" w:lineRule="auto"/>
              <w:ind w:left="294" w:right="12" w:hanging="197"/>
              <w:contextualSpacing/>
              <w:jc w:val="left"/>
              <w:rPr>
                <w:sz w:val="20"/>
                <w:szCs w:val="18"/>
              </w:rPr>
            </w:pPr>
            <w:r w:rsidRPr="00ED3FF5">
              <w:rPr>
                <w:sz w:val="20"/>
                <w:szCs w:val="18"/>
              </w:rPr>
              <w:t xml:space="preserve">Realizar un envío masivo de la guía por correo-e a todo el personal administrativo. </w:t>
            </w:r>
          </w:p>
        </w:tc>
      </w:tr>
      <w:tr w:rsidR="00ED3FF5" w:rsidRPr="00ED3FF5" w14:paraId="32967D9F" w14:textId="77777777" w:rsidTr="000F4CC1">
        <w:trPr>
          <w:trHeight w:val="515"/>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24EE204" w14:textId="77777777" w:rsidR="00ED3FF5" w:rsidRPr="00ED3FF5" w:rsidRDefault="00ED3FF5" w:rsidP="00ED3FF5">
            <w:pPr>
              <w:spacing w:before="0" w:after="0"/>
              <w:ind w:left="22"/>
              <w:jc w:val="left"/>
              <w:rPr>
                <w:sz w:val="20"/>
                <w:szCs w:val="20"/>
              </w:rPr>
            </w:pPr>
            <w:r w:rsidRPr="00ED3FF5">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774160C8" w14:textId="77777777" w:rsidR="00ED3FF5" w:rsidRPr="00ED3FF5" w:rsidRDefault="00ED3FF5" w:rsidP="00ED3FF5">
            <w:pPr>
              <w:spacing w:before="0" w:after="0"/>
              <w:jc w:val="left"/>
              <w:rPr>
                <w:sz w:val="20"/>
                <w:szCs w:val="20"/>
              </w:rPr>
            </w:pPr>
          </w:p>
          <w:p w14:paraId="222AD4BD" w14:textId="77777777" w:rsidR="00ED3FF5" w:rsidRPr="00ED3FF5" w:rsidRDefault="00ED3FF5" w:rsidP="00ED3FF5">
            <w:pPr>
              <w:tabs>
                <w:tab w:val="left" w:pos="5698"/>
              </w:tabs>
              <w:spacing w:before="0" w:after="0" w:line="259" w:lineRule="auto"/>
              <w:ind w:left="152" w:right="12"/>
              <w:contextualSpacing/>
              <w:jc w:val="left"/>
              <w:rPr>
                <w:sz w:val="20"/>
                <w:szCs w:val="18"/>
              </w:rPr>
            </w:pPr>
            <w:r w:rsidRPr="00ED3FF5">
              <w:rPr>
                <w:sz w:val="20"/>
                <w:szCs w:val="18"/>
              </w:rPr>
              <w:t>Documento de la guía</w:t>
            </w:r>
          </w:p>
          <w:p w14:paraId="603028B4" w14:textId="77777777" w:rsidR="00ED3FF5" w:rsidRPr="00ED3FF5" w:rsidRDefault="00ED3FF5" w:rsidP="00ED3FF5">
            <w:pPr>
              <w:spacing w:before="0" w:after="0"/>
              <w:jc w:val="left"/>
              <w:rPr>
                <w:sz w:val="20"/>
                <w:szCs w:val="20"/>
              </w:rPr>
            </w:pPr>
          </w:p>
        </w:tc>
      </w:tr>
      <w:tr w:rsidR="00ED3FF5" w:rsidRPr="00ED3FF5" w14:paraId="29D7E8D3" w14:textId="77777777" w:rsidTr="000F4CC1">
        <w:trPr>
          <w:trHeight w:val="84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25E1CBE" w14:textId="77777777" w:rsidR="00ED3FF5" w:rsidRPr="00ED3FF5" w:rsidRDefault="00ED3FF5" w:rsidP="00ED3FF5">
            <w:pPr>
              <w:spacing w:before="0" w:after="0"/>
              <w:ind w:left="22"/>
              <w:jc w:val="left"/>
              <w:rPr>
                <w:sz w:val="20"/>
                <w:szCs w:val="20"/>
              </w:rPr>
            </w:pPr>
            <w:r w:rsidRPr="00ED3FF5">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7F819902" w14:textId="77777777" w:rsidR="00ED3FF5" w:rsidRPr="00ED3FF5" w:rsidRDefault="00ED3FF5" w:rsidP="00ED3FF5">
            <w:pPr>
              <w:spacing w:before="0" w:after="0"/>
              <w:ind w:left="315" w:hanging="218"/>
            </w:pPr>
            <w:r w:rsidRPr="00ED3FF5">
              <w:rPr>
                <w:sz w:val="20"/>
                <w:szCs w:val="20"/>
              </w:rPr>
              <w:t>Órgano con competencias en materia de Igualdad</w:t>
            </w:r>
          </w:p>
        </w:tc>
      </w:tr>
      <w:tr w:rsidR="00ED3FF5" w:rsidRPr="00ED3FF5" w14:paraId="35FAC99B" w14:textId="77777777" w:rsidTr="000F4CC1">
        <w:trPr>
          <w:trHeight w:val="686"/>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B0BAD4F" w14:textId="77777777" w:rsidR="00ED3FF5" w:rsidRPr="00ED3FF5" w:rsidRDefault="00ED3FF5" w:rsidP="00ED3FF5">
            <w:pPr>
              <w:spacing w:before="0" w:after="0"/>
              <w:ind w:left="22"/>
              <w:jc w:val="left"/>
              <w:rPr>
                <w:sz w:val="20"/>
                <w:szCs w:val="20"/>
              </w:rPr>
            </w:pPr>
            <w:r w:rsidRPr="00ED3FF5">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A04948D" w14:textId="77777777" w:rsidR="00ED3FF5" w:rsidRPr="00ED3FF5" w:rsidRDefault="00ED3FF5" w:rsidP="00ED3FF5">
            <w:pPr>
              <w:spacing w:before="0" w:after="0"/>
              <w:jc w:val="left"/>
              <w:rPr>
                <w:sz w:val="20"/>
                <w:szCs w:val="20"/>
              </w:rPr>
            </w:pPr>
          </w:p>
          <w:p w14:paraId="4CC3D1CB" w14:textId="77777777" w:rsidR="00ED3FF5" w:rsidRPr="00ED3FF5" w:rsidRDefault="00ED3FF5">
            <w:pPr>
              <w:numPr>
                <w:ilvl w:val="0"/>
                <w:numId w:val="8"/>
              </w:numPr>
              <w:tabs>
                <w:tab w:val="left" w:pos="5698"/>
              </w:tabs>
              <w:spacing w:before="0" w:after="0" w:line="259" w:lineRule="auto"/>
              <w:ind w:left="294" w:right="12" w:hanging="197"/>
              <w:contextualSpacing/>
              <w:jc w:val="left"/>
              <w:rPr>
                <w:sz w:val="20"/>
                <w:szCs w:val="18"/>
              </w:rPr>
            </w:pPr>
            <w:r w:rsidRPr="00ED3FF5">
              <w:rPr>
                <w:sz w:val="20"/>
                <w:szCs w:val="18"/>
              </w:rPr>
              <w:t>Correo- e elaborado y enviado a los órganos administrativos de todas las Consejerías</w:t>
            </w:r>
          </w:p>
          <w:p w14:paraId="0F543A28" w14:textId="77777777" w:rsidR="00ED3FF5" w:rsidRPr="00ED3FF5" w:rsidRDefault="00ED3FF5">
            <w:pPr>
              <w:numPr>
                <w:ilvl w:val="0"/>
                <w:numId w:val="8"/>
              </w:numPr>
              <w:tabs>
                <w:tab w:val="left" w:pos="5698"/>
              </w:tabs>
              <w:spacing w:before="0" w:after="0" w:line="259" w:lineRule="auto"/>
              <w:ind w:left="294" w:right="12" w:hanging="197"/>
              <w:contextualSpacing/>
              <w:jc w:val="left"/>
              <w:rPr>
                <w:sz w:val="20"/>
                <w:szCs w:val="18"/>
              </w:rPr>
            </w:pPr>
            <w:r w:rsidRPr="00ED3FF5">
              <w:rPr>
                <w:sz w:val="20"/>
                <w:szCs w:val="18"/>
              </w:rPr>
              <w:t>Envío masivo del guía realizado por correo-e</w:t>
            </w:r>
          </w:p>
          <w:p w14:paraId="2D47C91B" w14:textId="77777777" w:rsidR="00ED3FF5" w:rsidRPr="00ED3FF5" w:rsidRDefault="00ED3FF5" w:rsidP="00ED3FF5">
            <w:pPr>
              <w:spacing w:before="0" w:after="0"/>
              <w:jc w:val="left"/>
              <w:rPr>
                <w:sz w:val="20"/>
                <w:szCs w:val="20"/>
              </w:rPr>
            </w:pPr>
          </w:p>
        </w:tc>
      </w:tr>
      <w:tr w:rsidR="00ED3FF5" w:rsidRPr="00ED3FF5" w14:paraId="6BC1576C" w14:textId="77777777" w:rsidTr="00ED3FF5">
        <w:trPr>
          <w:trHeight w:val="655"/>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1150D02" w14:textId="77777777" w:rsidR="00ED3FF5" w:rsidRPr="00ED3FF5" w:rsidRDefault="00ED3FF5" w:rsidP="00ED3FF5">
            <w:pPr>
              <w:spacing w:before="0" w:after="0"/>
              <w:ind w:left="22"/>
              <w:jc w:val="left"/>
              <w:rPr>
                <w:sz w:val="20"/>
                <w:szCs w:val="20"/>
              </w:rPr>
            </w:pPr>
            <w:r w:rsidRPr="00ED3FF5">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4FA0ED6D" w14:textId="77777777" w:rsidR="00ED3FF5" w:rsidRPr="00ED3FF5" w:rsidRDefault="00ED3FF5" w:rsidP="007C5EA0">
            <w:pPr>
              <w:spacing w:before="0" w:after="0"/>
              <w:ind w:left="152"/>
              <w:jc w:val="left"/>
              <w:rPr>
                <w:sz w:val="20"/>
                <w:szCs w:val="20"/>
              </w:rPr>
            </w:pPr>
            <w:r w:rsidRPr="00ED3FF5">
              <w:rPr>
                <w:sz w:val="20"/>
                <w:szCs w:val="20"/>
              </w:rPr>
              <w:t>Anual desde el inicio del Plan de Igualdad</w:t>
            </w:r>
          </w:p>
        </w:tc>
      </w:tr>
      <w:tr w:rsidR="00ED3FF5" w:rsidRPr="00ED3FF5" w14:paraId="165EF82E" w14:textId="77777777" w:rsidTr="00EA35D6">
        <w:trPr>
          <w:trHeight w:val="2110"/>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7343A87E" w14:textId="77777777" w:rsidR="00ED3FF5" w:rsidRPr="00ED3FF5" w:rsidRDefault="00ED3FF5" w:rsidP="00EA35D6">
            <w:pPr>
              <w:spacing w:before="0" w:after="0"/>
              <w:jc w:val="left"/>
              <w:rPr>
                <w:b/>
                <w:bCs/>
                <w:sz w:val="18"/>
                <w:szCs w:val="18"/>
              </w:rPr>
            </w:pPr>
            <w:r w:rsidRPr="00ED3FF5">
              <w:rPr>
                <w:b/>
                <w:bCs/>
                <w:sz w:val="18"/>
                <w:szCs w:val="18"/>
              </w:rPr>
              <w:t>Observaciones</w:t>
            </w:r>
          </w:p>
          <w:p w14:paraId="05A3D719" w14:textId="77777777" w:rsidR="00ED3FF5" w:rsidRPr="00ED3FF5" w:rsidRDefault="00ED3FF5" w:rsidP="00EA35D6">
            <w:pPr>
              <w:spacing w:before="0" w:after="0"/>
              <w:jc w:val="left"/>
              <w:rPr>
                <w:b/>
                <w:bCs/>
                <w:sz w:val="18"/>
                <w:szCs w:val="18"/>
              </w:rPr>
            </w:pPr>
          </w:p>
          <w:p w14:paraId="797F8E27" w14:textId="77777777" w:rsidR="00ED3FF5" w:rsidRPr="00ED3FF5" w:rsidRDefault="00ED3FF5" w:rsidP="00EA35D6">
            <w:pPr>
              <w:spacing w:before="0" w:after="0"/>
              <w:jc w:val="left"/>
              <w:rPr>
                <w:sz w:val="18"/>
                <w:szCs w:val="18"/>
              </w:rPr>
            </w:pPr>
            <w:r w:rsidRPr="00ED3FF5">
              <w:rPr>
                <w:sz w:val="18"/>
                <w:szCs w:val="18"/>
              </w:rPr>
              <w:t xml:space="preserve">La pertinencia de realizar el envío masivo anualmente será evaluada en el seno de la Comisión de Seguimiento, en función del alcance e impacto del primer envío. </w:t>
            </w:r>
          </w:p>
          <w:p w14:paraId="2D7D7797" w14:textId="77777777" w:rsidR="00ED3FF5" w:rsidRPr="00ED3FF5" w:rsidRDefault="00ED3FF5" w:rsidP="00EA35D6">
            <w:pPr>
              <w:spacing w:before="0" w:after="0"/>
              <w:jc w:val="left"/>
              <w:rPr>
                <w:sz w:val="16"/>
                <w:szCs w:val="16"/>
              </w:rPr>
            </w:pPr>
          </w:p>
          <w:p w14:paraId="4161946D" w14:textId="77777777" w:rsidR="00ED3FF5" w:rsidRPr="00ED3FF5" w:rsidRDefault="00ED3FF5" w:rsidP="00EA35D6">
            <w:pPr>
              <w:spacing w:before="0" w:after="0"/>
              <w:jc w:val="left"/>
              <w:rPr>
                <w:sz w:val="18"/>
                <w:szCs w:val="18"/>
              </w:rPr>
            </w:pPr>
            <w:r w:rsidRPr="00ED3FF5">
              <w:rPr>
                <w:sz w:val="18"/>
                <w:szCs w:val="18"/>
              </w:rPr>
              <w:t xml:space="preserve">Los centros de trabajo facilitarán el acceso a la guía a todas las personas que lo soliciten. </w:t>
            </w:r>
          </w:p>
          <w:p w14:paraId="5787F8C1" w14:textId="77777777" w:rsidR="00ED3FF5" w:rsidRPr="00ED3FF5" w:rsidRDefault="00ED3FF5" w:rsidP="00EA35D6">
            <w:pPr>
              <w:spacing w:before="0" w:after="0"/>
              <w:jc w:val="left"/>
              <w:rPr>
                <w:sz w:val="20"/>
                <w:szCs w:val="20"/>
              </w:rPr>
            </w:pPr>
          </w:p>
        </w:tc>
      </w:tr>
      <w:bookmarkEnd w:id="27"/>
    </w:tbl>
    <w:p w14:paraId="666D7391" w14:textId="0F13FF77" w:rsidR="00024B4E" w:rsidRDefault="00024B4E" w:rsidP="00024B4E"/>
    <w:p w14:paraId="0FF775F8" w14:textId="77777777" w:rsidR="00024B4E" w:rsidRDefault="00024B4E" w:rsidP="00024B4E">
      <w:pPr>
        <w:spacing w:line="259" w:lineRule="auto"/>
        <w:jc w:val="left"/>
        <w:rPr>
          <w:highlight w:val="magenta"/>
        </w:rPr>
      </w:pPr>
      <w:r>
        <w:rPr>
          <w:highlight w:val="magenta"/>
        </w:rPr>
        <w:br w:type="page"/>
      </w:r>
    </w:p>
    <w:p w14:paraId="5935E008" w14:textId="2874E195" w:rsidR="00D53270" w:rsidRDefault="00024B4E" w:rsidP="00D53270">
      <w:pPr>
        <w:rPr>
          <w:b/>
          <w:bCs/>
        </w:rPr>
      </w:pPr>
      <w:r w:rsidRPr="00124E5E">
        <w:rPr>
          <w:b/>
          <w:bCs/>
          <w:color w:val="78BE20"/>
        </w:rPr>
        <w:t>OBJETIVO</w:t>
      </w:r>
      <w:r>
        <w:rPr>
          <w:b/>
          <w:bCs/>
          <w:color w:val="78BE20"/>
        </w:rPr>
        <w:t xml:space="preserve">. </w:t>
      </w:r>
      <w:r w:rsidRPr="00124E5E">
        <w:rPr>
          <w:b/>
          <w:bCs/>
        </w:rPr>
        <w:t xml:space="preserve">Unificar el procedimiento de elaboración de los Informes de Evaluación del Impacto de Género </w:t>
      </w:r>
      <w:r w:rsidRPr="00124E5E">
        <w:rPr>
          <w:b/>
          <w:bCs/>
          <w:i/>
          <w:iCs/>
        </w:rPr>
        <w:t>ex - ante</w:t>
      </w:r>
      <w:r w:rsidRPr="00124E5E">
        <w:rPr>
          <w:b/>
          <w:bCs/>
        </w:rPr>
        <w:t xml:space="preserve"> que deben quedar insertos en las Memorias de Análisis de Impacto Normativo</w:t>
      </w:r>
      <w:r w:rsidR="00D53270">
        <w:rPr>
          <w:b/>
          <w:bCs/>
        </w:rPr>
        <w:t>.</w:t>
      </w:r>
    </w:p>
    <w:p w14:paraId="1872ACD8" w14:textId="48101459" w:rsidR="00D53270" w:rsidRPr="00D53270" w:rsidRDefault="00D53270" w:rsidP="00D53270">
      <w:pPr>
        <w:pStyle w:val="Ttulo3"/>
      </w:pPr>
      <w:r>
        <w:t>Medida</w:t>
      </w:r>
      <w:r w:rsidRPr="00D53270">
        <w:t xml:space="preserve"> 3</w:t>
      </w:r>
    </w:p>
    <w:tbl>
      <w:tblPr>
        <w:tblStyle w:val="Tablaconcuadrcula"/>
        <w:tblW w:w="0" w:type="auto"/>
        <w:tblLook w:val="04A0" w:firstRow="1" w:lastRow="0" w:firstColumn="1" w:lastColumn="0" w:noHBand="0" w:noVBand="1"/>
      </w:tblPr>
      <w:tblGrid>
        <w:gridCol w:w="2402"/>
        <w:gridCol w:w="6072"/>
      </w:tblGrid>
      <w:tr w:rsidR="00D53270" w:rsidRPr="00D53270" w14:paraId="5A9F88A3" w14:textId="77777777" w:rsidTr="00D34430">
        <w:trPr>
          <w:trHeight w:val="845"/>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025D9165" w14:textId="77777777" w:rsidR="00D53270" w:rsidRPr="00D53270" w:rsidRDefault="00D53270" w:rsidP="00D53270">
            <w:pPr>
              <w:spacing w:before="0" w:after="0"/>
              <w:ind w:left="22"/>
              <w:jc w:val="left"/>
              <w:rPr>
                <w:sz w:val="20"/>
                <w:szCs w:val="20"/>
              </w:rPr>
            </w:pPr>
            <w:r w:rsidRPr="00D53270">
              <w:rPr>
                <w:b/>
                <w:bCs/>
                <w:color w:val="FFFFFF" w:themeColor="background1"/>
              </w:rPr>
              <w:t xml:space="preserve">Establecimiento de unas directrices propias para la elaboración de los Informes de evaluación del impacto de género que acompañan los Expedientes de tramitación normativa. </w:t>
            </w:r>
          </w:p>
        </w:tc>
      </w:tr>
      <w:tr w:rsidR="00D53270" w:rsidRPr="00D53270" w14:paraId="6F83182C" w14:textId="77777777" w:rsidTr="00D34430">
        <w:trPr>
          <w:trHeight w:val="661"/>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3549B0DB" w14:textId="77777777" w:rsidR="00D53270" w:rsidRPr="00D53270" w:rsidRDefault="00D53270" w:rsidP="00D53270">
            <w:pPr>
              <w:spacing w:before="0" w:after="0"/>
              <w:ind w:left="22"/>
              <w:jc w:val="left"/>
              <w:rPr>
                <w:sz w:val="20"/>
                <w:szCs w:val="20"/>
              </w:rPr>
            </w:pPr>
            <w:r w:rsidRPr="00D53270">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671291A8"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Centros Directivos emisores de las normas</w:t>
            </w:r>
          </w:p>
          <w:p w14:paraId="4E6ABA8A"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Unidades administrativas encargadas de elaborar los Informes </w:t>
            </w:r>
          </w:p>
        </w:tc>
      </w:tr>
      <w:tr w:rsidR="00D53270" w:rsidRPr="00D53270" w14:paraId="0970070F" w14:textId="77777777" w:rsidTr="00D34430">
        <w:trPr>
          <w:trHeight w:val="3523"/>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3433A3C" w14:textId="77777777" w:rsidR="00D53270" w:rsidRPr="00D53270" w:rsidRDefault="00D53270" w:rsidP="00D53270">
            <w:pPr>
              <w:spacing w:before="0" w:after="0"/>
              <w:ind w:left="22"/>
              <w:jc w:val="left"/>
              <w:rPr>
                <w:sz w:val="20"/>
                <w:szCs w:val="20"/>
              </w:rPr>
            </w:pPr>
            <w:r w:rsidRPr="00D53270">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151DD928"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Realización de una recogida de información cualitativa sobre las necesidades manifestadas por las unidades administrativas que vienen realizando los informes de evaluación del impacto de género. </w:t>
            </w:r>
          </w:p>
          <w:p w14:paraId="35208057"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Contrastar los diferentes procedimientos existentes a nivel estatal y extraer las mejores prácticas. </w:t>
            </w:r>
          </w:p>
          <w:p w14:paraId="3AE854E9"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Adaptar el procedimiento a las necesidades y circunstancias propias de la Administración General de La Rioja.   </w:t>
            </w:r>
          </w:p>
          <w:p w14:paraId="7E0E372C"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Plasmar el procedimiento en un documento guía práctico y con lista de comprobación que sea acorde a normativa. </w:t>
            </w:r>
          </w:p>
          <w:p w14:paraId="02678C99"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Difundir el procedimiento entre las Consejerías y cada uno de sus órganos administrativos.</w:t>
            </w:r>
          </w:p>
          <w:p w14:paraId="59897590"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Publicación del modelo en el área de recursos del órgano con competencias en Igualdad.</w:t>
            </w:r>
          </w:p>
        </w:tc>
      </w:tr>
      <w:tr w:rsidR="00D53270" w:rsidRPr="00D53270" w14:paraId="6B6EB102" w14:textId="77777777" w:rsidTr="000F4CC1">
        <w:trPr>
          <w:trHeight w:val="974"/>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9CB8A97" w14:textId="77777777" w:rsidR="00D53270" w:rsidRPr="00D53270" w:rsidRDefault="00D53270" w:rsidP="00D53270">
            <w:pPr>
              <w:spacing w:before="0" w:after="0"/>
              <w:ind w:left="22"/>
              <w:jc w:val="left"/>
              <w:rPr>
                <w:sz w:val="20"/>
                <w:szCs w:val="20"/>
              </w:rPr>
            </w:pPr>
            <w:r w:rsidRPr="00D53270">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009088EB"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Necesidades cualitativas de las personas implicadas.</w:t>
            </w:r>
          </w:p>
          <w:p w14:paraId="43E14C7A"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Normativa vigente.</w:t>
            </w:r>
          </w:p>
          <w:p w14:paraId="353FCB80"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Buenas prácticas y guías en la materia.</w:t>
            </w:r>
          </w:p>
        </w:tc>
      </w:tr>
      <w:tr w:rsidR="00D53270" w:rsidRPr="00D53270" w14:paraId="6F1E59C3" w14:textId="77777777" w:rsidTr="000F4CC1">
        <w:trPr>
          <w:trHeight w:val="83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0898CD2" w14:textId="77777777" w:rsidR="00D53270" w:rsidRPr="00D53270" w:rsidRDefault="00D53270" w:rsidP="00D53270">
            <w:pPr>
              <w:spacing w:before="0" w:after="0"/>
              <w:ind w:left="22"/>
              <w:jc w:val="left"/>
              <w:rPr>
                <w:sz w:val="20"/>
                <w:szCs w:val="20"/>
              </w:rPr>
            </w:pPr>
            <w:r w:rsidRPr="00D53270">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07EC07C5"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Órgano con competencias en materia de Igualdad </w:t>
            </w:r>
          </w:p>
          <w:p w14:paraId="04F2BBE1"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Comisión Interdepartamental para la igualdad efectiva de mujeres y hombres</w:t>
            </w:r>
          </w:p>
        </w:tc>
      </w:tr>
      <w:tr w:rsidR="00D53270" w:rsidRPr="00D53270" w14:paraId="027956F9" w14:textId="77777777" w:rsidTr="000F4CC1">
        <w:trPr>
          <w:trHeight w:val="1694"/>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A66826D" w14:textId="77777777" w:rsidR="00D53270" w:rsidRPr="00D53270" w:rsidRDefault="00D53270" w:rsidP="00D53270">
            <w:pPr>
              <w:spacing w:before="0" w:after="0"/>
              <w:ind w:left="22"/>
              <w:jc w:val="left"/>
              <w:rPr>
                <w:sz w:val="20"/>
                <w:szCs w:val="20"/>
              </w:rPr>
            </w:pPr>
            <w:r w:rsidRPr="00D53270">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49A681B7"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Nº de personas entrevistadas durante el proceso de identificación de necesidades, según sexo y Consejería</w:t>
            </w:r>
          </w:p>
          <w:p w14:paraId="13CB1589"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Nº de procedimientos tenidos en cuenta, según Administración Autonómica</w:t>
            </w:r>
          </w:p>
          <w:p w14:paraId="7105EA41"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Documento guía elaborado</w:t>
            </w:r>
          </w:p>
          <w:p w14:paraId="0AF8B661"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Documento guía publicado y difundido</w:t>
            </w:r>
          </w:p>
        </w:tc>
      </w:tr>
      <w:tr w:rsidR="00D53270" w:rsidRPr="00D53270" w14:paraId="65586607" w14:textId="77777777" w:rsidTr="007C5EA0">
        <w:trPr>
          <w:trHeight w:val="425"/>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40A369F" w14:textId="77777777" w:rsidR="00D53270" w:rsidRPr="00D53270" w:rsidRDefault="00D53270" w:rsidP="00D53270">
            <w:pPr>
              <w:spacing w:before="0" w:after="0"/>
              <w:ind w:left="22"/>
              <w:jc w:val="left"/>
              <w:rPr>
                <w:sz w:val="20"/>
                <w:szCs w:val="20"/>
              </w:rPr>
            </w:pPr>
            <w:r w:rsidRPr="00D53270">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16DE3308" w14:textId="2F42B7DE" w:rsidR="00D53270" w:rsidRPr="00D53270" w:rsidRDefault="00D53270" w:rsidP="007C5EA0">
            <w:pPr>
              <w:spacing w:before="0" w:after="0"/>
              <w:ind w:left="152"/>
              <w:jc w:val="left"/>
              <w:rPr>
                <w:sz w:val="20"/>
                <w:szCs w:val="20"/>
              </w:rPr>
            </w:pPr>
            <w:r w:rsidRPr="00D53270">
              <w:rPr>
                <w:sz w:val="20"/>
                <w:szCs w:val="20"/>
              </w:rPr>
              <w:t xml:space="preserve">Año </w:t>
            </w:r>
            <w:r w:rsidR="00D34430">
              <w:rPr>
                <w:sz w:val="20"/>
                <w:szCs w:val="20"/>
              </w:rPr>
              <w:t>2</w:t>
            </w:r>
            <w:r w:rsidRPr="00D53270">
              <w:rPr>
                <w:sz w:val="20"/>
                <w:szCs w:val="20"/>
              </w:rPr>
              <w:t xml:space="preserve"> desde el inicio del Plan de Igualdad</w:t>
            </w:r>
          </w:p>
        </w:tc>
      </w:tr>
      <w:tr w:rsidR="00D53270" w:rsidRPr="00D53270" w14:paraId="204BEDCB" w14:textId="77777777" w:rsidTr="000F4CC1">
        <w:trPr>
          <w:trHeight w:val="1963"/>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0B4F0AFA" w14:textId="77777777" w:rsidR="00D53270" w:rsidRPr="00D53270" w:rsidRDefault="00D53270" w:rsidP="00D53270">
            <w:pPr>
              <w:spacing w:before="0" w:after="0"/>
              <w:jc w:val="left"/>
              <w:rPr>
                <w:b/>
                <w:bCs/>
                <w:sz w:val="18"/>
                <w:szCs w:val="18"/>
              </w:rPr>
            </w:pPr>
            <w:r w:rsidRPr="00D53270">
              <w:rPr>
                <w:b/>
                <w:bCs/>
                <w:sz w:val="18"/>
                <w:szCs w:val="18"/>
              </w:rPr>
              <w:t>Observaciones</w:t>
            </w:r>
          </w:p>
          <w:p w14:paraId="33152E1F" w14:textId="07CE2CBD" w:rsidR="00D53270" w:rsidRDefault="00D53270" w:rsidP="00D53270">
            <w:pPr>
              <w:spacing w:before="0" w:after="0"/>
              <w:jc w:val="left"/>
              <w:rPr>
                <w:sz w:val="18"/>
                <w:szCs w:val="18"/>
              </w:rPr>
            </w:pPr>
            <w:r w:rsidRPr="00D53270">
              <w:rPr>
                <w:sz w:val="18"/>
                <w:szCs w:val="18"/>
              </w:rPr>
              <w:t xml:space="preserve">Para dar un cumplimiento eficaz al artículo 19 de </w:t>
            </w:r>
            <w:r w:rsidRPr="00D53270">
              <w:rPr>
                <w:i/>
                <w:iCs/>
                <w:sz w:val="18"/>
                <w:szCs w:val="18"/>
              </w:rPr>
              <w:t xml:space="preserve">la ley orgánica de igualdad 3/2007 </w:t>
            </w:r>
            <w:r w:rsidRPr="00D53270">
              <w:rPr>
                <w:sz w:val="18"/>
                <w:szCs w:val="18"/>
              </w:rPr>
              <w:t xml:space="preserve">y garantizar que las Memorias de Análisis del Impacto Normativo justifiquen adecuadamente un impacto de género positivo, es preciso que todas las unidades administrativas encargadas de la elaboración de los Informes de Impacto de Género puedan contar con un procedimiento común. Asimismo, este procedimiento facilitará la labor de la Dirección General de Igualdad como órgano de seguimiento y de las Unidades de Igualdad en su apoyo técnico a los Centros Directivos. </w:t>
            </w:r>
          </w:p>
          <w:p w14:paraId="0B9714C2" w14:textId="77777777" w:rsidR="00D34430" w:rsidRDefault="00D34430" w:rsidP="00D53270">
            <w:pPr>
              <w:spacing w:before="0" w:after="0"/>
              <w:jc w:val="left"/>
              <w:rPr>
                <w:sz w:val="18"/>
                <w:szCs w:val="18"/>
              </w:rPr>
            </w:pPr>
          </w:p>
          <w:p w14:paraId="7264CE51" w14:textId="5F3BBD04" w:rsidR="00D34430" w:rsidRPr="00D53270" w:rsidRDefault="00D34430" w:rsidP="00D53270">
            <w:pPr>
              <w:spacing w:before="0" w:after="0"/>
              <w:jc w:val="left"/>
              <w:rPr>
                <w:b/>
                <w:bCs/>
                <w:sz w:val="20"/>
                <w:szCs w:val="20"/>
              </w:rPr>
            </w:pPr>
            <w:r>
              <w:rPr>
                <w:sz w:val="18"/>
                <w:szCs w:val="18"/>
              </w:rPr>
              <w:t>En cualquier caso, l</w:t>
            </w:r>
            <w:r w:rsidRPr="00D34430">
              <w:rPr>
                <w:sz w:val="18"/>
                <w:szCs w:val="18"/>
              </w:rPr>
              <w:t>a regulación concreta de la medida queda supeditada a la aprobación de la ley de igualdad de La Rioja, actualmente en fase de tramitación.</w:t>
            </w:r>
          </w:p>
        </w:tc>
      </w:tr>
    </w:tbl>
    <w:p w14:paraId="3EACB2C2" w14:textId="5B247140" w:rsidR="00024B4E" w:rsidRPr="00CC6452" w:rsidRDefault="00D53270" w:rsidP="00D53270">
      <w:pPr>
        <w:rPr>
          <w:b/>
          <w:bCs/>
        </w:rPr>
      </w:pPr>
      <w:r w:rsidRPr="00D53270">
        <w:br w:type="page"/>
      </w:r>
      <w:r w:rsidR="00024B4E" w:rsidRPr="00EF68AE">
        <w:rPr>
          <w:b/>
          <w:bCs/>
          <w:color w:val="78BE20"/>
        </w:rPr>
        <w:t>OBJETIVO.</w:t>
      </w:r>
      <w:r w:rsidR="00024B4E" w:rsidRPr="00EF68AE">
        <w:rPr>
          <w:color w:val="78BE20"/>
        </w:rPr>
        <w:t xml:space="preserve"> </w:t>
      </w:r>
      <w:r w:rsidR="00024B4E" w:rsidRPr="00CA73AA">
        <w:rPr>
          <w:b/>
          <w:bCs/>
        </w:rPr>
        <w:t>Garantizar el cumplimiento del artículo 55 de la ley orgánica de igualdad que establece que todas las convocatorias de pruebas selectivas para acceso al empleo público deberán estar acompañadas de un informe de evaluación del impacto de género</w:t>
      </w:r>
      <w:r w:rsidR="00024B4E" w:rsidRPr="00CC6452">
        <w:rPr>
          <w:b/>
          <w:bCs/>
        </w:rPr>
        <w:t>.</w:t>
      </w:r>
    </w:p>
    <w:p w14:paraId="025293FF" w14:textId="6A987405" w:rsidR="00024B4E" w:rsidRDefault="00024B4E" w:rsidP="00024B4E">
      <w:pPr>
        <w:pStyle w:val="Ttulo3"/>
      </w:pPr>
      <w:r w:rsidRPr="00024B4E">
        <w:t xml:space="preserve">Medida </w:t>
      </w:r>
      <w:r>
        <w:t xml:space="preserve">4 </w:t>
      </w:r>
    </w:p>
    <w:tbl>
      <w:tblPr>
        <w:tblStyle w:val="Tablaconcuadrcula"/>
        <w:tblW w:w="0" w:type="auto"/>
        <w:tblLook w:val="04A0" w:firstRow="1" w:lastRow="0" w:firstColumn="1" w:lastColumn="0" w:noHBand="0" w:noVBand="1"/>
      </w:tblPr>
      <w:tblGrid>
        <w:gridCol w:w="2402"/>
        <w:gridCol w:w="6072"/>
      </w:tblGrid>
      <w:tr w:rsidR="00D53270" w:rsidRPr="00D53270" w14:paraId="796BD764" w14:textId="77777777" w:rsidTr="000F4CC1">
        <w:trPr>
          <w:trHeight w:val="1134"/>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612C3EA3" w14:textId="77777777" w:rsidR="00D53270" w:rsidRPr="00D53270" w:rsidRDefault="00D53270" w:rsidP="00D53270">
            <w:pPr>
              <w:spacing w:before="0" w:after="0"/>
              <w:ind w:left="22"/>
              <w:jc w:val="left"/>
            </w:pPr>
            <w:r w:rsidRPr="00D53270">
              <w:rPr>
                <w:b/>
                <w:bCs/>
                <w:color w:val="FFFFFF" w:themeColor="background1"/>
              </w:rPr>
              <w:t xml:space="preserve">Elaboración de un modelo de informe de evaluación del impacto de género para acompañar a las convocatorias de acceso al empleo público. </w:t>
            </w:r>
          </w:p>
        </w:tc>
      </w:tr>
      <w:tr w:rsidR="00D53270" w:rsidRPr="00D53270" w14:paraId="5F2868DB" w14:textId="77777777" w:rsidTr="000F4CC1">
        <w:trPr>
          <w:trHeight w:val="636"/>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393311E9" w14:textId="77777777" w:rsidR="00D53270" w:rsidRPr="00D53270" w:rsidRDefault="00D53270" w:rsidP="00D53270">
            <w:pPr>
              <w:spacing w:before="0" w:after="0"/>
              <w:ind w:left="22"/>
              <w:jc w:val="left"/>
              <w:rPr>
                <w:sz w:val="20"/>
                <w:szCs w:val="20"/>
              </w:rPr>
            </w:pPr>
            <w:r w:rsidRPr="00D53270">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7742F7C6" w14:textId="77777777" w:rsidR="00D53270" w:rsidRPr="00D53270" w:rsidRDefault="00D53270" w:rsidP="00D53270">
            <w:pPr>
              <w:spacing w:before="0" w:after="0"/>
              <w:ind w:left="315" w:hanging="218"/>
              <w:rPr>
                <w:sz w:val="20"/>
                <w:szCs w:val="18"/>
              </w:rPr>
            </w:pPr>
            <w:r w:rsidRPr="00D53270">
              <w:rPr>
                <w:sz w:val="20"/>
                <w:szCs w:val="20"/>
              </w:rPr>
              <w:t>ERAP</w:t>
            </w:r>
          </w:p>
        </w:tc>
      </w:tr>
      <w:tr w:rsidR="00D53270" w:rsidRPr="00D53270" w14:paraId="57A62AE2" w14:textId="77777777" w:rsidTr="000F4CC1">
        <w:trPr>
          <w:trHeight w:val="2966"/>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C4B7233" w14:textId="77777777" w:rsidR="00D53270" w:rsidRPr="00D53270" w:rsidRDefault="00D53270" w:rsidP="00D53270">
            <w:pPr>
              <w:spacing w:before="0" w:after="0"/>
              <w:ind w:left="22"/>
              <w:jc w:val="left"/>
              <w:rPr>
                <w:sz w:val="20"/>
                <w:szCs w:val="20"/>
              </w:rPr>
            </w:pPr>
            <w:r w:rsidRPr="00D53270">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568E3CB"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Realización de un contraste cualitativo entre informes previos. </w:t>
            </w:r>
          </w:p>
          <w:p w14:paraId="03F7D7B7"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Enumeración de las directrices básicas para la elaboración de los informes, incluyendo la recomendación de que incluyan en sus bases el compromiso expreso de que el Tribunal velará por el principio de igualdad, acorde a normativa</w:t>
            </w:r>
          </w:p>
          <w:p w14:paraId="561B2959"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Identificación de las fuentes de datos útiles para la comprobación de la composición por sexo de los Cuerpos, Escalas o Grupos a cubrir en cada Consejería. </w:t>
            </w:r>
          </w:p>
          <w:p w14:paraId="6B0E1911"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Envío del modelo de informe por correo-e.</w:t>
            </w:r>
          </w:p>
          <w:p w14:paraId="16E483EF"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Publicación del modelo en el área de recursos del órgano con competencias en Igualdad.</w:t>
            </w:r>
          </w:p>
        </w:tc>
      </w:tr>
      <w:tr w:rsidR="00D53270" w:rsidRPr="00D53270" w14:paraId="6C9C23D4" w14:textId="77777777" w:rsidTr="000F4CC1">
        <w:trPr>
          <w:trHeight w:val="99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CC80FBF" w14:textId="77777777" w:rsidR="00D53270" w:rsidRPr="00D53270" w:rsidRDefault="00D53270" w:rsidP="00D53270">
            <w:pPr>
              <w:spacing w:before="0" w:after="0"/>
              <w:ind w:left="22"/>
              <w:jc w:val="left"/>
              <w:rPr>
                <w:sz w:val="20"/>
                <w:szCs w:val="20"/>
              </w:rPr>
            </w:pPr>
            <w:r w:rsidRPr="00D53270">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4210DE97"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Informes previos.</w:t>
            </w:r>
          </w:p>
          <w:p w14:paraId="1C381648"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Normativa vigente. </w:t>
            </w:r>
          </w:p>
          <w:p w14:paraId="2EBB9050"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Datos estadísticos desagregados por sexo. </w:t>
            </w:r>
          </w:p>
        </w:tc>
      </w:tr>
      <w:tr w:rsidR="00D53270" w:rsidRPr="00D53270" w14:paraId="765AEE0C" w14:textId="77777777" w:rsidTr="000F4CC1">
        <w:trPr>
          <w:trHeight w:val="836"/>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3D1762E5" w14:textId="77777777" w:rsidR="00D53270" w:rsidRPr="00D53270" w:rsidRDefault="00D53270" w:rsidP="00D53270">
            <w:pPr>
              <w:spacing w:before="0" w:after="0"/>
              <w:ind w:left="22"/>
              <w:jc w:val="left"/>
              <w:rPr>
                <w:sz w:val="20"/>
                <w:szCs w:val="20"/>
              </w:rPr>
            </w:pPr>
            <w:r w:rsidRPr="00D53270">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4539ADCD"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Órgano con competencias en materia de Igualdad </w:t>
            </w:r>
          </w:p>
          <w:p w14:paraId="50CD7DAB"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Órgano con competencias en materia de Función Pública </w:t>
            </w:r>
          </w:p>
        </w:tc>
      </w:tr>
      <w:tr w:rsidR="00D53270" w:rsidRPr="00D53270" w14:paraId="3A29D7DE" w14:textId="77777777" w:rsidTr="00A1431D">
        <w:trPr>
          <w:trHeight w:val="878"/>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96B35E7" w14:textId="77777777" w:rsidR="00D53270" w:rsidRPr="00D53270" w:rsidRDefault="00D53270" w:rsidP="00D53270">
            <w:pPr>
              <w:spacing w:before="0" w:after="0"/>
              <w:ind w:left="22"/>
              <w:jc w:val="left"/>
              <w:rPr>
                <w:sz w:val="20"/>
                <w:szCs w:val="20"/>
              </w:rPr>
            </w:pPr>
            <w:r w:rsidRPr="00D53270">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2829F828"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Nº y origen de informes previos contrastados. </w:t>
            </w:r>
          </w:p>
          <w:p w14:paraId="4918094E" w14:textId="1A911626"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Modelo de informe publicado y difundido.</w:t>
            </w:r>
          </w:p>
        </w:tc>
      </w:tr>
      <w:tr w:rsidR="00D53270" w:rsidRPr="00D53270" w14:paraId="646888B3" w14:textId="77777777" w:rsidTr="000F4CC1">
        <w:trPr>
          <w:trHeight w:val="822"/>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24B3404" w14:textId="77777777" w:rsidR="00D53270" w:rsidRPr="00D53270" w:rsidRDefault="00D53270" w:rsidP="00D53270">
            <w:pPr>
              <w:spacing w:before="0" w:after="0"/>
              <w:ind w:left="22"/>
              <w:jc w:val="left"/>
              <w:rPr>
                <w:sz w:val="20"/>
                <w:szCs w:val="20"/>
              </w:rPr>
            </w:pPr>
            <w:r w:rsidRPr="00D53270">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4A176B86" w14:textId="77777777" w:rsidR="00D53270" w:rsidRPr="00D53270" w:rsidRDefault="00D53270" w:rsidP="00D53270">
            <w:pPr>
              <w:spacing w:before="0" w:after="0"/>
              <w:jc w:val="left"/>
              <w:rPr>
                <w:sz w:val="20"/>
                <w:szCs w:val="20"/>
              </w:rPr>
            </w:pPr>
          </w:p>
          <w:p w14:paraId="7F84C712" w14:textId="77777777" w:rsidR="00D53270" w:rsidRPr="00D53270" w:rsidRDefault="00D53270" w:rsidP="007C5EA0">
            <w:pPr>
              <w:spacing w:before="0" w:after="0"/>
              <w:ind w:left="152"/>
              <w:jc w:val="left"/>
              <w:rPr>
                <w:sz w:val="20"/>
                <w:szCs w:val="20"/>
              </w:rPr>
            </w:pPr>
            <w:r w:rsidRPr="00D53270">
              <w:rPr>
                <w:sz w:val="20"/>
                <w:szCs w:val="20"/>
              </w:rPr>
              <w:t>Año 2 desde el inicio del Plan de Igualdad</w:t>
            </w:r>
          </w:p>
          <w:p w14:paraId="23D6041D" w14:textId="77777777" w:rsidR="00D53270" w:rsidRPr="00D53270" w:rsidRDefault="00D53270" w:rsidP="00D53270">
            <w:pPr>
              <w:spacing w:before="0" w:after="0"/>
              <w:jc w:val="left"/>
              <w:rPr>
                <w:sz w:val="20"/>
                <w:szCs w:val="20"/>
              </w:rPr>
            </w:pPr>
          </w:p>
        </w:tc>
      </w:tr>
      <w:tr w:rsidR="00D53270" w:rsidRPr="00D53270" w14:paraId="237CFCEE" w14:textId="77777777" w:rsidTr="00EA35D6">
        <w:trPr>
          <w:trHeight w:val="1584"/>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195135C3" w14:textId="06364A0C" w:rsidR="00D53270" w:rsidRDefault="00D53270" w:rsidP="00D53270">
            <w:pPr>
              <w:spacing w:before="0" w:after="0"/>
              <w:jc w:val="left"/>
              <w:rPr>
                <w:b/>
                <w:bCs/>
                <w:sz w:val="18"/>
                <w:szCs w:val="18"/>
              </w:rPr>
            </w:pPr>
            <w:r w:rsidRPr="00D53270">
              <w:rPr>
                <w:b/>
                <w:bCs/>
                <w:sz w:val="18"/>
                <w:szCs w:val="18"/>
              </w:rPr>
              <w:t>Observaciones</w:t>
            </w:r>
          </w:p>
          <w:p w14:paraId="6BC3595E" w14:textId="77777777" w:rsidR="00EA35D6" w:rsidRPr="00D53270" w:rsidRDefault="00EA35D6" w:rsidP="00D53270">
            <w:pPr>
              <w:spacing w:before="0" w:after="0"/>
              <w:jc w:val="left"/>
              <w:rPr>
                <w:b/>
                <w:bCs/>
                <w:sz w:val="18"/>
                <w:szCs w:val="18"/>
              </w:rPr>
            </w:pPr>
          </w:p>
          <w:p w14:paraId="6FE79CF3" w14:textId="40484F07" w:rsidR="00D53270" w:rsidRPr="00D53270" w:rsidRDefault="00D53270" w:rsidP="00EA35D6">
            <w:pPr>
              <w:spacing w:before="0" w:after="0"/>
              <w:jc w:val="left"/>
              <w:rPr>
                <w:b/>
                <w:bCs/>
                <w:sz w:val="20"/>
                <w:szCs w:val="20"/>
              </w:rPr>
            </w:pPr>
            <w:r w:rsidRPr="00D53270">
              <w:rPr>
                <w:sz w:val="18"/>
                <w:szCs w:val="18"/>
              </w:rPr>
              <w:t xml:space="preserve">El proceso de elaboración de este modelo de informe podrá implementarse de manera simultánea a la elaboración de las directrices para la realización de los Informes de evaluación del impacto de género de la normativa. </w:t>
            </w:r>
          </w:p>
        </w:tc>
      </w:tr>
    </w:tbl>
    <w:p w14:paraId="1BEB41A4" w14:textId="43C6FE34" w:rsidR="00332DE1" w:rsidRDefault="00332DE1" w:rsidP="00024B4E">
      <w:r>
        <w:br w:type="page"/>
      </w:r>
    </w:p>
    <w:p w14:paraId="1B8BAB1A" w14:textId="77777777" w:rsidR="00024B4E" w:rsidRDefault="00024B4E" w:rsidP="00024B4E">
      <w:pPr>
        <w:spacing w:line="259" w:lineRule="auto"/>
        <w:rPr>
          <w:b/>
          <w:bCs/>
        </w:rPr>
      </w:pPr>
      <w:r w:rsidRPr="00124E5E">
        <w:rPr>
          <w:rFonts w:eastAsiaTheme="majorEastAsia" w:cstheme="majorBidi"/>
          <w:b/>
          <w:bCs/>
          <w:iCs/>
          <w:snapToGrid w:val="0"/>
          <w:color w:val="78BE20"/>
          <w:sz w:val="24"/>
          <w:szCs w:val="24"/>
        </w:rPr>
        <w:t xml:space="preserve">OBJETIVO. </w:t>
      </w:r>
      <w:r w:rsidRPr="00124E5E">
        <w:rPr>
          <w:b/>
          <w:bCs/>
        </w:rPr>
        <w:t>Facilitar la aplicación del principio de igualdad y de la estrategia de la transversalidad de género en la actividad administrativa de cada Departamento</w:t>
      </w:r>
      <w:r w:rsidRPr="00CC6452">
        <w:rPr>
          <w:b/>
          <w:bCs/>
        </w:rPr>
        <w:t>.</w:t>
      </w:r>
    </w:p>
    <w:p w14:paraId="3D7B3EB2" w14:textId="08C698BC" w:rsidR="00024B4E" w:rsidRDefault="00024B4E" w:rsidP="00024B4E">
      <w:pPr>
        <w:pStyle w:val="Ttulo3"/>
      </w:pPr>
      <w:r w:rsidRPr="00024B4E">
        <w:t xml:space="preserve">Medida </w:t>
      </w:r>
      <w:r>
        <w:t xml:space="preserve">5 </w:t>
      </w:r>
    </w:p>
    <w:tbl>
      <w:tblPr>
        <w:tblStyle w:val="Tablaconcuadrcula"/>
        <w:tblW w:w="0" w:type="auto"/>
        <w:tblLook w:val="04A0" w:firstRow="1" w:lastRow="0" w:firstColumn="1" w:lastColumn="0" w:noHBand="0" w:noVBand="1"/>
      </w:tblPr>
      <w:tblGrid>
        <w:gridCol w:w="2402"/>
        <w:gridCol w:w="6072"/>
      </w:tblGrid>
      <w:tr w:rsidR="00D53270" w:rsidRPr="00D53270" w14:paraId="4DB0FEF5" w14:textId="77777777" w:rsidTr="000F4CC1">
        <w:trPr>
          <w:trHeight w:val="1247"/>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1C5D9886" w14:textId="5983DEA3" w:rsidR="00D53270" w:rsidRPr="00D53270" w:rsidRDefault="00EE5DD1" w:rsidP="00D53270">
            <w:pPr>
              <w:spacing w:before="0" w:after="0"/>
              <w:ind w:left="22"/>
              <w:jc w:val="left"/>
            </w:pPr>
            <w:r>
              <w:rPr>
                <w:b/>
                <w:bCs/>
                <w:color w:val="FFFFFF" w:themeColor="background1"/>
              </w:rPr>
              <w:t>D</w:t>
            </w:r>
            <w:r w:rsidR="00D34430">
              <w:rPr>
                <w:b/>
                <w:bCs/>
                <w:color w:val="FFFFFF" w:themeColor="background1"/>
              </w:rPr>
              <w:t>esignación</w:t>
            </w:r>
            <w:r>
              <w:rPr>
                <w:b/>
                <w:bCs/>
                <w:color w:val="FFFFFF" w:themeColor="background1"/>
              </w:rPr>
              <w:t>, funcionamiento</w:t>
            </w:r>
            <w:r w:rsidR="00D53270" w:rsidRPr="00D53270">
              <w:rPr>
                <w:b/>
                <w:bCs/>
                <w:color w:val="FFFFFF" w:themeColor="background1"/>
              </w:rPr>
              <w:t xml:space="preserve"> y coordinación de las Unidades de Igual</w:t>
            </w:r>
            <w:r>
              <w:rPr>
                <w:b/>
                <w:bCs/>
                <w:color w:val="FFFFFF" w:themeColor="background1"/>
              </w:rPr>
              <w:t xml:space="preserve">dad </w:t>
            </w:r>
            <w:r w:rsidR="00D53270" w:rsidRPr="00D53270">
              <w:rPr>
                <w:b/>
                <w:bCs/>
                <w:color w:val="FFFFFF" w:themeColor="background1"/>
              </w:rPr>
              <w:t>dentro de la Administración General.</w:t>
            </w:r>
          </w:p>
        </w:tc>
      </w:tr>
      <w:tr w:rsidR="00D53270" w:rsidRPr="00D53270" w14:paraId="6EF47922" w14:textId="77777777" w:rsidTr="000F4CC1">
        <w:trPr>
          <w:trHeight w:val="850"/>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1A31D246" w14:textId="77777777" w:rsidR="00D53270" w:rsidRPr="00D53270" w:rsidRDefault="00D53270" w:rsidP="00D53270">
            <w:pPr>
              <w:spacing w:before="0" w:after="0"/>
              <w:ind w:left="22"/>
              <w:jc w:val="left"/>
              <w:rPr>
                <w:sz w:val="20"/>
                <w:szCs w:val="20"/>
              </w:rPr>
            </w:pPr>
            <w:r w:rsidRPr="00D53270">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045C9609" w14:textId="77777777" w:rsidR="00D53270" w:rsidRPr="00D53270" w:rsidRDefault="00D53270" w:rsidP="00D53270">
            <w:pPr>
              <w:spacing w:before="0" w:after="0"/>
              <w:ind w:left="315" w:hanging="218"/>
              <w:rPr>
                <w:sz w:val="20"/>
                <w:szCs w:val="20"/>
              </w:rPr>
            </w:pPr>
            <w:r w:rsidRPr="00D53270">
              <w:rPr>
                <w:sz w:val="20"/>
                <w:szCs w:val="20"/>
              </w:rPr>
              <w:t>Personal de la Administración General.</w:t>
            </w:r>
          </w:p>
        </w:tc>
      </w:tr>
      <w:tr w:rsidR="00D53270" w:rsidRPr="00D53270" w14:paraId="00C4027D" w14:textId="77777777" w:rsidTr="000F4CC1">
        <w:trPr>
          <w:trHeight w:val="313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33D81174" w14:textId="77777777" w:rsidR="00D53270" w:rsidRPr="00D53270" w:rsidRDefault="00D53270" w:rsidP="00D53270">
            <w:pPr>
              <w:spacing w:before="0" w:after="0"/>
              <w:ind w:left="22"/>
              <w:jc w:val="left"/>
              <w:rPr>
                <w:sz w:val="20"/>
                <w:szCs w:val="20"/>
              </w:rPr>
            </w:pPr>
            <w:r w:rsidRPr="00D53270">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03224B9D" w14:textId="41B3655B"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Identificación de las condiciones de </w:t>
            </w:r>
            <w:r w:rsidR="00DB2B6D">
              <w:rPr>
                <w:sz w:val="20"/>
                <w:szCs w:val="18"/>
              </w:rPr>
              <w:t>designación</w:t>
            </w:r>
            <w:r w:rsidRPr="00D53270">
              <w:rPr>
                <w:sz w:val="20"/>
                <w:szCs w:val="18"/>
              </w:rPr>
              <w:t xml:space="preserve"> y funcionamiento</w:t>
            </w:r>
          </w:p>
          <w:p w14:paraId="55BB698D"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Establecimiento de los criterios de composición, siendo indispensable la formación acreditada en materia de igualdad, preferentemente como “Agente de igualdad”</w:t>
            </w:r>
          </w:p>
          <w:p w14:paraId="11CD23D0"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Enumeración de competencias del personal adscrito</w:t>
            </w:r>
          </w:p>
          <w:p w14:paraId="09B1B045"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Diseño de las formas de coordinación entre las propias Unidades y con otras instituciones, particularmente la Dirección General de Igualdad y la Comisión Interdepartamental para la igualdad efectiva de mujeres y hombres</w:t>
            </w:r>
          </w:p>
        </w:tc>
      </w:tr>
      <w:tr w:rsidR="00D53270" w:rsidRPr="00D53270" w14:paraId="79588051" w14:textId="77777777" w:rsidTr="000F4CC1">
        <w:trPr>
          <w:trHeight w:val="989"/>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AA02A75" w14:textId="77777777" w:rsidR="00D53270" w:rsidRPr="00D53270" w:rsidRDefault="00D53270" w:rsidP="00D53270">
            <w:pPr>
              <w:spacing w:before="0" w:after="0"/>
              <w:ind w:left="22"/>
              <w:jc w:val="left"/>
              <w:rPr>
                <w:sz w:val="20"/>
                <w:szCs w:val="20"/>
              </w:rPr>
            </w:pPr>
            <w:r w:rsidRPr="00D53270">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D89BB6B"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Buenas prácticas existentes en otras Administraciones Públicas (AGE y autonómicas)</w:t>
            </w:r>
          </w:p>
          <w:p w14:paraId="57E7F96C"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Normativa de referencia a nivel autonómico y estatal</w:t>
            </w:r>
          </w:p>
        </w:tc>
      </w:tr>
      <w:tr w:rsidR="00D53270" w:rsidRPr="00D53270" w14:paraId="27061E48" w14:textId="77777777" w:rsidTr="000F4CC1">
        <w:trPr>
          <w:trHeight w:val="77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33FACB2" w14:textId="77777777" w:rsidR="00D53270" w:rsidRPr="00D53270" w:rsidRDefault="00D53270" w:rsidP="00D53270">
            <w:pPr>
              <w:spacing w:before="0" w:after="0"/>
              <w:ind w:left="22"/>
              <w:jc w:val="left"/>
              <w:rPr>
                <w:sz w:val="20"/>
                <w:szCs w:val="20"/>
              </w:rPr>
            </w:pPr>
            <w:r w:rsidRPr="00D53270">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4CD0F983"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Órgano con competencias en materia de Función Pública</w:t>
            </w:r>
          </w:p>
          <w:p w14:paraId="0800F00F"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Órgano con competencias en materia de Igualdad</w:t>
            </w:r>
          </w:p>
        </w:tc>
      </w:tr>
      <w:tr w:rsidR="00D53270" w:rsidRPr="00D53270" w14:paraId="06772B78" w14:textId="77777777" w:rsidTr="000F4CC1">
        <w:trPr>
          <w:trHeight w:val="2104"/>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30C477CA" w14:textId="77777777" w:rsidR="00D53270" w:rsidRPr="00D53270" w:rsidRDefault="00D53270" w:rsidP="00D53270">
            <w:pPr>
              <w:spacing w:before="0" w:after="0"/>
              <w:ind w:left="22"/>
              <w:jc w:val="left"/>
              <w:rPr>
                <w:sz w:val="20"/>
                <w:szCs w:val="20"/>
              </w:rPr>
            </w:pPr>
            <w:r w:rsidRPr="00D53270">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7C344CBB" w14:textId="1A2CA8B4"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Unidades de Igualdad </w:t>
            </w:r>
            <w:r w:rsidR="00D34430">
              <w:rPr>
                <w:sz w:val="20"/>
                <w:szCs w:val="18"/>
              </w:rPr>
              <w:t>designadas</w:t>
            </w:r>
            <w:r w:rsidRPr="00D53270">
              <w:rPr>
                <w:sz w:val="20"/>
                <w:szCs w:val="18"/>
              </w:rPr>
              <w:t xml:space="preserve"> en cada Consejería</w:t>
            </w:r>
          </w:p>
          <w:p w14:paraId="7D70A5A7" w14:textId="26DF7AAF"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Nº de puestos adscritos a cada Unidad de Igualdad y ratio por sexo</w:t>
            </w:r>
          </w:p>
          <w:p w14:paraId="65900475"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Nº de reuniones mantenidas por las Unidades de Igualdad, según Consejería</w:t>
            </w:r>
          </w:p>
          <w:p w14:paraId="6107E208"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Nº y tipo de documentación producida por cada Unidad de Igualdad, según Consejería</w:t>
            </w:r>
          </w:p>
        </w:tc>
      </w:tr>
      <w:tr w:rsidR="00D53270" w:rsidRPr="00D53270" w14:paraId="3FFAF21B" w14:textId="77777777" w:rsidTr="000F4CC1">
        <w:trPr>
          <w:trHeight w:val="567"/>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4CB56EA" w14:textId="77777777" w:rsidR="00D53270" w:rsidRPr="00D53270" w:rsidRDefault="00D53270" w:rsidP="00D53270">
            <w:pPr>
              <w:spacing w:before="0" w:after="0"/>
              <w:ind w:left="22"/>
              <w:jc w:val="left"/>
              <w:rPr>
                <w:sz w:val="20"/>
                <w:szCs w:val="20"/>
              </w:rPr>
            </w:pPr>
            <w:r w:rsidRPr="00D53270">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27D20AF4" w14:textId="77777777" w:rsidR="00D53270" w:rsidRPr="00D53270" w:rsidRDefault="00D53270" w:rsidP="007C5EA0">
            <w:pPr>
              <w:spacing w:before="0" w:after="0"/>
              <w:ind w:left="152"/>
              <w:jc w:val="left"/>
              <w:rPr>
                <w:sz w:val="20"/>
                <w:szCs w:val="20"/>
              </w:rPr>
            </w:pPr>
            <w:r w:rsidRPr="00D53270">
              <w:rPr>
                <w:sz w:val="20"/>
                <w:szCs w:val="20"/>
              </w:rPr>
              <w:t>Año 2 desde el inicio del Plan de Igualdad</w:t>
            </w:r>
          </w:p>
        </w:tc>
      </w:tr>
      <w:tr w:rsidR="00D53270" w:rsidRPr="00D53270" w14:paraId="1606DA3C" w14:textId="77777777" w:rsidTr="00EA35D6">
        <w:trPr>
          <w:trHeight w:val="1264"/>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1926C9E1" w14:textId="77777777" w:rsidR="00D53270" w:rsidRPr="00D53270" w:rsidRDefault="00D53270" w:rsidP="00EA35D6">
            <w:pPr>
              <w:spacing w:before="0" w:after="0"/>
              <w:jc w:val="left"/>
              <w:rPr>
                <w:b/>
                <w:bCs/>
                <w:sz w:val="18"/>
                <w:szCs w:val="18"/>
              </w:rPr>
            </w:pPr>
            <w:r w:rsidRPr="00D53270">
              <w:rPr>
                <w:b/>
                <w:bCs/>
                <w:sz w:val="18"/>
                <w:szCs w:val="18"/>
              </w:rPr>
              <w:t>Observaciones</w:t>
            </w:r>
          </w:p>
          <w:p w14:paraId="001B8EF0" w14:textId="77777777" w:rsidR="00D53270" w:rsidRPr="00D53270" w:rsidRDefault="00D53270" w:rsidP="00EA35D6">
            <w:pPr>
              <w:spacing w:before="0" w:after="0"/>
              <w:jc w:val="left"/>
              <w:rPr>
                <w:b/>
                <w:bCs/>
                <w:sz w:val="18"/>
                <w:szCs w:val="18"/>
              </w:rPr>
            </w:pPr>
          </w:p>
          <w:p w14:paraId="3C474AA1" w14:textId="77777777" w:rsidR="00D53270" w:rsidRPr="00D53270" w:rsidRDefault="00D53270" w:rsidP="00EA35D6">
            <w:pPr>
              <w:spacing w:before="0" w:after="0" w:line="240" w:lineRule="auto"/>
              <w:jc w:val="left"/>
              <w:rPr>
                <w:sz w:val="20"/>
                <w:szCs w:val="20"/>
              </w:rPr>
            </w:pPr>
            <w:r w:rsidRPr="00D53270">
              <w:rPr>
                <w:sz w:val="18"/>
                <w:szCs w:val="18"/>
              </w:rPr>
              <w:t xml:space="preserve">La regulación concreta de la medida queda supeditada a la aprobación de la ley de igualdad de La Rioja, actualmente en fase de tramitación. </w:t>
            </w:r>
          </w:p>
        </w:tc>
      </w:tr>
    </w:tbl>
    <w:p w14:paraId="02653113" w14:textId="77777777" w:rsidR="00024B4E" w:rsidRDefault="00024B4E" w:rsidP="00024B4E">
      <w:pPr>
        <w:rPr>
          <w:highlight w:val="magenta"/>
        </w:rPr>
      </w:pPr>
      <w:r>
        <w:rPr>
          <w:highlight w:val="magenta"/>
        </w:rPr>
        <w:br w:type="page"/>
      </w:r>
    </w:p>
    <w:p w14:paraId="7F185EB2" w14:textId="77777777" w:rsidR="00024B4E" w:rsidRDefault="00024B4E" w:rsidP="00024B4E">
      <w:pPr>
        <w:spacing w:line="259" w:lineRule="auto"/>
        <w:rPr>
          <w:b/>
          <w:bCs/>
        </w:rPr>
      </w:pPr>
      <w:r w:rsidRPr="00124E5E">
        <w:rPr>
          <w:rFonts w:eastAsiaTheme="majorEastAsia" w:cstheme="majorBidi"/>
          <w:b/>
          <w:bCs/>
          <w:iCs/>
          <w:snapToGrid w:val="0"/>
          <w:color w:val="78BE20"/>
          <w:sz w:val="24"/>
          <w:szCs w:val="24"/>
        </w:rPr>
        <w:t xml:space="preserve">OBJETIVO. </w:t>
      </w:r>
      <w:r w:rsidRPr="00124E5E">
        <w:rPr>
          <w:b/>
          <w:bCs/>
        </w:rPr>
        <w:t>Facilitar la aplicación del principio de igualdad y de la estrategia de la transversalidad de género en la actividad administrativa de cada Departamento</w:t>
      </w:r>
      <w:r w:rsidRPr="00CC6452">
        <w:rPr>
          <w:b/>
          <w:bCs/>
        </w:rPr>
        <w:t>.</w:t>
      </w:r>
    </w:p>
    <w:p w14:paraId="43D5CC46" w14:textId="04904ABC" w:rsidR="00024B4E" w:rsidRDefault="00024B4E" w:rsidP="00024B4E">
      <w:pPr>
        <w:pStyle w:val="Ttulo3"/>
      </w:pPr>
      <w:r w:rsidRPr="00024B4E">
        <w:t xml:space="preserve">Medida </w:t>
      </w:r>
      <w:r>
        <w:t xml:space="preserve">6 </w:t>
      </w:r>
    </w:p>
    <w:tbl>
      <w:tblPr>
        <w:tblStyle w:val="Tablaconcuadrcula"/>
        <w:tblW w:w="0" w:type="auto"/>
        <w:tblLook w:val="04A0" w:firstRow="1" w:lastRow="0" w:firstColumn="1" w:lastColumn="0" w:noHBand="0" w:noVBand="1"/>
      </w:tblPr>
      <w:tblGrid>
        <w:gridCol w:w="2402"/>
        <w:gridCol w:w="6072"/>
      </w:tblGrid>
      <w:tr w:rsidR="00D53270" w:rsidRPr="00D53270" w14:paraId="07F70F4D" w14:textId="77777777" w:rsidTr="000F4CC1">
        <w:trPr>
          <w:trHeight w:val="918"/>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1ECF0B73" w14:textId="77777777" w:rsidR="00D53270" w:rsidRPr="00D53270" w:rsidRDefault="00D53270" w:rsidP="00D53270">
            <w:pPr>
              <w:spacing w:before="0" w:after="0"/>
              <w:ind w:left="22"/>
              <w:jc w:val="left"/>
              <w:rPr>
                <w:sz w:val="20"/>
                <w:szCs w:val="20"/>
              </w:rPr>
            </w:pPr>
            <w:r w:rsidRPr="00D53270">
              <w:rPr>
                <w:b/>
                <w:bCs/>
                <w:color w:val="FFFFFF" w:themeColor="background1"/>
              </w:rPr>
              <w:t>Creación de un “buzón de igualdad” en el área virtual del órgano competente en la materia de la página web del Gobierno de La Rioja</w:t>
            </w:r>
          </w:p>
        </w:tc>
      </w:tr>
      <w:tr w:rsidR="00D53270" w:rsidRPr="00D53270" w14:paraId="3D4584EC" w14:textId="77777777" w:rsidTr="000F4CC1">
        <w:trPr>
          <w:trHeight w:val="1112"/>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2C12AC41" w14:textId="77777777" w:rsidR="00D53270" w:rsidRPr="00D53270" w:rsidRDefault="00D53270" w:rsidP="00D53270">
            <w:pPr>
              <w:spacing w:before="0" w:after="0"/>
              <w:ind w:left="22"/>
              <w:jc w:val="left"/>
              <w:rPr>
                <w:sz w:val="20"/>
                <w:szCs w:val="20"/>
              </w:rPr>
            </w:pPr>
            <w:r w:rsidRPr="00D53270">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636704B1"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Personal de la Administración General</w:t>
            </w:r>
          </w:p>
          <w:p w14:paraId="022BD44B"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Población riojana</w:t>
            </w:r>
          </w:p>
          <w:p w14:paraId="667BFA7D"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Otras partes interesadas </w:t>
            </w:r>
          </w:p>
        </w:tc>
      </w:tr>
      <w:tr w:rsidR="00D53270" w:rsidRPr="00D53270" w14:paraId="6D01507C" w14:textId="77777777" w:rsidTr="000F4CC1">
        <w:trPr>
          <w:trHeight w:val="2092"/>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F0937B7" w14:textId="77777777" w:rsidR="00D53270" w:rsidRPr="00D53270" w:rsidRDefault="00D53270" w:rsidP="00D53270">
            <w:pPr>
              <w:spacing w:before="0" w:after="0"/>
              <w:ind w:left="22"/>
              <w:jc w:val="left"/>
              <w:rPr>
                <w:sz w:val="20"/>
                <w:szCs w:val="20"/>
              </w:rPr>
            </w:pPr>
            <w:r w:rsidRPr="00D53270">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0FAB2320"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Elaboración de un mensaje explicativo de los fines y ubicación del buzón</w:t>
            </w:r>
          </w:p>
          <w:p w14:paraId="336F4C95"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Difusión de la ubicación del buzón en el portal web del Gobierno de La Rioja, tanto en la sección de “empleados públicos” como en el tablón virtual de anuncios.</w:t>
            </w:r>
          </w:p>
          <w:p w14:paraId="4FD9AE52"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Envío masivo por correo-e del enlace al buzón ubicado en el portal web.</w:t>
            </w:r>
          </w:p>
        </w:tc>
      </w:tr>
      <w:tr w:rsidR="00D53270" w:rsidRPr="00D53270" w14:paraId="5E8E8B01" w14:textId="77777777" w:rsidTr="000F4CC1">
        <w:trPr>
          <w:trHeight w:val="93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667996F0" w14:textId="77777777" w:rsidR="00D53270" w:rsidRPr="00D53270" w:rsidRDefault="00D53270" w:rsidP="00D53270">
            <w:pPr>
              <w:spacing w:before="0" w:after="0"/>
              <w:ind w:left="22"/>
              <w:jc w:val="left"/>
              <w:rPr>
                <w:sz w:val="20"/>
                <w:szCs w:val="20"/>
              </w:rPr>
            </w:pPr>
            <w:r w:rsidRPr="00D53270">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1A0529F"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Espacio propio en el área virtual del órgano competente en materia de igualdad</w:t>
            </w:r>
          </w:p>
        </w:tc>
      </w:tr>
      <w:tr w:rsidR="00D53270" w:rsidRPr="00D53270" w14:paraId="09BCCDFF" w14:textId="77777777" w:rsidTr="000F4CC1">
        <w:trPr>
          <w:trHeight w:val="1052"/>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D779F20" w14:textId="77777777" w:rsidR="00D53270" w:rsidRPr="00D53270" w:rsidRDefault="00D53270" w:rsidP="00D53270">
            <w:pPr>
              <w:spacing w:before="0" w:after="0"/>
              <w:ind w:left="22"/>
              <w:jc w:val="left"/>
              <w:rPr>
                <w:sz w:val="20"/>
                <w:szCs w:val="20"/>
              </w:rPr>
            </w:pPr>
            <w:r w:rsidRPr="00D53270">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11204879"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Órgano con competencias en materia de Igualdad</w:t>
            </w:r>
          </w:p>
          <w:p w14:paraId="1E890620"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Órgano con competencias en materia de tecnologías de la información y la comunicación</w:t>
            </w:r>
          </w:p>
        </w:tc>
      </w:tr>
      <w:tr w:rsidR="00D53270" w:rsidRPr="00D53270" w14:paraId="59300A27" w14:textId="77777777" w:rsidTr="000F4CC1">
        <w:trPr>
          <w:trHeight w:val="1185"/>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B377758" w14:textId="77777777" w:rsidR="00D53270" w:rsidRPr="00D53270" w:rsidRDefault="00D53270" w:rsidP="00D53270">
            <w:pPr>
              <w:spacing w:before="0" w:after="0"/>
              <w:ind w:left="22"/>
              <w:jc w:val="left"/>
              <w:rPr>
                <w:sz w:val="20"/>
                <w:szCs w:val="20"/>
              </w:rPr>
            </w:pPr>
            <w:r w:rsidRPr="00D53270">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09EA3E4B"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Buzón creado</w:t>
            </w:r>
          </w:p>
          <w:p w14:paraId="7A64761F"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Enlace al buzón enviado masivamente por correo-e</w:t>
            </w:r>
          </w:p>
          <w:p w14:paraId="7B1469E9"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Nº de mensajes recibidos, según tipo de contenido y periodo anual</w:t>
            </w:r>
          </w:p>
        </w:tc>
      </w:tr>
      <w:tr w:rsidR="00D53270" w:rsidRPr="00D53270" w14:paraId="4FF8AD51" w14:textId="77777777" w:rsidTr="000F4CC1">
        <w:trPr>
          <w:trHeight w:val="834"/>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3025369" w14:textId="77777777" w:rsidR="00D53270" w:rsidRPr="00D53270" w:rsidRDefault="00D53270" w:rsidP="00D53270">
            <w:pPr>
              <w:spacing w:before="0" w:after="0"/>
              <w:ind w:left="22"/>
              <w:jc w:val="left"/>
              <w:rPr>
                <w:sz w:val="20"/>
                <w:szCs w:val="20"/>
              </w:rPr>
            </w:pPr>
            <w:r w:rsidRPr="00D53270">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2B46A36F" w14:textId="77777777" w:rsidR="00D53270" w:rsidRPr="00D53270" w:rsidRDefault="00D53270" w:rsidP="007C5EA0">
            <w:pPr>
              <w:spacing w:before="0" w:after="0"/>
              <w:ind w:left="152"/>
              <w:jc w:val="left"/>
              <w:rPr>
                <w:sz w:val="20"/>
                <w:szCs w:val="20"/>
              </w:rPr>
            </w:pPr>
            <w:r w:rsidRPr="00D53270">
              <w:rPr>
                <w:sz w:val="20"/>
                <w:szCs w:val="20"/>
              </w:rPr>
              <w:t>Año 1 desde el inicio del Plan de Igualdad</w:t>
            </w:r>
          </w:p>
        </w:tc>
      </w:tr>
      <w:tr w:rsidR="00D53270" w:rsidRPr="00D53270" w14:paraId="18DA25ED" w14:textId="77777777" w:rsidTr="00EA35D6">
        <w:trPr>
          <w:trHeight w:val="1732"/>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121DEE05" w14:textId="77777777" w:rsidR="00D53270" w:rsidRPr="00D53270" w:rsidRDefault="00D53270" w:rsidP="00EA35D6">
            <w:pPr>
              <w:spacing w:before="0" w:after="0"/>
              <w:jc w:val="left"/>
              <w:rPr>
                <w:b/>
                <w:bCs/>
                <w:sz w:val="18"/>
                <w:szCs w:val="18"/>
              </w:rPr>
            </w:pPr>
            <w:r w:rsidRPr="00D53270">
              <w:rPr>
                <w:b/>
                <w:bCs/>
                <w:sz w:val="18"/>
                <w:szCs w:val="18"/>
              </w:rPr>
              <w:t>Observaciones</w:t>
            </w:r>
          </w:p>
          <w:p w14:paraId="2140F762" w14:textId="77777777" w:rsidR="00D53270" w:rsidRPr="00D53270" w:rsidRDefault="00D53270" w:rsidP="00EA35D6">
            <w:pPr>
              <w:spacing w:before="0" w:after="0"/>
              <w:jc w:val="left"/>
              <w:rPr>
                <w:b/>
                <w:bCs/>
                <w:sz w:val="18"/>
                <w:szCs w:val="18"/>
              </w:rPr>
            </w:pPr>
          </w:p>
          <w:p w14:paraId="5FB2DB34" w14:textId="127E0C4B" w:rsidR="00D53270" w:rsidRPr="00D53270" w:rsidRDefault="00D53270" w:rsidP="00EA35D6">
            <w:pPr>
              <w:spacing w:before="0" w:after="0"/>
              <w:jc w:val="left"/>
              <w:rPr>
                <w:sz w:val="18"/>
                <w:szCs w:val="18"/>
              </w:rPr>
            </w:pPr>
            <w:r w:rsidRPr="00D53270">
              <w:rPr>
                <w:sz w:val="18"/>
                <w:szCs w:val="18"/>
              </w:rPr>
              <w:t>Aplicación prioritaria: la creación del buzón será inmediata al comienzo de la vigencia de Plan.</w:t>
            </w:r>
          </w:p>
          <w:p w14:paraId="6B90482F" w14:textId="77777777" w:rsidR="00D53270" w:rsidRPr="00D53270" w:rsidRDefault="00D53270" w:rsidP="00EA35D6">
            <w:pPr>
              <w:spacing w:before="0" w:after="0"/>
              <w:jc w:val="left"/>
              <w:rPr>
                <w:sz w:val="18"/>
                <w:szCs w:val="18"/>
              </w:rPr>
            </w:pPr>
            <w:r w:rsidRPr="00D53270">
              <w:rPr>
                <w:sz w:val="18"/>
                <w:szCs w:val="18"/>
              </w:rPr>
              <w:t xml:space="preserve">Los centros de trabajo facilitarán el acceso al buzón a todas las personas que lo soliciten. </w:t>
            </w:r>
          </w:p>
          <w:p w14:paraId="192E1B4D" w14:textId="77777777" w:rsidR="00D53270" w:rsidRPr="00D53270" w:rsidRDefault="00D53270" w:rsidP="00EA35D6">
            <w:pPr>
              <w:spacing w:before="0" w:after="0"/>
              <w:jc w:val="left"/>
              <w:rPr>
                <w:b/>
                <w:bCs/>
                <w:sz w:val="18"/>
                <w:szCs w:val="18"/>
              </w:rPr>
            </w:pPr>
          </w:p>
        </w:tc>
      </w:tr>
    </w:tbl>
    <w:p w14:paraId="029761BC" w14:textId="77777777" w:rsidR="00024B4E" w:rsidRPr="00AB4275" w:rsidRDefault="00024B4E" w:rsidP="00024B4E"/>
    <w:p w14:paraId="048D1D60" w14:textId="77777777" w:rsidR="00024B4E" w:rsidRDefault="00024B4E" w:rsidP="00024B4E">
      <w:pPr>
        <w:spacing w:line="259" w:lineRule="auto"/>
        <w:jc w:val="left"/>
        <w:rPr>
          <w:b/>
          <w:bCs/>
          <w:color w:val="78BE20"/>
        </w:rPr>
      </w:pPr>
      <w:r>
        <w:rPr>
          <w:b/>
          <w:bCs/>
          <w:color w:val="78BE20"/>
        </w:rPr>
        <w:br w:type="page"/>
      </w:r>
    </w:p>
    <w:p w14:paraId="34ACA892" w14:textId="77777777" w:rsidR="00024B4E" w:rsidRDefault="00024B4E" w:rsidP="00024B4E">
      <w:pPr>
        <w:rPr>
          <w:b/>
          <w:bCs/>
        </w:rPr>
      </w:pPr>
      <w:r w:rsidRPr="00124E5E">
        <w:rPr>
          <w:rFonts w:eastAsiaTheme="majorEastAsia" w:cstheme="majorBidi"/>
          <w:b/>
          <w:bCs/>
          <w:iCs/>
          <w:snapToGrid w:val="0"/>
          <w:color w:val="78BE20"/>
          <w:sz w:val="24"/>
          <w:szCs w:val="24"/>
        </w:rPr>
        <w:t xml:space="preserve">OBJETIVO. </w:t>
      </w:r>
      <w:r w:rsidRPr="00CA73AA">
        <w:rPr>
          <w:b/>
          <w:bCs/>
        </w:rPr>
        <w:t>Avanzar en la consecución de la presencia equilibrada de mujeres y hombres en todos los contextos de la Administración General de La Rioja</w:t>
      </w:r>
      <w:r w:rsidRPr="00CC6452">
        <w:rPr>
          <w:b/>
          <w:bCs/>
        </w:rPr>
        <w:t>.</w:t>
      </w:r>
    </w:p>
    <w:p w14:paraId="48701969" w14:textId="4569D9AE" w:rsidR="00024B4E" w:rsidRDefault="00024B4E" w:rsidP="00024B4E">
      <w:pPr>
        <w:pStyle w:val="Ttulo3"/>
      </w:pPr>
      <w:r w:rsidRPr="00024B4E">
        <w:t xml:space="preserve">Medida </w:t>
      </w:r>
      <w:r>
        <w:t>7</w:t>
      </w:r>
    </w:p>
    <w:tbl>
      <w:tblPr>
        <w:tblStyle w:val="Tablaconcuadrcula"/>
        <w:tblW w:w="0" w:type="auto"/>
        <w:tblLook w:val="04A0" w:firstRow="1" w:lastRow="0" w:firstColumn="1" w:lastColumn="0" w:noHBand="0" w:noVBand="1"/>
      </w:tblPr>
      <w:tblGrid>
        <w:gridCol w:w="2402"/>
        <w:gridCol w:w="6072"/>
      </w:tblGrid>
      <w:tr w:rsidR="00D53270" w:rsidRPr="00D53270" w14:paraId="19B78A29" w14:textId="77777777" w:rsidTr="000F4CC1">
        <w:trPr>
          <w:trHeight w:val="1134"/>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345AC800" w14:textId="77777777" w:rsidR="00D53270" w:rsidRPr="00D53270" w:rsidRDefault="00D53270" w:rsidP="00D53270">
            <w:pPr>
              <w:spacing w:before="0" w:after="0"/>
              <w:ind w:left="22"/>
              <w:jc w:val="left"/>
            </w:pPr>
            <w:r w:rsidRPr="00D53270">
              <w:rPr>
                <w:b/>
                <w:bCs/>
                <w:color w:val="FFFFFF" w:themeColor="background1"/>
              </w:rPr>
              <w:t xml:space="preserve">Aplicación de medidas de acción positiva siempre que se cumplan las condiciones de acuerdo con la normativa, y en ámbitos como el acceso al empleo, la promoción o la participación de acciones formativas.  </w:t>
            </w:r>
          </w:p>
        </w:tc>
      </w:tr>
      <w:tr w:rsidR="00D53270" w:rsidRPr="00D53270" w14:paraId="3A7E834F" w14:textId="77777777" w:rsidTr="000F4CC1">
        <w:trPr>
          <w:trHeight w:val="1134"/>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313BF86C" w14:textId="77777777" w:rsidR="00D53270" w:rsidRPr="00D53270" w:rsidRDefault="00D53270" w:rsidP="00D53270">
            <w:pPr>
              <w:spacing w:before="0" w:after="0"/>
              <w:ind w:left="22"/>
              <w:jc w:val="left"/>
              <w:rPr>
                <w:sz w:val="20"/>
                <w:szCs w:val="20"/>
              </w:rPr>
            </w:pPr>
            <w:r w:rsidRPr="00D53270">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64B6238B" w14:textId="77777777" w:rsidR="00D53270" w:rsidRPr="00D53270" w:rsidRDefault="00D53270" w:rsidP="007C5EA0">
            <w:pPr>
              <w:spacing w:before="0" w:after="0"/>
              <w:ind w:left="152" w:right="296"/>
              <w:jc w:val="left"/>
            </w:pPr>
            <w:r w:rsidRPr="00D53270">
              <w:rPr>
                <w:sz w:val="20"/>
                <w:szCs w:val="20"/>
              </w:rPr>
              <w:t xml:space="preserve">Empleadas públicas cuando se encuentren </w:t>
            </w:r>
            <w:proofErr w:type="spellStart"/>
            <w:r w:rsidRPr="00D53270">
              <w:rPr>
                <w:sz w:val="20"/>
                <w:szCs w:val="20"/>
              </w:rPr>
              <w:t>subrepresentadas</w:t>
            </w:r>
            <w:proofErr w:type="spellEnd"/>
            <w:r w:rsidRPr="00D53270">
              <w:rPr>
                <w:sz w:val="20"/>
                <w:szCs w:val="20"/>
              </w:rPr>
              <w:t xml:space="preserve"> en Cuerpos, Niveles, Grupos profesionales</w:t>
            </w:r>
            <w:r w:rsidRPr="00D53270">
              <w:t xml:space="preserve"> </w:t>
            </w:r>
            <w:r w:rsidRPr="00D53270">
              <w:rPr>
                <w:sz w:val="20"/>
                <w:szCs w:val="20"/>
              </w:rPr>
              <w:t xml:space="preserve">o solicitudes de participación en cursos de formación. </w:t>
            </w:r>
          </w:p>
        </w:tc>
      </w:tr>
      <w:tr w:rsidR="00D53270" w:rsidRPr="00D53270" w14:paraId="7D5B2781" w14:textId="77777777" w:rsidTr="000F4CC1">
        <w:trPr>
          <w:trHeight w:val="1445"/>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2803230" w14:textId="77777777" w:rsidR="00D53270" w:rsidRPr="00D53270" w:rsidRDefault="00D53270" w:rsidP="00D53270">
            <w:pPr>
              <w:spacing w:before="0" w:after="0"/>
              <w:ind w:left="22"/>
              <w:jc w:val="left"/>
              <w:rPr>
                <w:sz w:val="20"/>
                <w:szCs w:val="20"/>
              </w:rPr>
            </w:pPr>
            <w:r w:rsidRPr="00D53270">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2B120FAA"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Identificación de las condiciones de idoneidad para el puesto a cubrir o la plaza vacante en la acción formativa. </w:t>
            </w:r>
          </w:p>
          <w:p w14:paraId="6EEFB762"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Priorización de la selección de mujeres en los nuevos accesos, promociones o formaciones, cumpliendo las condiciones descritas. </w:t>
            </w:r>
          </w:p>
        </w:tc>
      </w:tr>
      <w:tr w:rsidR="00D53270" w:rsidRPr="00D53270" w14:paraId="5C8F8567" w14:textId="77777777" w:rsidTr="000F4CC1">
        <w:trPr>
          <w:trHeight w:val="1409"/>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D077846" w14:textId="77777777" w:rsidR="00D53270" w:rsidRPr="00D53270" w:rsidRDefault="00D53270" w:rsidP="00D53270">
            <w:pPr>
              <w:spacing w:before="0" w:after="0"/>
              <w:ind w:left="22"/>
              <w:jc w:val="left"/>
              <w:rPr>
                <w:sz w:val="20"/>
                <w:szCs w:val="20"/>
              </w:rPr>
            </w:pPr>
            <w:r w:rsidRPr="00D53270">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129DEB60"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Normativa vigente</w:t>
            </w:r>
          </w:p>
          <w:p w14:paraId="4F5B8276"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Datos de composición por sexo en los Cuerpos, Niveles y Grupos profesionales que cubre la convocatoria</w:t>
            </w:r>
          </w:p>
          <w:p w14:paraId="04A8D8BD"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Datos de composición por sexo en las solicitudes de los cursos de formación </w:t>
            </w:r>
          </w:p>
        </w:tc>
      </w:tr>
      <w:tr w:rsidR="00D53270" w:rsidRPr="00D53270" w14:paraId="1A496DF4" w14:textId="77777777" w:rsidTr="000F4CC1">
        <w:trPr>
          <w:trHeight w:val="692"/>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8FDA9D9" w14:textId="77777777" w:rsidR="00D53270" w:rsidRPr="00D53270" w:rsidRDefault="00D53270" w:rsidP="00D53270">
            <w:pPr>
              <w:spacing w:before="0" w:after="0"/>
              <w:ind w:left="22"/>
              <w:jc w:val="left"/>
              <w:rPr>
                <w:sz w:val="20"/>
                <w:szCs w:val="20"/>
              </w:rPr>
            </w:pPr>
            <w:r w:rsidRPr="00D53270">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06698CC1" w14:textId="77777777" w:rsidR="00D53270" w:rsidRPr="00D53270" w:rsidRDefault="00D53270" w:rsidP="00D53270">
            <w:pPr>
              <w:spacing w:before="0" w:after="0"/>
              <w:ind w:left="315" w:hanging="218"/>
              <w:rPr>
                <w:sz w:val="20"/>
                <w:szCs w:val="20"/>
              </w:rPr>
            </w:pPr>
            <w:r w:rsidRPr="00D53270">
              <w:rPr>
                <w:sz w:val="20"/>
                <w:szCs w:val="20"/>
              </w:rPr>
              <w:t>Órgano con competencias en materia de Función Pública</w:t>
            </w:r>
          </w:p>
        </w:tc>
      </w:tr>
      <w:tr w:rsidR="00D53270" w:rsidRPr="00D53270" w14:paraId="5712D8F7" w14:textId="77777777" w:rsidTr="000F4CC1">
        <w:trPr>
          <w:trHeight w:val="2403"/>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E0BF911" w14:textId="77777777" w:rsidR="00D53270" w:rsidRPr="00D53270" w:rsidRDefault="00D53270" w:rsidP="00D53270">
            <w:pPr>
              <w:spacing w:before="0" w:after="0"/>
              <w:ind w:left="22"/>
              <w:jc w:val="left"/>
              <w:rPr>
                <w:sz w:val="20"/>
                <w:szCs w:val="20"/>
              </w:rPr>
            </w:pPr>
            <w:r w:rsidRPr="00D53270">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7C5EC954"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Evolución en el índice de distribución por sexo en los diferentes tipos de relación laboral, puestos, colectivos y grupos profesionales, en particular en los Grupos E y A1, entre el personal interino de los Servicios Generales y las convocatorias de promoción interna vertical y horizontal de este personal.  </w:t>
            </w:r>
          </w:p>
          <w:p w14:paraId="5B5E98A5"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Evolución en el índice de distribución por sexo en las solicitudes de formación aceptadas por las Unidades Administrativas.  </w:t>
            </w:r>
          </w:p>
        </w:tc>
      </w:tr>
      <w:tr w:rsidR="00D53270" w:rsidRPr="00D53270" w14:paraId="530E9A31" w14:textId="77777777" w:rsidTr="000F4CC1">
        <w:trPr>
          <w:trHeight w:val="836"/>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91A7292" w14:textId="77777777" w:rsidR="00D53270" w:rsidRPr="00D53270" w:rsidRDefault="00D53270" w:rsidP="00D53270">
            <w:pPr>
              <w:spacing w:before="0" w:after="0"/>
              <w:ind w:left="22"/>
              <w:jc w:val="left"/>
              <w:rPr>
                <w:sz w:val="20"/>
                <w:szCs w:val="20"/>
              </w:rPr>
            </w:pPr>
            <w:r w:rsidRPr="00D53270">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56AA01A9" w14:textId="77777777" w:rsidR="00D53270" w:rsidRPr="00D53270" w:rsidRDefault="00D53270" w:rsidP="007C5EA0">
            <w:pPr>
              <w:spacing w:before="0" w:after="0"/>
              <w:ind w:left="152"/>
              <w:jc w:val="left"/>
              <w:rPr>
                <w:sz w:val="20"/>
                <w:szCs w:val="20"/>
              </w:rPr>
            </w:pPr>
            <w:r w:rsidRPr="00D53270">
              <w:rPr>
                <w:sz w:val="20"/>
                <w:szCs w:val="20"/>
              </w:rPr>
              <w:t xml:space="preserve">Permanente desde el inicio del Plan de Igualdad  </w:t>
            </w:r>
          </w:p>
        </w:tc>
      </w:tr>
      <w:tr w:rsidR="00D53270" w:rsidRPr="00D53270" w14:paraId="522A3F05" w14:textId="77777777" w:rsidTr="00EA35D6">
        <w:trPr>
          <w:trHeight w:val="1557"/>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723E35EB" w14:textId="77777777" w:rsidR="00D53270" w:rsidRPr="00D53270" w:rsidRDefault="00D53270" w:rsidP="00EA35D6">
            <w:pPr>
              <w:spacing w:before="0" w:after="0"/>
              <w:jc w:val="left"/>
              <w:rPr>
                <w:b/>
                <w:bCs/>
                <w:sz w:val="18"/>
                <w:szCs w:val="18"/>
              </w:rPr>
            </w:pPr>
            <w:r w:rsidRPr="00D53270">
              <w:rPr>
                <w:b/>
                <w:bCs/>
                <w:sz w:val="18"/>
                <w:szCs w:val="18"/>
              </w:rPr>
              <w:t>Observaciones</w:t>
            </w:r>
          </w:p>
          <w:p w14:paraId="57A77CB1" w14:textId="77777777" w:rsidR="00D53270" w:rsidRPr="00D53270" w:rsidRDefault="00D53270" w:rsidP="00EA35D6">
            <w:pPr>
              <w:spacing w:before="0" w:after="0"/>
              <w:jc w:val="left"/>
              <w:rPr>
                <w:sz w:val="18"/>
                <w:szCs w:val="18"/>
              </w:rPr>
            </w:pPr>
          </w:p>
          <w:p w14:paraId="4F678A1C" w14:textId="77777777" w:rsidR="00D53270" w:rsidRPr="00D53270" w:rsidRDefault="00D53270" w:rsidP="00EA35D6">
            <w:pPr>
              <w:spacing w:before="0" w:after="0"/>
              <w:jc w:val="left"/>
              <w:rPr>
                <w:b/>
                <w:bCs/>
                <w:sz w:val="20"/>
                <w:szCs w:val="20"/>
              </w:rPr>
            </w:pPr>
            <w:r w:rsidRPr="00D53270">
              <w:rPr>
                <w:sz w:val="18"/>
                <w:szCs w:val="18"/>
              </w:rPr>
              <w:t xml:space="preserve">Esta medida se mantendrá siempre que exista infrarrepresentación femenina en los Cuerpos, Niveles y Grupos profesionales, lo cual, según la </w:t>
            </w:r>
            <w:r w:rsidRPr="00D53270">
              <w:rPr>
                <w:i/>
                <w:iCs/>
                <w:sz w:val="18"/>
                <w:szCs w:val="18"/>
              </w:rPr>
              <w:t>ley de igualdad 3/2007</w:t>
            </w:r>
            <w:r w:rsidRPr="00D53270">
              <w:rPr>
                <w:sz w:val="18"/>
                <w:szCs w:val="18"/>
              </w:rPr>
              <w:t xml:space="preserve">, queda marcado por una presencia inferior al 40%. </w:t>
            </w:r>
          </w:p>
        </w:tc>
      </w:tr>
    </w:tbl>
    <w:p w14:paraId="6BAA482D" w14:textId="77777777" w:rsidR="00024B4E" w:rsidRDefault="00024B4E" w:rsidP="00024B4E">
      <w:pPr>
        <w:spacing w:line="259" w:lineRule="auto"/>
        <w:jc w:val="left"/>
      </w:pPr>
      <w:r>
        <w:br w:type="page"/>
      </w:r>
    </w:p>
    <w:p w14:paraId="7E9FE5B9" w14:textId="77777777" w:rsidR="00024B4E" w:rsidRPr="00CA73AA" w:rsidRDefault="00024B4E" w:rsidP="00024B4E">
      <w:pPr>
        <w:rPr>
          <w:b/>
          <w:bCs/>
        </w:rPr>
      </w:pPr>
      <w:r w:rsidRPr="00CA73AA">
        <w:rPr>
          <w:b/>
          <w:bCs/>
          <w:iCs/>
          <w:color w:val="78BE20"/>
        </w:rPr>
        <w:t xml:space="preserve">OBJETIVO. </w:t>
      </w:r>
      <w:r w:rsidRPr="00CA73AA">
        <w:rPr>
          <w:b/>
          <w:bCs/>
        </w:rPr>
        <w:t>Avanzar en la consecución de la presencia equilibrada de mujeres y hombres en todos los contextos de la Administración General de La Rioja.</w:t>
      </w:r>
    </w:p>
    <w:p w14:paraId="573CE251" w14:textId="37B29BED" w:rsidR="00024B4E" w:rsidRDefault="00024B4E" w:rsidP="00024B4E">
      <w:pPr>
        <w:pStyle w:val="Ttulo3"/>
      </w:pPr>
      <w:r w:rsidRPr="00024B4E">
        <w:t xml:space="preserve">Medida </w:t>
      </w:r>
      <w:r>
        <w:t>8</w:t>
      </w:r>
    </w:p>
    <w:tbl>
      <w:tblPr>
        <w:tblStyle w:val="Tablaconcuadrcula"/>
        <w:tblW w:w="0" w:type="auto"/>
        <w:tblLook w:val="04A0" w:firstRow="1" w:lastRow="0" w:firstColumn="1" w:lastColumn="0" w:noHBand="0" w:noVBand="1"/>
      </w:tblPr>
      <w:tblGrid>
        <w:gridCol w:w="2402"/>
        <w:gridCol w:w="6072"/>
      </w:tblGrid>
      <w:tr w:rsidR="00D53270" w:rsidRPr="00D53270" w14:paraId="5D0694F9" w14:textId="77777777" w:rsidTr="000F4CC1">
        <w:trPr>
          <w:trHeight w:val="1134"/>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1E37C829" w14:textId="77777777" w:rsidR="00D53270" w:rsidRPr="00D53270" w:rsidRDefault="00D53270" w:rsidP="00D53270">
            <w:pPr>
              <w:spacing w:before="0" w:after="0"/>
              <w:ind w:left="22"/>
              <w:jc w:val="left"/>
            </w:pPr>
            <w:r w:rsidRPr="00D53270">
              <w:rPr>
                <w:b/>
                <w:bCs/>
                <w:color w:val="FFFFFF" w:themeColor="background1"/>
              </w:rPr>
              <w:t xml:space="preserve">Inclusión de la composición equilibrada de mujeres y hombres en las bases que rigen la constitución de las Comisiones de Valoración de los concursos de méritos.  </w:t>
            </w:r>
          </w:p>
        </w:tc>
      </w:tr>
      <w:tr w:rsidR="00D53270" w:rsidRPr="00D53270" w14:paraId="08DF1D38" w14:textId="77777777" w:rsidTr="000F4CC1">
        <w:trPr>
          <w:trHeight w:val="850"/>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608E0A9E" w14:textId="77777777" w:rsidR="00D53270" w:rsidRPr="00D53270" w:rsidRDefault="00D53270" w:rsidP="00D53270">
            <w:pPr>
              <w:spacing w:before="0" w:after="0"/>
              <w:ind w:left="22"/>
              <w:jc w:val="left"/>
              <w:rPr>
                <w:sz w:val="20"/>
                <w:szCs w:val="20"/>
              </w:rPr>
            </w:pPr>
            <w:r w:rsidRPr="00D53270">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443A3A65" w14:textId="77777777" w:rsidR="00D53270" w:rsidRPr="00D53270" w:rsidRDefault="00D53270" w:rsidP="007C5EA0">
            <w:pPr>
              <w:spacing w:before="0" w:after="0"/>
              <w:ind w:left="152" w:hanging="21"/>
            </w:pPr>
            <w:r w:rsidRPr="00D53270">
              <w:rPr>
                <w:sz w:val="20"/>
                <w:szCs w:val="20"/>
              </w:rPr>
              <w:t xml:space="preserve">Integrantes de las Comisiones de Valoración. </w:t>
            </w:r>
          </w:p>
        </w:tc>
      </w:tr>
      <w:tr w:rsidR="00D53270" w:rsidRPr="00D53270" w14:paraId="26682C13" w14:textId="77777777" w:rsidTr="000F4CC1">
        <w:trPr>
          <w:trHeight w:val="85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270AFBA" w14:textId="77777777" w:rsidR="00D53270" w:rsidRPr="00D53270" w:rsidRDefault="00D53270" w:rsidP="00D53270">
            <w:pPr>
              <w:spacing w:before="0" w:after="0"/>
              <w:ind w:left="22"/>
              <w:jc w:val="left"/>
              <w:rPr>
                <w:sz w:val="20"/>
                <w:szCs w:val="20"/>
              </w:rPr>
            </w:pPr>
            <w:r w:rsidRPr="00D53270">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8127039" w14:textId="77777777" w:rsidR="00D53270" w:rsidRPr="00D53270" w:rsidRDefault="00D53270" w:rsidP="00A1431D">
            <w:pPr>
              <w:tabs>
                <w:tab w:val="left" w:pos="5698"/>
              </w:tabs>
              <w:spacing w:before="0" w:after="0" w:line="259" w:lineRule="auto"/>
              <w:ind w:left="152" w:right="12"/>
              <w:contextualSpacing/>
              <w:jc w:val="left"/>
              <w:rPr>
                <w:sz w:val="20"/>
                <w:szCs w:val="18"/>
              </w:rPr>
            </w:pPr>
            <w:r w:rsidRPr="00D53270">
              <w:rPr>
                <w:sz w:val="20"/>
                <w:szCs w:val="18"/>
              </w:rPr>
              <w:t xml:space="preserve">Elaboración de la cláusula de composición equilibrada. </w:t>
            </w:r>
          </w:p>
        </w:tc>
      </w:tr>
      <w:tr w:rsidR="00D53270" w:rsidRPr="00D53270" w14:paraId="2B63DB50" w14:textId="77777777" w:rsidTr="000F4CC1">
        <w:trPr>
          <w:trHeight w:val="85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56FA7ED" w14:textId="77777777" w:rsidR="00D53270" w:rsidRPr="00D53270" w:rsidRDefault="00D53270" w:rsidP="00D53270">
            <w:pPr>
              <w:spacing w:before="0" w:after="0"/>
              <w:ind w:left="22"/>
              <w:jc w:val="left"/>
              <w:rPr>
                <w:sz w:val="20"/>
                <w:szCs w:val="20"/>
              </w:rPr>
            </w:pPr>
            <w:r w:rsidRPr="00D53270">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2789EC77" w14:textId="77777777" w:rsidR="00D53270" w:rsidRPr="00D53270" w:rsidRDefault="00D53270" w:rsidP="00A1431D">
            <w:pPr>
              <w:spacing w:before="0" w:after="0"/>
              <w:ind w:left="152"/>
              <w:jc w:val="left"/>
              <w:rPr>
                <w:sz w:val="20"/>
                <w:szCs w:val="20"/>
              </w:rPr>
            </w:pPr>
          </w:p>
          <w:p w14:paraId="71416200" w14:textId="77777777" w:rsidR="00D53270" w:rsidRPr="00D53270" w:rsidRDefault="00D53270" w:rsidP="00A1431D">
            <w:pPr>
              <w:tabs>
                <w:tab w:val="left" w:pos="5698"/>
              </w:tabs>
              <w:spacing w:before="0" w:after="0" w:line="259" w:lineRule="auto"/>
              <w:ind w:left="152" w:right="12"/>
              <w:contextualSpacing/>
              <w:jc w:val="left"/>
              <w:rPr>
                <w:sz w:val="20"/>
                <w:szCs w:val="18"/>
              </w:rPr>
            </w:pPr>
            <w:r w:rsidRPr="00D53270">
              <w:rPr>
                <w:sz w:val="20"/>
                <w:szCs w:val="18"/>
              </w:rPr>
              <w:t xml:space="preserve">Bases reguladoras de las Comisiones de Valoración </w:t>
            </w:r>
          </w:p>
          <w:p w14:paraId="745992DB" w14:textId="77777777" w:rsidR="00D53270" w:rsidRPr="00D53270" w:rsidRDefault="00D53270" w:rsidP="00A1431D">
            <w:pPr>
              <w:spacing w:before="0" w:after="0"/>
              <w:ind w:left="152"/>
              <w:jc w:val="left"/>
              <w:rPr>
                <w:sz w:val="20"/>
                <w:szCs w:val="20"/>
              </w:rPr>
            </w:pPr>
          </w:p>
        </w:tc>
      </w:tr>
      <w:tr w:rsidR="00D53270" w:rsidRPr="00D53270" w14:paraId="53066715" w14:textId="77777777" w:rsidTr="000F4CC1">
        <w:trPr>
          <w:trHeight w:val="85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30E15A5D" w14:textId="77777777" w:rsidR="00D53270" w:rsidRPr="00D53270" w:rsidRDefault="00D53270" w:rsidP="00D53270">
            <w:pPr>
              <w:spacing w:before="0" w:after="0"/>
              <w:ind w:left="22"/>
              <w:jc w:val="left"/>
              <w:rPr>
                <w:sz w:val="20"/>
                <w:szCs w:val="20"/>
              </w:rPr>
            </w:pPr>
            <w:r w:rsidRPr="00D53270">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0547481" w14:textId="77777777" w:rsidR="00D53270" w:rsidRPr="00D53270" w:rsidRDefault="00D53270" w:rsidP="00D53270">
            <w:pPr>
              <w:spacing w:before="0" w:after="0"/>
              <w:ind w:left="315" w:hanging="218"/>
              <w:rPr>
                <w:szCs w:val="20"/>
              </w:rPr>
            </w:pPr>
            <w:r w:rsidRPr="00D53270">
              <w:rPr>
                <w:sz w:val="20"/>
                <w:szCs w:val="20"/>
              </w:rPr>
              <w:t xml:space="preserve">Órgano con competencias en materia de Función Pública </w:t>
            </w:r>
          </w:p>
        </w:tc>
      </w:tr>
      <w:tr w:rsidR="00D53270" w:rsidRPr="00D53270" w14:paraId="35F1CC33" w14:textId="77777777" w:rsidTr="000F4CC1">
        <w:trPr>
          <w:trHeight w:val="1982"/>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37AD71E3" w14:textId="77777777" w:rsidR="00D53270" w:rsidRPr="00D53270" w:rsidRDefault="00D53270" w:rsidP="00D53270">
            <w:pPr>
              <w:spacing w:before="0" w:after="0"/>
              <w:ind w:left="22"/>
              <w:jc w:val="left"/>
              <w:rPr>
                <w:sz w:val="20"/>
                <w:szCs w:val="20"/>
              </w:rPr>
            </w:pPr>
            <w:r w:rsidRPr="00D53270">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13F6E277"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Bases reguladoras modificadas</w:t>
            </w:r>
          </w:p>
          <w:p w14:paraId="015AB046"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Evolución en la ratio de composición de mujeres y hombres en las Comisiones de Valoración constituidas durante el periodo de vigencia del Plan</w:t>
            </w:r>
          </w:p>
          <w:p w14:paraId="0F291405"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20"/>
              </w:rPr>
            </w:pPr>
            <w:r w:rsidRPr="00D53270">
              <w:rPr>
                <w:sz w:val="20"/>
                <w:szCs w:val="18"/>
              </w:rPr>
              <w:t>Índice de distribución por sexo en los cargos de Presidencia, Secretaría y Vocalías de las Comisiones de Valoración constituidas durante el periodo de vigencia del Plan</w:t>
            </w:r>
          </w:p>
        </w:tc>
      </w:tr>
      <w:tr w:rsidR="00D53270" w:rsidRPr="00D53270" w14:paraId="094EBECB" w14:textId="77777777" w:rsidTr="000F4CC1">
        <w:trPr>
          <w:trHeight w:val="567"/>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8339157" w14:textId="77777777" w:rsidR="00D53270" w:rsidRPr="00D53270" w:rsidRDefault="00D53270" w:rsidP="00D53270">
            <w:pPr>
              <w:spacing w:before="0" w:after="0"/>
              <w:ind w:left="22"/>
              <w:jc w:val="left"/>
              <w:rPr>
                <w:sz w:val="20"/>
                <w:szCs w:val="20"/>
              </w:rPr>
            </w:pPr>
            <w:r w:rsidRPr="00D53270">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0D5B7972" w14:textId="77777777" w:rsidR="00D53270" w:rsidRPr="00D53270" w:rsidRDefault="00D53270" w:rsidP="00D53270">
            <w:pPr>
              <w:spacing w:before="0" w:after="0"/>
              <w:ind w:left="315" w:hanging="218"/>
            </w:pPr>
            <w:r w:rsidRPr="00D53270">
              <w:rPr>
                <w:sz w:val="20"/>
                <w:szCs w:val="20"/>
              </w:rPr>
              <w:t>Año 1 desde el inicio del Plan de Igualdad</w:t>
            </w:r>
          </w:p>
        </w:tc>
      </w:tr>
      <w:tr w:rsidR="00D53270" w:rsidRPr="00D53270" w14:paraId="460E2A44" w14:textId="77777777" w:rsidTr="00EA35D6">
        <w:trPr>
          <w:trHeight w:val="1855"/>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2CFA23F3" w14:textId="77777777" w:rsidR="00D53270" w:rsidRPr="00D53270" w:rsidRDefault="00D53270" w:rsidP="00EA35D6">
            <w:pPr>
              <w:spacing w:before="0" w:after="0"/>
              <w:jc w:val="left"/>
              <w:rPr>
                <w:b/>
                <w:bCs/>
                <w:sz w:val="18"/>
                <w:szCs w:val="18"/>
              </w:rPr>
            </w:pPr>
            <w:r w:rsidRPr="00D53270">
              <w:rPr>
                <w:b/>
                <w:bCs/>
                <w:sz w:val="18"/>
                <w:szCs w:val="18"/>
              </w:rPr>
              <w:t>Observaciones</w:t>
            </w:r>
          </w:p>
          <w:p w14:paraId="1341EF95" w14:textId="77777777" w:rsidR="00D53270" w:rsidRPr="00D53270" w:rsidRDefault="00D53270" w:rsidP="00EA35D6">
            <w:pPr>
              <w:spacing w:before="0" w:after="0"/>
              <w:jc w:val="left"/>
              <w:rPr>
                <w:sz w:val="18"/>
                <w:szCs w:val="18"/>
              </w:rPr>
            </w:pPr>
          </w:p>
          <w:p w14:paraId="6390D37C" w14:textId="77777777" w:rsidR="00D53270" w:rsidRPr="00D53270" w:rsidRDefault="00D53270" w:rsidP="00EA35D6">
            <w:pPr>
              <w:spacing w:before="0" w:after="0"/>
              <w:jc w:val="left"/>
              <w:rPr>
                <w:b/>
                <w:bCs/>
                <w:sz w:val="20"/>
                <w:szCs w:val="20"/>
              </w:rPr>
            </w:pPr>
            <w:r w:rsidRPr="00D53270">
              <w:rPr>
                <w:sz w:val="18"/>
                <w:szCs w:val="18"/>
              </w:rPr>
              <w:t>La implementación de esta medida obliga a modificar el</w:t>
            </w:r>
            <w:r w:rsidRPr="00D53270">
              <w:rPr>
                <w:i/>
                <w:iCs/>
                <w:color w:val="78BE20"/>
                <w:sz w:val="20"/>
                <w:szCs w:val="20"/>
              </w:rPr>
              <w:t xml:space="preserve"> </w:t>
            </w:r>
            <w:r w:rsidRPr="00D53270">
              <w:rPr>
                <w:i/>
                <w:iCs/>
                <w:sz w:val="18"/>
                <w:szCs w:val="18"/>
              </w:rPr>
              <w:t>Decreto 8/1989, de 24 de febrero.</w:t>
            </w:r>
            <w:r w:rsidRPr="00D53270">
              <w:rPr>
                <w:i/>
                <w:iCs/>
                <w:color w:val="78BE20"/>
                <w:sz w:val="16"/>
                <w:szCs w:val="16"/>
              </w:rPr>
              <w:t xml:space="preserve"> </w:t>
            </w:r>
            <w:r w:rsidRPr="00D53270">
              <w:rPr>
                <w:sz w:val="18"/>
                <w:szCs w:val="18"/>
              </w:rPr>
              <w:t>Por extensión, podrán ser</w:t>
            </w:r>
            <w:r w:rsidRPr="00D53270">
              <w:rPr>
                <w:b/>
                <w:bCs/>
                <w:sz w:val="18"/>
                <w:szCs w:val="18"/>
              </w:rPr>
              <w:t xml:space="preserve"> </w:t>
            </w:r>
            <w:r w:rsidRPr="00D53270">
              <w:rPr>
                <w:sz w:val="18"/>
                <w:szCs w:val="18"/>
              </w:rPr>
              <w:t>revisadas y modificadas en esta línea cuantas disposiciones regulen la composición y funcionamiento de las distintas Comisiones y Órganos de selección existentes en la Administración General de La Rioja</w:t>
            </w:r>
          </w:p>
        </w:tc>
      </w:tr>
    </w:tbl>
    <w:p w14:paraId="67FF764F" w14:textId="77777777" w:rsidR="00024B4E" w:rsidRDefault="00024B4E" w:rsidP="00024B4E">
      <w:r>
        <w:br w:type="page"/>
      </w:r>
    </w:p>
    <w:p w14:paraId="4E6AA6E4" w14:textId="77777777" w:rsidR="00024B4E" w:rsidRPr="00CA73AA" w:rsidRDefault="00024B4E" w:rsidP="00024B4E">
      <w:pPr>
        <w:rPr>
          <w:b/>
          <w:bCs/>
        </w:rPr>
      </w:pPr>
      <w:r w:rsidRPr="00CA73AA">
        <w:rPr>
          <w:b/>
          <w:bCs/>
          <w:iCs/>
          <w:color w:val="78BE20"/>
        </w:rPr>
        <w:t xml:space="preserve">OBJETIVO. </w:t>
      </w:r>
      <w:r w:rsidRPr="00CA73AA">
        <w:rPr>
          <w:b/>
          <w:bCs/>
        </w:rPr>
        <w:t>Avanzar en la consecución de la presencia equilibrada de mujeres y hombres en todos los contextos de la Administración General de La Rioja.</w:t>
      </w:r>
    </w:p>
    <w:p w14:paraId="6C914BC5" w14:textId="2C5F455F" w:rsidR="00024B4E" w:rsidRDefault="00024B4E" w:rsidP="00024B4E">
      <w:pPr>
        <w:pStyle w:val="Ttulo3"/>
      </w:pPr>
      <w:r w:rsidRPr="00024B4E">
        <w:t xml:space="preserve">Medida </w:t>
      </w:r>
      <w:r>
        <w:t>9</w:t>
      </w:r>
    </w:p>
    <w:tbl>
      <w:tblPr>
        <w:tblStyle w:val="Tablaconcuadrcula"/>
        <w:tblW w:w="0" w:type="auto"/>
        <w:tblLook w:val="04A0" w:firstRow="1" w:lastRow="0" w:firstColumn="1" w:lastColumn="0" w:noHBand="0" w:noVBand="1"/>
      </w:tblPr>
      <w:tblGrid>
        <w:gridCol w:w="2402"/>
        <w:gridCol w:w="6072"/>
      </w:tblGrid>
      <w:tr w:rsidR="00D53270" w:rsidRPr="00D53270" w14:paraId="11E4047C" w14:textId="77777777" w:rsidTr="000F4CC1">
        <w:trPr>
          <w:trHeight w:val="1134"/>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44948CA2" w14:textId="77777777" w:rsidR="00D53270" w:rsidRPr="00D53270" w:rsidRDefault="00D53270" w:rsidP="00D53270">
            <w:pPr>
              <w:spacing w:before="0" w:after="0"/>
              <w:ind w:left="22"/>
              <w:jc w:val="left"/>
            </w:pPr>
            <w:r w:rsidRPr="00D53270">
              <w:rPr>
                <w:b/>
                <w:bCs/>
                <w:color w:val="FFFFFF" w:themeColor="background1"/>
              </w:rPr>
              <w:t xml:space="preserve">Inclusión en las bases reguladoras de los Tribunales Calificadores de una cláusula de alternancia entre mujeres y hombres en el desempeño de los diferentes cargos que los constituyen, especialmente de la Presidencia. </w:t>
            </w:r>
          </w:p>
        </w:tc>
      </w:tr>
      <w:tr w:rsidR="00D53270" w:rsidRPr="00D53270" w14:paraId="35EF0839" w14:textId="77777777" w:rsidTr="000F4CC1">
        <w:trPr>
          <w:trHeight w:val="850"/>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738CD685" w14:textId="77777777" w:rsidR="00D53270" w:rsidRPr="00D53270" w:rsidRDefault="00D53270" w:rsidP="00D53270">
            <w:pPr>
              <w:spacing w:before="0" w:after="0"/>
              <w:ind w:left="22"/>
              <w:jc w:val="left"/>
              <w:rPr>
                <w:sz w:val="20"/>
                <w:szCs w:val="20"/>
              </w:rPr>
            </w:pPr>
            <w:r w:rsidRPr="00D53270">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7D0EA579" w14:textId="77777777" w:rsidR="00D53270" w:rsidRPr="00D53270" w:rsidRDefault="00D53270" w:rsidP="007C5EA0">
            <w:pPr>
              <w:spacing w:before="0" w:after="0"/>
              <w:ind w:left="152" w:hanging="21"/>
            </w:pPr>
            <w:r w:rsidRPr="00D53270">
              <w:rPr>
                <w:sz w:val="20"/>
                <w:szCs w:val="20"/>
              </w:rPr>
              <w:t>Integrantes de los Tribunales calificadores</w:t>
            </w:r>
          </w:p>
        </w:tc>
      </w:tr>
      <w:tr w:rsidR="00D53270" w:rsidRPr="00D53270" w14:paraId="6E5C4FAF" w14:textId="77777777" w:rsidTr="000F4CC1">
        <w:trPr>
          <w:trHeight w:val="85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E1B3086" w14:textId="77777777" w:rsidR="00D53270" w:rsidRPr="00D53270" w:rsidRDefault="00D53270" w:rsidP="00D53270">
            <w:pPr>
              <w:spacing w:before="0" w:after="0"/>
              <w:ind w:left="22"/>
              <w:jc w:val="left"/>
              <w:rPr>
                <w:sz w:val="20"/>
                <w:szCs w:val="20"/>
              </w:rPr>
            </w:pPr>
            <w:r w:rsidRPr="00D53270">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42158E6" w14:textId="77777777" w:rsidR="00D53270" w:rsidRPr="00D53270" w:rsidRDefault="00D53270" w:rsidP="00A1431D">
            <w:pPr>
              <w:tabs>
                <w:tab w:val="left" w:pos="5698"/>
              </w:tabs>
              <w:spacing w:before="0" w:after="0" w:line="259" w:lineRule="auto"/>
              <w:ind w:left="152" w:right="12"/>
              <w:contextualSpacing/>
              <w:jc w:val="left"/>
              <w:rPr>
                <w:sz w:val="20"/>
                <w:szCs w:val="18"/>
              </w:rPr>
            </w:pPr>
            <w:r w:rsidRPr="00D53270">
              <w:rPr>
                <w:sz w:val="20"/>
                <w:szCs w:val="18"/>
              </w:rPr>
              <w:t>Elaboración de la cláusula de alternancia.</w:t>
            </w:r>
          </w:p>
        </w:tc>
      </w:tr>
      <w:tr w:rsidR="00D53270" w:rsidRPr="00D53270" w14:paraId="3BA75BEF" w14:textId="77777777" w:rsidTr="000F4CC1">
        <w:trPr>
          <w:trHeight w:val="85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6669EE7F" w14:textId="77777777" w:rsidR="00D53270" w:rsidRPr="00D53270" w:rsidRDefault="00D53270" w:rsidP="00D53270">
            <w:pPr>
              <w:spacing w:before="0" w:after="0"/>
              <w:ind w:left="22"/>
              <w:jc w:val="left"/>
              <w:rPr>
                <w:sz w:val="20"/>
                <w:szCs w:val="20"/>
              </w:rPr>
            </w:pPr>
            <w:r w:rsidRPr="00D53270">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08EF7D25"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Bases reguladoras de los Tribunales Calificadores </w:t>
            </w:r>
          </w:p>
          <w:p w14:paraId="66A0A358"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Documento de Instrucciones dirigidas a los Tribunales calificadores de las pruebas de selección de personal</w:t>
            </w:r>
          </w:p>
        </w:tc>
      </w:tr>
      <w:tr w:rsidR="00D53270" w:rsidRPr="00D53270" w14:paraId="67C40C6B" w14:textId="77777777" w:rsidTr="000F4CC1">
        <w:trPr>
          <w:trHeight w:val="989"/>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E7EA80F" w14:textId="77777777" w:rsidR="00D53270" w:rsidRPr="00D53270" w:rsidRDefault="00D53270" w:rsidP="00D53270">
            <w:pPr>
              <w:spacing w:before="0" w:after="0"/>
              <w:ind w:left="22"/>
              <w:jc w:val="left"/>
              <w:rPr>
                <w:sz w:val="20"/>
                <w:szCs w:val="20"/>
              </w:rPr>
            </w:pPr>
            <w:r w:rsidRPr="00D53270">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7C01FED1"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Órgano con competencias en materia de Función Pública</w:t>
            </w:r>
          </w:p>
          <w:p w14:paraId="7399A10B"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Órgano con competencias en materia de Gestión Educativa </w:t>
            </w:r>
          </w:p>
        </w:tc>
      </w:tr>
      <w:tr w:rsidR="00D53270" w:rsidRPr="00D53270" w14:paraId="64A842E7" w14:textId="77777777" w:rsidTr="000F4CC1">
        <w:trPr>
          <w:trHeight w:val="1982"/>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671D5496" w14:textId="77777777" w:rsidR="00D53270" w:rsidRPr="00D53270" w:rsidRDefault="00D53270" w:rsidP="00D53270">
            <w:pPr>
              <w:spacing w:before="0" w:after="0"/>
              <w:ind w:left="22"/>
              <w:jc w:val="left"/>
              <w:rPr>
                <w:sz w:val="20"/>
                <w:szCs w:val="20"/>
              </w:rPr>
            </w:pPr>
            <w:r w:rsidRPr="00D53270">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B42F806"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Bases reguladoras modificadas</w:t>
            </w:r>
          </w:p>
          <w:p w14:paraId="0331EFDA"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Evolución en la ratio de composición de mujeres y hombres en Tribunales Calificadores constituidos durante el periodo de vigencia del Plan</w:t>
            </w:r>
          </w:p>
          <w:p w14:paraId="2DCB2070"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Puntos porcentuales de disminución de la brecha de género en los cargos de Presidencia, Secretaría y Vocalías durante el periodo de vigencia del Plan</w:t>
            </w:r>
          </w:p>
        </w:tc>
      </w:tr>
      <w:tr w:rsidR="00D53270" w:rsidRPr="00D53270" w14:paraId="39A38DAF" w14:textId="77777777" w:rsidTr="000F4CC1">
        <w:trPr>
          <w:trHeight w:val="567"/>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61B7D13" w14:textId="77777777" w:rsidR="00D53270" w:rsidRPr="00D53270" w:rsidRDefault="00D53270" w:rsidP="00D53270">
            <w:pPr>
              <w:spacing w:before="0" w:after="0"/>
              <w:ind w:left="22"/>
              <w:jc w:val="left"/>
              <w:rPr>
                <w:sz w:val="20"/>
                <w:szCs w:val="20"/>
              </w:rPr>
            </w:pPr>
            <w:r w:rsidRPr="00D53270">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0799FDA0" w14:textId="77777777" w:rsidR="00D53270" w:rsidRPr="00D53270" w:rsidRDefault="00D53270" w:rsidP="00D53270">
            <w:pPr>
              <w:spacing w:before="0" w:after="0"/>
              <w:ind w:left="315" w:hanging="218"/>
              <w:rPr>
                <w:szCs w:val="20"/>
              </w:rPr>
            </w:pPr>
            <w:r w:rsidRPr="00D53270">
              <w:rPr>
                <w:sz w:val="20"/>
                <w:szCs w:val="20"/>
              </w:rPr>
              <w:t>Año 1 desde el inicio del Plan de Igualdad</w:t>
            </w:r>
          </w:p>
        </w:tc>
      </w:tr>
      <w:tr w:rsidR="00D53270" w:rsidRPr="00D53270" w14:paraId="47C28434" w14:textId="77777777" w:rsidTr="00EA35D6">
        <w:trPr>
          <w:trHeight w:val="3048"/>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527F5302" w14:textId="77777777" w:rsidR="00D53270" w:rsidRPr="00D53270" w:rsidRDefault="00D53270" w:rsidP="00D53270">
            <w:pPr>
              <w:spacing w:before="0" w:after="0"/>
              <w:jc w:val="left"/>
              <w:rPr>
                <w:b/>
                <w:bCs/>
                <w:sz w:val="18"/>
                <w:szCs w:val="18"/>
              </w:rPr>
            </w:pPr>
            <w:r w:rsidRPr="00D53270">
              <w:rPr>
                <w:b/>
                <w:bCs/>
                <w:sz w:val="18"/>
                <w:szCs w:val="18"/>
              </w:rPr>
              <w:t>Observaciones</w:t>
            </w:r>
          </w:p>
          <w:p w14:paraId="79A044CC" w14:textId="77777777" w:rsidR="00D53270" w:rsidRPr="00D53270" w:rsidRDefault="00D53270" w:rsidP="00D53270">
            <w:pPr>
              <w:spacing w:before="0" w:after="0"/>
              <w:jc w:val="left"/>
              <w:rPr>
                <w:sz w:val="18"/>
                <w:szCs w:val="18"/>
              </w:rPr>
            </w:pPr>
          </w:p>
          <w:p w14:paraId="147C347B" w14:textId="77777777" w:rsidR="00D53270" w:rsidRPr="00D53270" w:rsidRDefault="00D53270" w:rsidP="00D53270">
            <w:pPr>
              <w:spacing w:before="0" w:after="0"/>
              <w:jc w:val="left"/>
              <w:rPr>
                <w:sz w:val="18"/>
                <w:szCs w:val="18"/>
              </w:rPr>
            </w:pPr>
            <w:r w:rsidRPr="00D53270">
              <w:rPr>
                <w:sz w:val="18"/>
                <w:szCs w:val="18"/>
              </w:rPr>
              <w:t xml:space="preserve">Aplicación prioritaria: la inclusión de la cláusula en las bases será inmediata al comienzo de la vigencia de Plan. </w:t>
            </w:r>
          </w:p>
          <w:p w14:paraId="7BF61B96" w14:textId="77777777" w:rsidR="00D53270" w:rsidRPr="00D53270" w:rsidRDefault="00D53270" w:rsidP="00D53270">
            <w:pPr>
              <w:spacing w:before="0" w:after="0"/>
              <w:jc w:val="left"/>
              <w:rPr>
                <w:sz w:val="18"/>
                <w:szCs w:val="18"/>
              </w:rPr>
            </w:pPr>
          </w:p>
          <w:p w14:paraId="2B8D3F95" w14:textId="77777777" w:rsidR="00D53270" w:rsidRPr="00D53270" w:rsidRDefault="00D53270" w:rsidP="00D53270">
            <w:pPr>
              <w:spacing w:before="0" w:after="0"/>
              <w:jc w:val="left"/>
              <w:rPr>
                <w:sz w:val="18"/>
                <w:szCs w:val="18"/>
              </w:rPr>
            </w:pPr>
            <w:r w:rsidRPr="00D53270">
              <w:rPr>
                <w:sz w:val="18"/>
                <w:szCs w:val="18"/>
              </w:rPr>
              <w:t xml:space="preserve">El papel activo de las Consejerías es clave en esta medida: todas deben comprometerse a garantizar que al menos el 50% de todos los procesos selectivos que se convoquen en cada Oferta Pública de Empleo la persona que ocupe la Presidencia sea una mujer, en alternancia con la convocatoria anterior, excepto por razones fundamentadas y objetivas debidamente motivadas. </w:t>
            </w:r>
          </w:p>
          <w:p w14:paraId="64CCF4CB" w14:textId="77777777" w:rsidR="00D53270" w:rsidRPr="00D53270" w:rsidRDefault="00D53270" w:rsidP="00D53270">
            <w:pPr>
              <w:spacing w:before="0" w:after="0"/>
              <w:jc w:val="left"/>
              <w:rPr>
                <w:sz w:val="18"/>
                <w:szCs w:val="18"/>
              </w:rPr>
            </w:pPr>
          </w:p>
          <w:p w14:paraId="25D7FC65" w14:textId="77777777" w:rsidR="00D53270" w:rsidRPr="00D53270" w:rsidRDefault="00D53270" w:rsidP="00D53270">
            <w:pPr>
              <w:spacing w:before="0" w:after="0"/>
              <w:jc w:val="left"/>
              <w:rPr>
                <w:b/>
                <w:bCs/>
                <w:sz w:val="18"/>
                <w:szCs w:val="18"/>
              </w:rPr>
            </w:pPr>
            <w:r w:rsidRPr="00D53270">
              <w:rPr>
                <w:sz w:val="18"/>
                <w:szCs w:val="18"/>
              </w:rPr>
              <w:t>Se aplicará el mismo compromiso para el cargo de la Secretaría y de las Vocalías</w:t>
            </w:r>
          </w:p>
          <w:p w14:paraId="69FA70B3" w14:textId="77777777" w:rsidR="00D53270" w:rsidRPr="00D53270" w:rsidRDefault="00D53270" w:rsidP="00D53270">
            <w:pPr>
              <w:spacing w:before="0" w:after="0"/>
              <w:jc w:val="left"/>
              <w:rPr>
                <w:b/>
                <w:bCs/>
                <w:sz w:val="20"/>
                <w:szCs w:val="20"/>
              </w:rPr>
            </w:pPr>
          </w:p>
        </w:tc>
      </w:tr>
    </w:tbl>
    <w:p w14:paraId="5D1EDB3A" w14:textId="77777777" w:rsidR="00024B4E" w:rsidRDefault="00024B4E" w:rsidP="00024B4E"/>
    <w:p w14:paraId="03CD1E56" w14:textId="77777777" w:rsidR="00024B4E" w:rsidRPr="008F26EF" w:rsidRDefault="00024B4E" w:rsidP="00024B4E">
      <w:pPr>
        <w:spacing w:line="259" w:lineRule="auto"/>
        <w:jc w:val="left"/>
      </w:pPr>
      <w:r>
        <w:br w:type="page"/>
      </w:r>
    </w:p>
    <w:p w14:paraId="6F1169AF" w14:textId="77777777" w:rsidR="00024B4E" w:rsidRPr="00325538" w:rsidRDefault="00024B4E" w:rsidP="00024B4E">
      <w:r w:rsidRPr="00124E5E">
        <w:rPr>
          <w:rFonts w:eastAsiaTheme="majorEastAsia" w:cstheme="majorBidi"/>
          <w:b/>
          <w:bCs/>
          <w:iCs/>
          <w:snapToGrid w:val="0"/>
          <w:color w:val="78BE20"/>
          <w:sz w:val="24"/>
          <w:szCs w:val="24"/>
        </w:rPr>
        <w:t xml:space="preserve">OBJETIVO. </w:t>
      </w:r>
      <w:r w:rsidRPr="00CA73AA">
        <w:rPr>
          <w:b/>
          <w:bCs/>
        </w:rPr>
        <w:t xml:space="preserve">Seguir avanzando en la recogida y sistematización de datos desagregados por sexo </w:t>
      </w:r>
      <w:r>
        <w:rPr>
          <w:b/>
          <w:bCs/>
        </w:rPr>
        <w:t>y</w:t>
      </w:r>
      <w:r w:rsidRPr="00CA73AA">
        <w:rPr>
          <w:b/>
          <w:bCs/>
        </w:rPr>
        <w:t xml:space="preserve"> otros factores relevantes en el funcionamiento de la Administración General de La Rioja</w:t>
      </w:r>
      <w:r w:rsidRPr="00325538">
        <w:rPr>
          <w:b/>
          <w:bCs/>
        </w:rPr>
        <w:t>.</w:t>
      </w:r>
    </w:p>
    <w:p w14:paraId="0A10515E" w14:textId="28424010" w:rsidR="00024B4E" w:rsidRPr="002A0E0B" w:rsidRDefault="00024B4E" w:rsidP="00024B4E">
      <w:pPr>
        <w:pStyle w:val="Ttulo3"/>
      </w:pPr>
      <w:r w:rsidRPr="00024B4E">
        <w:t xml:space="preserve">Medida </w:t>
      </w:r>
      <w:r>
        <w:t>10</w:t>
      </w:r>
    </w:p>
    <w:tbl>
      <w:tblPr>
        <w:tblStyle w:val="Tablaconcuadrcula"/>
        <w:tblW w:w="0" w:type="auto"/>
        <w:tblLook w:val="04A0" w:firstRow="1" w:lastRow="0" w:firstColumn="1" w:lastColumn="0" w:noHBand="0" w:noVBand="1"/>
      </w:tblPr>
      <w:tblGrid>
        <w:gridCol w:w="2537"/>
        <w:gridCol w:w="5937"/>
      </w:tblGrid>
      <w:tr w:rsidR="00D53270" w:rsidRPr="00D53270" w14:paraId="633C4291" w14:textId="77777777" w:rsidTr="000F4CC1">
        <w:trPr>
          <w:trHeight w:val="1134"/>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5EE0702C" w14:textId="77777777" w:rsidR="00D53270" w:rsidRPr="00D53270" w:rsidRDefault="00D53270" w:rsidP="00D53270">
            <w:pPr>
              <w:spacing w:before="0" w:after="0"/>
              <w:ind w:left="22"/>
              <w:jc w:val="left"/>
            </w:pPr>
            <w:r w:rsidRPr="00D53270">
              <w:rPr>
                <w:b/>
                <w:bCs/>
                <w:color w:val="FFFFFF" w:themeColor="background1"/>
              </w:rPr>
              <w:t xml:space="preserve">Registro de los datos desagregados por sexo y cargo de la composición de los Tribunales de las pruebas de acceso a puestos de Personal Docente.  </w:t>
            </w:r>
          </w:p>
        </w:tc>
      </w:tr>
      <w:tr w:rsidR="00D53270" w:rsidRPr="00D53270" w14:paraId="26F4A555" w14:textId="77777777" w:rsidTr="000F4CC1">
        <w:trPr>
          <w:trHeight w:val="733"/>
        </w:trPr>
        <w:tc>
          <w:tcPr>
            <w:tcW w:w="2537"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19D294D0" w14:textId="77777777" w:rsidR="00D53270" w:rsidRPr="00D53270" w:rsidRDefault="00D53270" w:rsidP="00D53270">
            <w:pPr>
              <w:spacing w:before="0" w:after="0"/>
              <w:ind w:left="22"/>
              <w:jc w:val="left"/>
              <w:rPr>
                <w:sz w:val="20"/>
                <w:szCs w:val="20"/>
              </w:rPr>
            </w:pPr>
            <w:r w:rsidRPr="00D53270">
              <w:rPr>
                <w:b/>
                <w:bCs/>
                <w:sz w:val="20"/>
                <w:szCs w:val="20"/>
              </w:rPr>
              <w:t>Grupo destinatario</w:t>
            </w:r>
          </w:p>
        </w:tc>
        <w:tc>
          <w:tcPr>
            <w:tcW w:w="5937" w:type="dxa"/>
            <w:tcBorders>
              <w:top w:val="double" w:sz="4" w:space="0" w:color="253746"/>
              <w:left w:val="dashSmallGap" w:sz="4" w:space="0" w:color="253746"/>
              <w:bottom w:val="single" w:sz="4" w:space="0" w:color="253746"/>
              <w:right w:val="double" w:sz="4" w:space="0" w:color="253746"/>
            </w:tcBorders>
            <w:vAlign w:val="center"/>
          </w:tcPr>
          <w:p w14:paraId="3EA3A4C3" w14:textId="77777777" w:rsidR="00D53270" w:rsidRPr="00D53270" w:rsidRDefault="00D53270" w:rsidP="00D53270">
            <w:pPr>
              <w:spacing w:before="0" w:after="0"/>
              <w:ind w:left="315" w:hanging="218"/>
            </w:pPr>
            <w:r w:rsidRPr="00D53270">
              <w:rPr>
                <w:sz w:val="20"/>
                <w:szCs w:val="20"/>
              </w:rPr>
              <w:t>Personal Docente.</w:t>
            </w:r>
          </w:p>
        </w:tc>
      </w:tr>
      <w:tr w:rsidR="00D53270" w:rsidRPr="00D53270" w14:paraId="795557C5" w14:textId="77777777" w:rsidTr="000F4CC1">
        <w:trPr>
          <w:trHeight w:val="1134"/>
        </w:trPr>
        <w:tc>
          <w:tcPr>
            <w:tcW w:w="2537"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2777537" w14:textId="77777777" w:rsidR="00D53270" w:rsidRPr="00D53270" w:rsidRDefault="00D53270" w:rsidP="00D53270">
            <w:pPr>
              <w:spacing w:before="0" w:after="0"/>
              <w:ind w:left="22"/>
              <w:jc w:val="left"/>
              <w:rPr>
                <w:sz w:val="20"/>
                <w:szCs w:val="20"/>
              </w:rPr>
            </w:pPr>
            <w:r w:rsidRPr="00D53270">
              <w:rPr>
                <w:b/>
                <w:bCs/>
                <w:sz w:val="20"/>
                <w:szCs w:val="20"/>
              </w:rPr>
              <w:t>Descripción por acciones</w:t>
            </w:r>
          </w:p>
        </w:tc>
        <w:tc>
          <w:tcPr>
            <w:tcW w:w="5937" w:type="dxa"/>
            <w:tcBorders>
              <w:top w:val="single" w:sz="4" w:space="0" w:color="253746"/>
              <w:left w:val="dashSmallGap" w:sz="4" w:space="0" w:color="253746"/>
              <w:bottom w:val="single" w:sz="4" w:space="0" w:color="253746"/>
              <w:right w:val="double" w:sz="4" w:space="0" w:color="253746"/>
            </w:tcBorders>
            <w:vAlign w:val="center"/>
          </w:tcPr>
          <w:p w14:paraId="0BD86F76"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Diseño del registro </w:t>
            </w:r>
          </w:p>
          <w:p w14:paraId="0938C95A"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Facilitación a la Unidad competente de su cumplimentación</w:t>
            </w:r>
          </w:p>
          <w:p w14:paraId="6291401C"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Actualización en cada constitución de Tribunal</w:t>
            </w:r>
          </w:p>
        </w:tc>
      </w:tr>
      <w:tr w:rsidR="00D53270" w:rsidRPr="00D53270" w14:paraId="4957111F" w14:textId="77777777" w:rsidTr="000F4CC1">
        <w:trPr>
          <w:trHeight w:val="822"/>
        </w:trPr>
        <w:tc>
          <w:tcPr>
            <w:tcW w:w="2537"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A152C75" w14:textId="77777777" w:rsidR="00D53270" w:rsidRPr="00D53270" w:rsidRDefault="00D53270" w:rsidP="00D53270">
            <w:pPr>
              <w:spacing w:before="0" w:after="0"/>
              <w:ind w:left="22"/>
              <w:jc w:val="left"/>
              <w:rPr>
                <w:sz w:val="20"/>
                <w:szCs w:val="20"/>
              </w:rPr>
            </w:pPr>
            <w:r w:rsidRPr="00D53270">
              <w:rPr>
                <w:b/>
                <w:bCs/>
                <w:sz w:val="20"/>
                <w:szCs w:val="20"/>
              </w:rPr>
              <w:t>Medios y recursos</w:t>
            </w:r>
          </w:p>
        </w:tc>
        <w:tc>
          <w:tcPr>
            <w:tcW w:w="5937" w:type="dxa"/>
            <w:tcBorders>
              <w:top w:val="single" w:sz="4" w:space="0" w:color="253746"/>
              <w:left w:val="dashSmallGap" w:sz="4" w:space="0" w:color="253746"/>
              <w:bottom w:val="single" w:sz="4" w:space="0" w:color="253746"/>
              <w:right w:val="double" w:sz="4" w:space="0" w:color="253746"/>
            </w:tcBorders>
            <w:vAlign w:val="center"/>
          </w:tcPr>
          <w:p w14:paraId="79576323"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Aplicación informática</w:t>
            </w:r>
          </w:p>
          <w:p w14:paraId="28831F5E"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Normativa vigente</w:t>
            </w:r>
          </w:p>
        </w:tc>
      </w:tr>
      <w:tr w:rsidR="00D53270" w:rsidRPr="00D53270" w14:paraId="748046E3" w14:textId="77777777" w:rsidTr="000F4CC1">
        <w:trPr>
          <w:trHeight w:val="848"/>
        </w:trPr>
        <w:tc>
          <w:tcPr>
            <w:tcW w:w="2537"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C38A00A" w14:textId="77777777" w:rsidR="00D53270" w:rsidRPr="00D53270" w:rsidRDefault="00D53270" w:rsidP="00D53270">
            <w:pPr>
              <w:spacing w:before="0" w:after="0"/>
              <w:ind w:left="22"/>
              <w:jc w:val="left"/>
              <w:rPr>
                <w:sz w:val="20"/>
                <w:szCs w:val="20"/>
              </w:rPr>
            </w:pPr>
            <w:r w:rsidRPr="00D53270">
              <w:rPr>
                <w:b/>
                <w:bCs/>
                <w:sz w:val="20"/>
                <w:szCs w:val="20"/>
              </w:rPr>
              <w:t>Responsables</w:t>
            </w:r>
          </w:p>
        </w:tc>
        <w:tc>
          <w:tcPr>
            <w:tcW w:w="5937" w:type="dxa"/>
            <w:tcBorders>
              <w:top w:val="single" w:sz="4" w:space="0" w:color="253746"/>
              <w:left w:val="dashSmallGap" w:sz="4" w:space="0" w:color="253746"/>
              <w:bottom w:val="single" w:sz="4" w:space="0" w:color="253746"/>
              <w:right w:val="double" w:sz="4" w:space="0" w:color="253746"/>
            </w:tcBorders>
            <w:vAlign w:val="center"/>
          </w:tcPr>
          <w:p w14:paraId="136067F1" w14:textId="77777777" w:rsidR="00D53270" w:rsidRPr="00D53270" w:rsidRDefault="00D53270" w:rsidP="00D53270">
            <w:pPr>
              <w:spacing w:before="0" w:after="0"/>
              <w:ind w:left="315" w:hanging="218"/>
            </w:pPr>
            <w:r w:rsidRPr="00D53270">
              <w:rPr>
                <w:sz w:val="20"/>
                <w:szCs w:val="20"/>
              </w:rPr>
              <w:t>Órgano con competencias en materia de Gestión Educativa</w:t>
            </w:r>
          </w:p>
        </w:tc>
      </w:tr>
      <w:tr w:rsidR="00D53270" w:rsidRPr="00D53270" w14:paraId="6B694B29" w14:textId="77777777" w:rsidTr="000F4CC1">
        <w:trPr>
          <w:trHeight w:val="1134"/>
        </w:trPr>
        <w:tc>
          <w:tcPr>
            <w:tcW w:w="2537"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82C7776" w14:textId="77777777" w:rsidR="00D53270" w:rsidRPr="00D53270" w:rsidRDefault="00D53270" w:rsidP="00D53270">
            <w:pPr>
              <w:spacing w:before="0" w:after="0"/>
              <w:ind w:left="22"/>
              <w:jc w:val="left"/>
              <w:rPr>
                <w:sz w:val="20"/>
                <w:szCs w:val="20"/>
              </w:rPr>
            </w:pPr>
            <w:r w:rsidRPr="00D53270">
              <w:rPr>
                <w:b/>
                <w:bCs/>
                <w:sz w:val="20"/>
                <w:szCs w:val="20"/>
              </w:rPr>
              <w:t xml:space="preserve">Indicadores </w:t>
            </w:r>
          </w:p>
        </w:tc>
        <w:tc>
          <w:tcPr>
            <w:tcW w:w="5937" w:type="dxa"/>
            <w:tcBorders>
              <w:top w:val="single" w:sz="4" w:space="0" w:color="253746"/>
              <w:left w:val="dashSmallGap" w:sz="4" w:space="0" w:color="253746"/>
              <w:bottom w:val="single" w:sz="4" w:space="0" w:color="253746"/>
              <w:right w:val="double" w:sz="4" w:space="0" w:color="253746"/>
            </w:tcBorders>
            <w:vAlign w:val="center"/>
          </w:tcPr>
          <w:p w14:paraId="5CEFD397"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Registro creado y difundido</w:t>
            </w:r>
          </w:p>
          <w:p w14:paraId="77952D15"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Nº de Tribunales constituidos</w:t>
            </w:r>
          </w:p>
          <w:p w14:paraId="30EF67AE"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de integrantes según sexo y cargo dentro del Tribunal</w:t>
            </w:r>
          </w:p>
        </w:tc>
      </w:tr>
      <w:tr w:rsidR="00D53270" w:rsidRPr="00D53270" w14:paraId="337CF8B8" w14:textId="77777777" w:rsidTr="000F4CC1">
        <w:trPr>
          <w:trHeight w:val="824"/>
        </w:trPr>
        <w:tc>
          <w:tcPr>
            <w:tcW w:w="2537"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417552A4" w14:textId="77777777" w:rsidR="00D53270" w:rsidRPr="00D53270" w:rsidRDefault="00D53270" w:rsidP="00D53270">
            <w:pPr>
              <w:spacing w:before="0" w:after="0"/>
              <w:ind w:left="22"/>
              <w:jc w:val="left"/>
              <w:rPr>
                <w:sz w:val="20"/>
                <w:szCs w:val="20"/>
              </w:rPr>
            </w:pPr>
            <w:r w:rsidRPr="00D53270">
              <w:rPr>
                <w:b/>
                <w:bCs/>
                <w:sz w:val="20"/>
                <w:szCs w:val="20"/>
              </w:rPr>
              <w:t>Plazo</w:t>
            </w:r>
          </w:p>
        </w:tc>
        <w:tc>
          <w:tcPr>
            <w:tcW w:w="5937" w:type="dxa"/>
            <w:tcBorders>
              <w:top w:val="single" w:sz="4" w:space="0" w:color="253746"/>
              <w:left w:val="dashSmallGap" w:sz="4" w:space="0" w:color="253746"/>
              <w:right w:val="double" w:sz="4" w:space="0" w:color="253746"/>
            </w:tcBorders>
            <w:vAlign w:val="center"/>
          </w:tcPr>
          <w:p w14:paraId="4CF02309" w14:textId="77777777" w:rsidR="00D53270" w:rsidRPr="00D53270" w:rsidRDefault="00D53270" w:rsidP="007C5EA0">
            <w:pPr>
              <w:spacing w:before="0" w:after="0"/>
              <w:ind w:left="162"/>
              <w:jc w:val="left"/>
              <w:rPr>
                <w:sz w:val="20"/>
                <w:szCs w:val="20"/>
              </w:rPr>
            </w:pPr>
            <w:r w:rsidRPr="00D53270">
              <w:rPr>
                <w:sz w:val="20"/>
                <w:szCs w:val="20"/>
              </w:rPr>
              <w:t xml:space="preserve">Permanente desde el inicio del Plan de Igualdad  </w:t>
            </w:r>
          </w:p>
        </w:tc>
      </w:tr>
      <w:tr w:rsidR="00D53270" w:rsidRPr="00D53270" w14:paraId="24DA37AF" w14:textId="77777777" w:rsidTr="00EA35D6">
        <w:trPr>
          <w:trHeight w:val="1970"/>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5C5E8CA0" w14:textId="77777777" w:rsidR="00D53270" w:rsidRPr="00D53270" w:rsidRDefault="00D53270" w:rsidP="00EA35D6">
            <w:pPr>
              <w:spacing w:before="0" w:after="0"/>
              <w:jc w:val="left"/>
              <w:rPr>
                <w:b/>
                <w:bCs/>
                <w:sz w:val="18"/>
                <w:szCs w:val="18"/>
              </w:rPr>
            </w:pPr>
            <w:r w:rsidRPr="00D53270">
              <w:rPr>
                <w:b/>
                <w:bCs/>
                <w:sz w:val="18"/>
                <w:szCs w:val="18"/>
              </w:rPr>
              <w:t>Observaciones</w:t>
            </w:r>
          </w:p>
          <w:p w14:paraId="3245B18A" w14:textId="77777777" w:rsidR="00D53270" w:rsidRPr="00D53270" w:rsidRDefault="00D53270" w:rsidP="00EA35D6">
            <w:pPr>
              <w:spacing w:before="0" w:after="0"/>
              <w:jc w:val="left"/>
              <w:rPr>
                <w:sz w:val="18"/>
                <w:szCs w:val="18"/>
              </w:rPr>
            </w:pPr>
          </w:p>
          <w:p w14:paraId="36B8C5B0" w14:textId="77777777" w:rsidR="00D53270" w:rsidRPr="00D53270" w:rsidRDefault="00D53270" w:rsidP="00EA35D6">
            <w:pPr>
              <w:spacing w:before="0" w:after="0"/>
              <w:jc w:val="left"/>
              <w:rPr>
                <w:sz w:val="18"/>
                <w:szCs w:val="18"/>
              </w:rPr>
            </w:pPr>
            <w:r w:rsidRPr="00D53270">
              <w:rPr>
                <w:sz w:val="18"/>
                <w:szCs w:val="18"/>
              </w:rPr>
              <w:t xml:space="preserve">Aplicación prioritaria: el registro de datos será inmediato al comienzo de la vigencia de Plan. </w:t>
            </w:r>
          </w:p>
          <w:p w14:paraId="6984C082" w14:textId="77777777" w:rsidR="00D53270" w:rsidRPr="00D53270" w:rsidRDefault="00D53270" w:rsidP="00EA35D6">
            <w:pPr>
              <w:spacing w:before="0" w:after="0"/>
              <w:jc w:val="left"/>
              <w:rPr>
                <w:b/>
                <w:bCs/>
                <w:sz w:val="20"/>
                <w:szCs w:val="20"/>
              </w:rPr>
            </w:pPr>
            <w:r w:rsidRPr="00D53270">
              <w:rPr>
                <w:sz w:val="18"/>
                <w:szCs w:val="18"/>
              </w:rPr>
              <w:t xml:space="preserve">Aunque los datos de estos Tribunales sí estén desagregados por sexo, no lo están por cargo, lo que imposibilita conocer la segregación interna. La recogida de estos datos equipararía la información disponible sobre los Tribunales de los Servicios Generales y del Personal Docente. </w:t>
            </w:r>
          </w:p>
        </w:tc>
      </w:tr>
    </w:tbl>
    <w:p w14:paraId="63E249BC" w14:textId="77777777" w:rsidR="00024B4E" w:rsidRDefault="00024B4E" w:rsidP="00024B4E">
      <w:pPr>
        <w:spacing w:line="259" w:lineRule="auto"/>
        <w:jc w:val="left"/>
      </w:pPr>
    </w:p>
    <w:p w14:paraId="7B33976C" w14:textId="77777777" w:rsidR="00024B4E" w:rsidRDefault="00024B4E" w:rsidP="00024B4E">
      <w:pPr>
        <w:spacing w:line="259" w:lineRule="auto"/>
        <w:jc w:val="left"/>
        <w:rPr>
          <w:highlight w:val="magenta"/>
        </w:rPr>
      </w:pPr>
      <w:r>
        <w:rPr>
          <w:highlight w:val="magenta"/>
        </w:rPr>
        <w:br w:type="page"/>
      </w:r>
    </w:p>
    <w:p w14:paraId="0544FA2E" w14:textId="77777777" w:rsidR="00024B4E" w:rsidRDefault="00024B4E" w:rsidP="00024B4E">
      <w:pPr>
        <w:rPr>
          <w:b/>
          <w:bCs/>
        </w:rPr>
      </w:pPr>
      <w:r w:rsidRPr="00CA73AA">
        <w:rPr>
          <w:b/>
          <w:bCs/>
          <w:iCs/>
          <w:color w:val="78BE20"/>
        </w:rPr>
        <w:t xml:space="preserve">OBJETIVO. </w:t>
      </w:r>
      <w:r w:rsidRPr="00CA73AA">
        <w:rPr>
          <w:b/>
          <w:bCs/>
        </w:rPr>
        <w:t xml:space="preserve">Seguir avanzando en la recogida y sistematización de datos desagregados por sexo </w:t>
      </w:r>
      <w:r>
        <w:rPr>
          <w:b/>
          <w:bCs/>
        </w:rPr>
        <w:t>y</w:t>
      </w:r>
      <w:r w:rsidRPr="00CA73AA">
        <w:rPr>
          <w:b/>
          <w:bCs/>
        </w:rPr>
        <w:t xml:space="preserve"> otros factores relevantes en el funcionamiento de la Administración General de La Rioja.</w:t>
      </w:r>
    </w:p>
    <w:p w14:paraId="423E7893" w14:textId="7E13E1E0" w:rsidR="00024B4E" w:rsidRPr="00CA73AA" w:rsidRDefault="00024B4E" w:rsidP="00024B4E">
      <w:pPr>
        <w:pStyle w:val="Ttulo3"/>
      </w:pPr>
      <w:r w:rsidRPr="00024B4E">
        <w:t xml:space="preserve">Medida </w:t>
      </w:r>
      <w:r>
        <w:t>11</w:t>
      </w:r>
    </w:p>
    <w:tbl>
      <w:tblPr>
        <w:tblStyle w:val="Tablaconcuadrcula"/>
        <w:tblW w:w="0" w:type="auto"/>
        <w:tblLook w:val="04A0" w:firstRow="1" w:lastRow="0" w:firstColumn="1" w:lastColumn="0" w:noHBand="0" w:noVBand="1"/>
      </w:tblPr>
      <w:tblGrid>
        <w:gridCol w:w="2402"/>
        <w:gridCol w:w="6072"/>
      </w:tblGrid>
      <w:tr w:rsidR="00D53270" w:rsidRPr="00D53270" w14:paraId="12D6DFCE" w14:textId="77777777" w:rsidTr="000F4CC1">
        <w:trPr>
          <w:trHeight w:val="1397"/>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5D514BD4" w14:textId="77777777" w:rsidR="00D53270" w:rsidRPr="00D53270" w:rsidRDefault="00D53270" w:rsidP="00D53270">
            <w:pPr>
              <w:spacing w:before="0" w:after="0"/>
              <w:ind w:left="22"/>
              <w:rPr>
                <w:b/>
                <w:bCs/>
                <w:color w:val="FFFFFF" w:themeColor="background1"/>
              </w:rPr>
            </w:pPr>
            <w:r w:rsidRPr="00D53270">
              <w:rPr>
                <w:b/>
                <w:bCs/>
                <w:color w:val="FFFFFF" w:themeColor="background1"/>
              </w:rPr>
              <w:t xml:space="preserve">Creación de un sistema estandarizado de solicitud de medidas de conciliación que identifique la motivación de la necesidad y a la persona solicitante desagregando por sexo, tipo de personal, grupo profesional y modelo de familia al que pertenece.  </w:t>
            </w:r>
          </w:p>
        </w:tc>
      </w:tr>
      <w:tr w:rsidR="00D53270" w:rsidRPr="00D53270" w14:paraId="06F3CE27" w14:textId="77777777" w:rsidTr="000F4CC1">
        <w:trPr>
          <w:trHeight w:val="734"/>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5854A8DE" w14:textId="77777777" w:rsidR="00D53270" w:rsidRPr="00D53270" w:rsidRDefault="00D53270" w:rsidP="00D53270">
            <w:pPr>
              <w:spacing w:before="0" w:after="0"/>
              <w:ind w:left="22"/>
              <w:jc w:val="left"/>
              <w:rPr>
                <w:sz w:val="20"/>
                <w:szCs w:val="20"/>
              </w:rPr>
            </w:pPr>
            <w:r w:rsidRPr="00D53270">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42DF2DFB" w14:textId="77777777" w:rsidR="00D53270" w:rsidRPr="00D53270" w:rsidRDefault="00D53270" w:rsidP="00D53270">
            <w:pPr>
              <w:spacing w:before="0" w:after="0"/>
              <w:ind w:left="315" w:hanging="218"/>
            </w:pPr>
            <w:r w:rsidRPr="00D53270">
              <w:rPr>
                <w:sz w:val="20"/>
                <w:szCs w:val="20"/>
              </w:rPr>
              <w:t xml:space="preserve">Unidades Administrativas. </w:t>
            </w:r>
          </w:p>
        </w:tc>
      </w:tr>
      <w:tr w:rsidR="00D53270" w:rsidRPr="00D53270" w14:paraId="48BE74F8" w14:textId="77777777" w:rsidTr="000F4CC1">
        <w:trPr>
          <w:trHeight w:val="2014"/>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2386B15" w14:textId="77777777" w:rsidR="00D53270" w:rsidRPr="00D53270" w:rsidRDefault="00D53270" w:rsidP="00D53270">
            <w:pPr>
              <w:spacing w:before="0" w:after="0"/>
              <w:ind w:left="22"/>
              <w:jc w:val="left"/>
              <w:rPr>
                <w:sz w:val="20"/>
                <w:szCs w:val="20"/>
              </w:rPr>
            </w:pPr>
            <w:r w:rsidRPr="00D53270">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970F851"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Identificación de la tipología de derechos a la conciliación establecidos en el TREBEP, ET y Acuerdo Convenio de aplicación. </w:t>
            </w:r>
          </w:p>
          <w:p w14:paraId="5DF326A6"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Enumeración de las variables de desagregación </w:t>
            </w:r>
          </w:p>
          <w:p w14:paraId="541E855F"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Inclusión de un apartado abierto para especificación de necesidades</w:t>
            </w:r>
          </w:p>
          <w:p w14:paraId="31EF69E6" w14:textId="77777777" w:rsidR="00D53270" w:rsidRPr="00D53270" w:rsidRDefault="00D53270">
            <w:pPr>
              <w:numPr>
                <w:ilvl w:val="0"/>
                <w:numId w:val="8"/>
              </w:numPr>
              <w:tabs>
                <w:tab w:val="left" w:pos="5698"/>
              </w:tabs>
              <w:spacing w:before="0" w:after="0" w:line="259" w:lineRule="auto"/>
              <w:ind w:left="294" w:right="12" w:hanging="197"/>
              <w:contextualSpacing/>
              <w:jc w:val="left"/>
              <w:rPr>
                <w:sz w:val="20"/>
                <w:szCs w:val="18"/>
              </w:rPr>
            </w:pPr>
            <w:r w:rsidRPr="00D53270">
              <w:rPr>
                <w:sz w:val="20"/>
                <w:szCs w:val="18"/>
              </w:rPr>
              <w:t xml:space="preserve">Creación del sistema y difusión </w:t>
            </w:r>
          </w:p>
        </w:tc>
      </w:tr>
      <w:tr w:rsidR="00D53270" w:rsidRPr="00D53270" w14:paraId="52B0C549" w14:textId="77777777" w:rsidTr="007C5EA0">
        <w:trPr>
          <w:trHeight w:val="64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4D9A34D2" w14:textId="77777777" w:rsidR="00D53270" w:rsidRPr="00D53270" w:rsidRDefault="00D53270" w:rsidP="00D53270">
            <w:pPr>
              <w:spacing w:before="0" w:after="0"/>
              <w:ind w:left="22"/>
              <w:jc w:val="left"/>
              <w:rPr>
                <w:sz w:val="20"/>
                <w:szCs w:val="20"/>
              </w:rPr>
            </w:pPr>
            <w:r w:rsidRPr="00D53270">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1EA59E25" w14:textId="46F18BC3" w:rsidR="00D53270" w:rsidRPr="00D53270" w:rsidRDefault="00D53270" w:rsidP="007C5EA0">
            <w:pPr>
              <w:spacing w:before="0" w:after="0"/>
              <w:ind w:left="315" w:hanging="218"/>
              <w:rPr>
                <w:sz w:val="20"/>
                <w:szCs w:val="20"/>
              </w:rPr>
            </w:pPr>
            <w:r w:rsidRPr="00D53270">
              <w:rPr>
                <w:sz w:val="20"/>
                <w:szCs w:val="20"/>
              </w:rPr>
              <w:t>Normativa vigente</w:t>
            </w:r>
          </w:p>
        </w:tc>
      </w:tr>
      <w:tr w:rsidR="00D53270" w:rsidRPr="00D53270" w14:paraId="76F063C8" w14:textId="77777777" w:rsidTr="007C5EA0">
        <w:trPr>
          <w:trHeight w:val="55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628D652C" w14:textId="77777777" w:rsidR="00D53270" w:rsidRPr="00D53270" w:rsidRDefault="00D53270" w:rsidP="00D53270">
            <w:pPr>
              <w:spacing w:before="0" w:after="0"/>
              <w:ind w:left="22"/>
              <w:jc w:val="left"/>
              <w:rPr>
                <w:sz w:val="20"/>
                <w:szCs w:val="20"/>
              </w:rPr>
            </w:pPr>
            <w:r w:rsidRPr="00D53270">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56F3926" w14:textId="77777777" w:rsidR="00D53270" w:rsidRPr="00D53270" w:rsidRDefault="00D53270" w:rsidP="00D53270">
            <w:pPr>
              <w:spacing w:before="0" w:after="0"/>
              <w:ind w:left="315" w:hanging="218"/>
              <w:rPr>
                <w:szCs w:val="20"/>
              </w:rPr>
            </w:pPr>
            <w:r w:rsidRPr="00D53270">
              <w:rPr>
                <w:sz w:val="20"/>
                <w:szCs w:val="20"/>
              </w:rPr>
              <w:t>Órgano con competencias en materia de Función Pública</w:t>
            </w:r>
          </w:p>
        </w:tc>
      </w:tr>
      <w:tr w:rsidR="00D53270" w:rsidRPr="00D53270" w14:paraId="535246F9" w14:textId="77777777" w:rsidTr="007C5EA0">
        <w:trPr>
          <w:trHeight w:val="70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F30EEF5" w14:textId="77777777" w:rsidR="00D53270" w:rsidRPr="00D53270" w:rsidRDefault="00D53270" w:rsidP="00D53270">
            <w:pPr>
              <w:spacing w:before="0" w:after="0"/>
              <w:ind w:left="22"/>
              <w:jc w:val="left"/>
              <w:rPr>
                <w:sz w:val="20"/>
                <w:szCs w:val="20"/>
              </w:rPr>
            </w:pPr>
            <w:r w:rsidRPr="00D53270">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134C1E39" w14:textId="77777777" w:rsidR="00D53270" w:rsidRPr="00D53270" w:rsidRDefault="00D53270" w:rsidP="007C5EA0">
            <w:pPr>
              <w:spacing w:before="0" w:after="0"/>
              <w:ind w:left="152"/>
              <w:jc w:val="left"/>
              <w:rPr>
                <w:sz w:val="20"/>
                <w:szCs w:val="20"/>
              </w:rPr>
            </w:pPr>
          </w:p>
          <w:p w14:paraId="6A3035DD" w14:textId="77777777" w:rsidR="00D53270" w:rsidRPr="00D53270" w:rsidRDefault="00D53270" w:rsidP="007C5EA0">
            <w:pPr>
              <w:tabs>
                <w:tab w:val="left" w:pos="5698"/>
              </w:tabs>
              <w:spacing w:before="0" w:after="0" w:line="259" w:lineRule="auto"/>
              <w:ind w:left="152" w:right="12"/>
              <w:contextualSpacing/>
              <w:jc w:val="left"/>
              <w:rPr>
                <w:sz w:val="20"/>
                <w:szCs w:val="18"/>
              </w:rPr>
            </w:pPr>
            <w:r w:rsidRPr="00D53270">
              <w:rPr>
                <w:sz w:val="20"/>
                <w:szCs w:val="18"/>
              </w:rPr>
              <w:t xml:space="preserve">Sistema creado y difundido entre las Unidades Administrativas </w:t>
            </w:r>
          </w:p>
          <w:p w14:paraId="568F5239" w14:textId="77777777" w:rsidR="00D53270" w:rsidRPr="00D53270" w:rsidRDefault="00D53270" w:rsidP="007C5EA0">
            <w:pPr>
              <w:spacing w:before="0" w:after="0"/>
              <w:ind w:left="152"/>
              <w:jc w:val="left"/>
              <w:rPr>
                <w:sz w:val="20"/>
                <w:szCs w:val="20"/>
              </w:rPr>
            </w:pPr>
          </w:p>
        </w:tc>
      </w:tr>
      <w:tr w:rsidR="00D53270" w:rsidRPr="00D53270" w14:paraId="4BB7A670" w14:textId="77777777" w:rsidTr="000F4CC1">
        <w:trPr>
          <w:trHeight w:val="517"/>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6799860" w14:textId="77777777" w:rsidR="00D53270" w:rsidRPr="00D53270" w:rsidRDefault="00D53270" w:rsidP="00D53270">
            <w:pPr>
              <w:spacing w:before="0" w:after="0"/>
              <w:ind w:left="22"/>
              <w:jc w:val="left"/>
              <w:rPr>
                <w:sz w:val="20"/>
                <w:szCs w:val="20"/>
              </w:rPr>
            </w:pPr>
            <w:r w:rsidRPr="00D53270">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51D74D27" w14:textId="77777777" w:rsidR="00D53270" w:rsidRPr="00D53270" w:rsidRDefault="00D53270" w:rsidP="007C5EA0">
            <w:pPr>
              <w:spacing w:before="0" w:after="0"/>
              <w:ind w:left="152"/>
              <w:jc w:val="left"/>
              <w:rPr>
                <w:sz w:val="20"/>
                <w:szCs w:val="20"/>
              </w:rPr>
            </w:pPr>
            <w:r w:rsidRPr="00D53270">
              <w:rPr>
                <w:sz w:val="20"/>
                <w:szCs w:val="20"/>
              </w:rPr>
              <w:t>Año 2 desde el inicio del Plan de Igualdad</w:t>
            </w:r>
          </w:p>
        </w:tc>
      </w:tr>
      <w:tr w:rsidR="00D53270" w:rsidRPr="00D53270" w14:paraId="67CC9204" w14:textId="77777777" w:rsidTr="00EA35D6">
        <w:trPr>
          <w:trHeight w:val="1641"/>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5F78E549" w14:textId="77777777" w:rsidR="00D53270" w:rsidRPr="00D53270" w:rsidRDefault="00D53270" w:rsidP="00D53270">
            <w:pPr>
              <w:spacing w:before="0" w:after="0"/>
              <w:jc w:val="left"/>
              <w:rPr>
                <w:b/>
                <w:bCs/>
                <w:sz w:val="18"/>
                <w:szCs w:val="18"/>
              </w:rPr>
            </w:pPr>
            <w:r w:rsidRPr="00D53270">
              <w:rPr>
                <w:b/>
                <w:bCs/>
                <w:sz w:val="18"/>
                <w:szCs w:val="18"/>
              </w:rPr>
              <w:t>Observaciones</w:t>
            </w:r>
          </w:p>
          <w:p w14:paraId="3C01101D" w14:textId="77777777" w:rsidR="00D53270" w:rsidRPr="00D53270" w:rsidRDefault="00D53270" w:rsidP="00D53270">
            <w:pPr>
              <w:spacing w:before="0" w:after="0"/>
              <w:jc w:val="left"/>
              <w:rPr>
                <w:b/>
                <w:bCs/>
                <w:sz w:val="20"/>
                <w:szCs w:val="20"/>
              </w:rPr>
            </w:pPr>
          </w:p>
          <w:p w14:paraId="54F8CC90" w14:textId="392FD1E1" w:rsidR="00D53270" w:rsidRPr="00D53270" w:rsidRDefault="00D53270" w:rsidP="00EA35D6">
            <w:pPr>
              <w:spacing w:before="0" w:after="0"/>
              <w:jc w:val="left"/>
              <w:rPr>
                <w:b/>
                <w:bCs/>
                <w:sz w:val="20"/>
                <w:szCs w:val="20"/>
              </w:rPr>
            </w:pPr>
            <w:r w:rsidRPr="00D53270">
              <w:rPr>
                <w:sz w:val="18"/>
                <w:szCs w:val="18"/>
              </w:rPr>
              <w:t>Los datos recogidos por el sistema serán informados en las sesiones de la Comisión de Seguimiento, de manera que se puedan identificar necesidades en materia de conciliación y, en su caso, que las soluciones sean planteadas en la Negociación Colectiva.</w:t>
            </w:r>
          </w:p>
        </w:tc>
      </w:tr>
    </w:tbl>
    <w:p w14:paraId="2CC52E79" w14:textId="77777777" w:rsidR="00024B4E" w:rsidRDefault="00024B4E" w:rsidP="00024B4E">
      <w:pPr>
        <w:spacing w:line="259" w:lineRule="auto"/>
        <w:jc w:val="left"/>
      </w:pPr>
    </w:p>
    <w:p w14:paraId="32AABA82" w14:textId="2394A938" w:rsidR="009B14CB" w:rsidRDefault="00024B4E" w:rsidP="00024B4E">
      <w:r>
        <w:br w:type="page"/>
      </w:r>
    </w:p>
    <w:p w14:paraId="39E8ECCF" w14:textId="26B5196C" w:rsidR="005121F6" w:rsidRPr="00024B4E" w:rsidRDefault="00024B4E" w:rsidP="00024B4E">
      <w:pPr>
        <w:pStyle w:val="Ttulo2"/>
      </w:pPr>
      <w:bookmarkStart w:id="28" w:name="_Toc122080800"/>
      <w:r>
        <w:t>Ámbito</w:t>
      </w:r>
      <w:r w:rsidR="005121F6" w:rsidRPr="00024B4E">
        <w:t xml:space="preserve"> 2. Formación y sensibilización en igualdad</w:t>
      </w:r>
      <w:bookmarkEnd w:id="28"/>
    </w:p>
    <w:p w14:paraId="37D19485" w14:textId="6607B24E" w:rsidR="005121F6" w:rsidRDefault="00564CC6" w:rsidP="005121F6">
      <w:r w:rsidRPr="00EA35D6">
        <w:rPr>
          <w:b/>
          <w:bCs/>
          <w:lang w:val="es-ES_tradnl"/>
        </w:rPr>
        <w:t xml:space="preserve">Con las </w:t>
      </w:r>
      <w:r w:rsidR="00FC5885">
        <w:rPr>
          <w:b/>
          <w:bCs/>
          <w:lang w:val="es-ES_tradnl"/>
        </w:rPr>
        <w:t>6</w:t>
      </w:r>
      <w:r w:rsidRPr="00EA35D6">
        <w:rPr>
          <w:b/>
          <w:bCs/>
          <w:lang w:val="es-ES_tradnl"/>
        </w:rPr>
        <w:t xml:space="preserve"> medidas contenidas en </w:t>
      </w:r>
      <w:r w:rsidR="005121F6" w:rsidRPr="00EA35D6">
        <w:rPr>
          <w:b/>
          <w:bCs/>
        </w:rPr>
        <w:t xml:space="preserve">este </w:t>
      </w:r>
      <w:r w:rsidRPr="00EA35D6">
        <w:rPr>
          <w:b/>
          <w:bCs/>
        </w:rPr>
        <w:t>ámbito</w:t>
      </w:r>
      <w:r w:rsidR="005121F6" w:rsidRPr="00EA35D6">
        <w:rPr>
          <w:b/>
          <w:bCs/>
        </w:rPr>
        <w:t xml:space="preserve"> se trata de ampliar y fortalecer el esfuerzo que se viene haciendo</w:t>
      </w:r>
      <w:r w:rsidR="005121F6">
        <w:t xml:space="preserve"> en la Administración General, y en concreto desde la ERAP, por formar al personal público en materia de igualdad. </w:t>
      </w:r>
    </w:p>
    <w:p w14:paraId="637D57EC" w14:textId="77777777" w:rsidR="004523D0" w:rsidRDefault="004523D0" w:rsidP="005121F6"/>
    <w:tbl>
      <w:tblPr>
        <w:tblStyle w:val="Tablaconcuadrcula"/>
        <w:tblW w:w="0" w:type="auto"/>
        <w:tblLook w:val="04A0" w:firstRow="1" w:lastRow="0" w:firstColumn="1" w:lastColumn="0" w:noHBand="0" w:noVBand="1"/>
      </w:tblPr>
      <w:tblGrid>
        <w:gridCol w:w="1101"/>
        <w:gridCol w:w="7543"/>
      </w:tblGrid>
      <w:tr w:rsidR="004523D0" w14:paraId="2334C3C1" w14:textId="77777777" w:rsidTr="00574ACA">
        <w:tc>
          <w:tcPr>
            <w:tcW w:w="8644" w:type="dxa"/>
            <w:gridSpan w:val="2"/>
            <w:tcBorders>
              <w:top w:val="single" w:sz="4" w:space="0" w:color="78BE20"/>
              <w:left w:val="single" w:sz="4" w:space="0" w:color="78BE20"/>
              <w:bottom w:val="single" w:sz="4" w:space="0" w:color="FFFFFF"/>
              <w:right w:val="single" w:sz="4" w:space="0" w:color="78BE20"/>
            </w:tcBorders>
            <w:vAlign w:val="center"/>
          </w:tcPr>
          <w:p w14:paraId="04DF7325" w14:textId="77777777" w:rsidR="008D2C6A" w:rsidRDefault="008D2C6A" w:rsidP="000F4CC1">
            <w:pPr>
              <w:spacing w:before="0" w:after="0" w:line="259" w:lineRule="auto"/>
              <w:rPr>
                <w:b/>
                <w:bCs/>
                <w:color w:val="78BE20"/>
                <w:sz w:val="20"/>
                <w:szCs w:val="20"/>
              </w:rPr>
            </w:pPr>
          </w:p>
          <w:p w14:paraId="1F24BC9B" w14:textId="12DEB557" w:rsidR="004523D0" w:rsidRDefault="004523D0" w:rsidP="000F4CC1">
            <w:pPr>
              <w:spacing w:before="0" w:after="0" w:line="259" w:lineRule="auto"/>
              <w:rPr>
                <w:sz w:val="20"/>
                <w:szCs w:val="20"/>
              </w:rPr>
            </w:pPr>
            <w:r w:rsidRPr="000A25DD">
              <w:rPr>
                <w:b/>
                <w:bCs/>
                <w:color w:val="78BE20"/>
                <w:sz w:val="20"/>
                <w:szCs w:val="20"/>
              </w:rPr>
              <w:t>OBJETIVO.</w:t>
            </w:r>
            <w:r>
              <w:rPr>
                <w:sz w:val="20"/>
                <w:szCs w:val="20"/>
              </w:rPr>
              <w:t xml:space="preserve"> </w:t>
            </w:r>
            <w:r w:rsidRPr="004523D0">
              <w:rPr>
                <w:b/>
                <w:bCs/>
                <w:sz w:val="20"/>
                <w:szCs w:val="20"/>
              </w:rPr>
              <w:t>Profundizar en la sensibilización del personal público en materia de igualdad entre mujeres y hombres</w:t>
            </w:r>
            <w:r>
              <w:rPr>
                <w:b/>
                <w:bCs/>
                <w:sz w:val="20"/>
                <w:szCs w:val="20"/>
              </w:rPr>
              <w:t>.</w:t>
            </w:r>
          </w:p>
          <w:p w14:paraId="5F643AE8" w14:textId="77777777" w:rsidR="004523D0" w:rsidRDefault="004523D0" w:rsidP="000F4CC1">
            <w:pPr>
              <w:spacing w:before="0" w:after="0" w:line="259" w:lineRule="auto"/>
            </w:pPr>
          </w:p>
        </w:tc>
      </w:tr>
      <w:tr w:rsidR="004523D0" w14:paraId="2D73F955" w14:textId="77777777" w:rsidTr="00C76233">
        <w:trPr>
          <w:trHeight w:val="907"/>
        </w:trPr>
        <w:tc>
          <w:tcPr>
            <w:tcW w:w="1101" w:type="dxa"/>
            <w:tcBorders>
              <w:top w:val="single" w:sz="4" w:space="0" w:color="FFFFFF"/>
              <w:left w:val="single" w:sz="4" w:space="0" w:color="78BE20"/>
              <w:bottom w:val="single" w:sz="4" w:space="0" w:color="FFFFFF"/>
              <w:right w:val="single" w:sz="4" w:space="0" w:color="FFFFFF"/>
            </w:tcBorders>
            <w:shd w:val="clear" w:color="auto" w:fill="78BE20"/>
            <w:vAlign w:val="center"/>
          </w:tcPr>
          <w:p w14:paraId="3A46850D" w14:textId="58DC9254" w:rsidR="004523D0" w:rsidRPr="000A25DD" w:rsidRDefault="002F7442" w:rsidP="00325A51">
            <w:pPr>
              <w:spacing w:before="0" w:after="0" w:line="259" w:lineRule="auto"/>
              <w:jc w:val="right"/>
              <w:rPr>
                <w:b/>
                <w:bCs/>
                <w:color w:val="FFFFFF" w:themeColor="background1"/>
              </w:rPr>
            </w:pPr>
            <w:r w:rsidRPr="002F7442">
              <w:rPr>
                <w:b/>
                <w:bCs/>
                <w:color w:val="FFFFFF" w:themeColor="background1"/>
                <w:sz w:val="20"/>
                <w:szCs w:val="20"/>
              </w:rPr>
              <w:t xml:space="preserve">Medida </w:t>
            </w:r>
            <w:r w:rsidR="00325A51" w:rsidRPr="00325A51">
              <w:rPr>
                <w:b/>
                <w:bCs/>
                <w:color w:val="FFFFFF" w:themeColor="background1"/>
                <w:sz w:val="32"/>
                <w:szCs w:val="32"/>
              </w:rPr>
              <w:t>1</w:t>
            </w:r>
            <w:r w:rsidR="00325A51">
              <w:rPr>
                <w:b/>
                <w:bCs/>
                <w:color w:val="FFFFFF" w:themeColor="background1"/>
                <w:sz w:val="32"/>
                <w:szCs w:val="32"/>
              </w:rPr>
              <w:t>2</w:t>
            </w:r>
          </w:p>
        </w:tc>
        <w:tc>
          <w:tcPr>
            <w:tcW w:w="7543" w:type="dxa"/>
            <w:tcBorders>
              <w:top w:val="single" w:sz="4" w:space="0" w:color="FFFFFF"/>
              <w:left w:val="single" w:sz="4" w:space="0" w:color="FFFFFF"/>
              <w:bottom w:val="single" w:sz="4" w:space="0" w:color="78BE20"/>
              <w:right w:val="single" w:sz="4" w:space="0" w:color="78BE20"/>
            </w:tcBorders>
            <w:vAlign w:val="center"/>
          </w:tcPr>
          <w:p w14:paraId="3E6B1791" w14:textId="2C1CE8DD" w:rsidR="004523D0" w:rsidRPr="00325A51" w:rsidRDefault="00325A51" w:rsidP="000F4CC1">
            <w:pPr>
              <w:spacing w:before="0" w:after="0" w:line="259" w:lineRule="auto"/>
            </w:pPr>
            <w:r w:rsidRPr="00325A51">
              <w:rPr>
                <w:sz w:val="20"/>
                <w:szCs w:val="20"/>
              </w:rPr>
              <w:t>Inclusión en la oferta formativa anual un curso básico de igualdad y actividad administrativa.</w:t>
            </w:r>
          </w:p>
        </w:tc>
      </w:tr>
      <w:tr w:rsidR="00325A51" w14:paraId="06BE8E80" w14:textId="77777777" w:rsidTr="00C76233">
        <w:trPr>
          <w:trHeight w:val="907"/>
        </w:trPr>
        <w:tc>
          <w:tcPr>
            <w:tcW w:w="1101" w:type="dxa"/>
            <w:tcBorders>
              <w:top w:val="single" w:sz="4" w:space="0" w:color="FFFFFF"/>
              <w:left w:val="single" w:sz="4" w:space="0" w:color="78BE20"/>
              <w:bottom w:val="single" w:sz="4" w:space="0" w:color="FFFFFF"/>
              <w:right w:val="single" w:sz="4" w:space="0" w:color="FFFFFF"/>
            </w:tcBorders>
            <w:shd w:val="clear" w:color="auto" w:fill="78BE20"/>
            <w:vAlign w:val="center"/>
          </w:tcPr>
          <w:p w14:paraId="22A26A70" w14:textId="20E68EBD" w:rsidR="00325A51" w:rsidRPr="00325A51" w:rsidRDefault="002F7442" w:rsidP="00325A51">
            <w:pPr>
              <w:spacing w:before="0" w:after="0" w:line="259" w:lineRule="auto"/>
              <w:jc w:val="right"/>
              <w:rPr>
                <w:b/>
                <w:bCs/>
                <w:color w:val="FFFFFF" w:themeColor="background1"/>
                <w:sz w:val="32"/>
                <w:szCs w:val="32"/>
              </w:rPr>
            </w:pPr>
            <w:r w:rsidRPr="002F7442">
              <w:rPr>
                <w:b/>
                <w:bCs/>
                <w:color w:val="FFFFFF" w:themeColor="background1"/>
                <w:sz w:val="20"/>
                <w:szCs w:val="20"/>
              </w:rPr>
              <w:t xml:space="preserve">Medida </w:t>
            </w:r>
            <w:r w:rsidR="00325A51">
              <w:rPr>
                <w:b/>
                <w:bCs/>
                <w:color w:val="FFFFFF" w:themeColor="background1"/>
                <w:sz w:val="32"/>
                <w:szCs w:val="32"/>
              </w:rPr>
              <w:t>13</w:t>
            </w:r>
          </w:p>
        </w:tc>
        <w:tc>
          <w:tcPr>
            <w:tcW w:w="7543" w:type="dxa"/>
            <w:tcBorders>
              <w:top w:val="single" w:sz="4" w:space="0" w:color="78BE20"/>
              <w:left w:val="single" w:sz="4" w:space="0" w:color="FFFFFF"/>
              <w:bottom w:val="single" w:sz="4" w:space="0" w:color="78BE20"/>
              <w:right w:val="single" w:sz="4" w:space="0" w:color="78BE20"/>
            </w:tcBorders>
            <w:vAlign w:val="center"/>
          </w:tcPr>
          <w:p w14:paraId="4BDA0A00" w14:textId="1A26FDFC" w:rsidR="00325A51" w:rsidRPr="00325A51" w:rsidRDefault="00325A51" w:rsidP="000F4CC1">
            <w:pPr>
              <w:spacing w:before="0" w:after="0" w:line="259" w:lineRule="auto"/>
              <w:rPr>
                <w:sz w:val="20"/>
                <w:szCs w:val="20"/>
              </w:rPr>
            </w:pPr>
            <w:r w:rsidRPr="00325A51">
              <w:rPr>
                <w:sz w:val="20"/>
                <w:szCs w:val="20"/>
              </w:rPr>
              <w:t>Impartir un curso obligatorio sobre uso no sexista del lenguaje y otros conceptos básicos de igualdad al personal implicado en la elaboración normativa y documentación administrativa y al personal docente.</w:t>
            </w:r>
          </w:p>
        </w:tc>
      </w:tr>
      <w:tr w:rsidR="00325A51" w14:paraId="7A4D1BAD" w14:textId="77777777" w:rsidTr="00C76233">
        <w:trPr>
          <w:trHeight w:val="907"/>
        </w:trPr>
        <w:tc>
          <w:tcPr>
            <w:tcW w:w="1101" w:type="dxa"/>
            <w:tcBorders>
              <w:top w:val="single" w:sz="4" w:space="0" w:color="FFFFFF"/>
              <w:left w:val="single" w:sz="4" w:space="0" w:color="78BE20"/>
              <w:bottom w:val="single" w:sz="4" w:space="0" w:color="FFFFFF"/>
              <w:right w:val="single" w:sz="4" w:space="0" w:color="FFFFFF"/>
            </w:tcBorders>
            <w:shd w:val="clear" w:color="auto" w:fill="78BE20"/>
            <w:vAlign w:val="center"/>
          </w:tcPr>
          <w:p w14:paraId="66F042E7" w14:textId="47FEA38E" w:rsidR="00325A51" w:rsidRPr="00325A51" w:rsidRDefault="002F7442" w:rsidP="00325A51">
            <w:pPr>
              <w:spacing w:before="0" w:after="0" w:line="259" w:lineRule="auto"/>
              <w:jc w:val="right"/>
              <w:rPr>
                <w:b/>
                <w:bCs/>
                <w:color w:val="FFFFFF" w:themeColor="background1"/>
                <w:sz w:val="32"/>
                <w:szCs w:val="32"/>
              </w:rPr>
            </w:pPr>
            <w:r w:rsidRPr="002F7442">
              <w:rPr>
                <w:b/>
                <w:bCs/>
                <w:color w:val="FFFFFF" w:themeColor="background1"/>
                <w:sz w:val="20"/>
                <w:szCs w:val="20"/>
              </w:rPr>
              <w:t xml:space="preserve">Medida </w:t>
            </w:r>
            <w:r w:rsidR="00325A51">
              <w:rPr>
                <w:b/>
                <w:bCs/>
                <w:color w:val="FFFFFF" w:themeColor="background1"/>
                <w:sz w:val="32"/>
                <w:szCs w:val="32"/>
              </w:rPr>
              <w:t>14</w:t>
            </w:r>
          </w:p>
        </w:tc>
        <w:tc>
          <w:tcPr>
            <w:tcW w:w="7543" w:type="dxa"/>
            <w:tcBorders>
              <w:top w:val="single" w:sz="4" w:space="0" w:color="78BE20"/>
              <w:left w:val="single" w:sz="4" w:space="0" w:color="FFFFFF"/>
              <w:bottom w:val="single" w:sz="4" w:space="0" w:color="78BE20"/>
              <w:right w:val="single" w:sz="4" w:space="0" w:color="78BE20"/>
            </w:tcBorders>
            <w:vAlign w:val="center"/>
          </w:tcPr>
          <w:p w14:paraId="2A437E32" w14:textId="09E6FE1F" w:rsidR="00325A51" w:rsidRPr="00325A51" w:rsidRDefault="00325A51" w:rsidP="000F4CC1">
            <w:pPr>
              <w:spacing w:before="0" w:after="0" w:line="259" w:lineRule="auto"/>
              <w:rPr>
                <w:sz w:val="20"/>
                <w:szCs w:val="20"/>
              </w:rPr>
            </w:pPr>
            <w:r w:rsidRPr="00325A51">
              <w:rPr>
                <w:sz w:val="20"/>
                <w:szCs w:val="20"/>
              </w:rPr>
              <w:t>Desarrollo de una píldora formativa permanente y aplicable a todas las personas que integren los Tribunales calificadores y las Comisiones de valoración en la Administración General de La Rioja.</w:t>
            </w:r>
          </w:p>
        </w:tc>
      </w:tr>
      <w:tr w:rsidR="00325A51" w14:paraId="3CDE4A69" w14:textId="77777777" w:rsidTr="00C76233">
        <w:trPr>
          <w:trHeight w:val="907"/>
        </w:trPr>
        <w:tc>
          <w:tcPr>
            <w:tcW w:w="1101" w:type="dxa"/>
            <w:tcBorders>
              <w:top w:val="single" w:sz="4" w:space="0" w:color="FFFFFF"/>
              <w:left w:val="single" w:sz="4" w:space="0" w:color="78BE20"/>
              <w:bottom w:val="single" w:sz="4" w:space="0" w:color="FFFFFF"/>
              <w:right w:val="single" w:sz="4" w:space="0" w:color="FFFFFF"/>
            </w:tcBorders>
            <w:shd w:val="clear" w:color="auto" w:fill="78BE20"/>
            <w:vAlign w:val="center"/>
          </w:tcPr>
          <w:p w14:paraId="02A38EA3" w14:textId="0ED54F96" w:rsidR="00325A51" w:rsidRPr="00325A51" w:rsidRDefault="002F7442" w:rsidP="00325A51">
            <w:pPr>
              <w:spacing w:before="0" w:after="0" w:line="259" w:lineRule="auto"/>
              <w:jc w:val="right"/>
              <w:rPr>
                <w:b/>
                <w:bCs/>
                <w:color w:val="FFFFFF" w:themeColor="background1"/>
                <w:sz w:val="32"/>
                <w:szCs w:val="32"/>
              </w:rPr>
            </w:pPr>
            <w:r w:rsidRPr="002F7442">
              <w:rPr>
                <w:b/>
                <w:bCs/>
                <w:color w:val="FFFFFF" w:themeColor="background1"/>
                <w:sz w:val="20"/>
                <w:szCs w:val="20"/>
              </w:rPr>
              <w:t xml:space="preserve">Medida </w:t>
            </w:r>
            <w:r w:rsidR="00325A51">
              <w:rPr>
                <w:b/>
                <w:bCs/>
                <w:color w:val="FFFFFF" w:themeColor="background1"/>
                <w:sz w:val="32"/>
                <w:szCs w:val="32"/>
              </w:rPr>
              <w:t>15</w:t>
            </w:r>
          </w:p>
        </w:tc>
        <w:tc>
          <w:tcPr>
            <w:tcW w:w="7543" w:type="dxa"/>
            <w:tcBorders>
              <w:top w:val="single" w:sz="4" w:space="0" w:color="78BE20"/>
              <w:left w:val="single" w:sz="4" w:space="0" w:color="FFFFFF"/>
              <w:bottom w:val="single" w:sz="4" w:space="0" w:color="78BE20"/>
              <w:right w:val="single" w:sz="4" w:space="0" w:color="78BE20"/>
            </w:tcBorders>
            <w:vAlign w:val="center"/>
          </w:tcPr>
          <w:p w14:paraId="57A3AADA" w14:textId="36D96720" w:rsidR="00325A51" w:rsidRPr="00325A51" w:rsidRDefault="00325A51" w:rsidP="000F4CC1">
            <w:pPr>
              <w:spacing w:before="0" w:after="0" w:line="259" w:lineRule="auto"/>
              <w:rPr>
                <w:sz w:val="20"/>
                <w:szCs w:val="20"/>
              </w:rPr>
            </w:pPr>
            <w:r w:rsidRPr="00325A51">
              <w:rPr>
                <w:sz w:val="20"/>
                <w:szCs w:val="20"/>
              </w:rPr>
              <w:t>Diseño de un llamamiento a personal público para alentar su participación en la formación en igualdad, informando de los datos históricos de participación por sexo y recordando el deber de aplicar la perspectiva de género en la Política Pública.</w:t>
            </w:r>
          </w:p>
        </w:tc>
      </w:tr>
      <w:tr w:rsidR="00325A51" w14:paraId="362DE557" w14:textId="77777777" w:rsidTr="00C76233">
        <w:trPr>
          <w:trHeight w:val="907"/>
        </w:trPr>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4E2501C6" w14:textId="285AEE88" w:rsidR="00325A51" w:rsidRPr="00325A51" w:rsidRDefault="002F7442" w:rsidP="00325A51">
            <w:pPr>
              <w:spacing w:before="0" w:after="0" w:line="259" w:lineRule="auto"/>
              <w:jc w:val="right"/>
              <w:rPr>
                <w:b/>
                <w:bCs/>
                <w:color w:val="FFFFFF" w:themeColor="background1"/>
                <w:sz w:val="32"/>
                <w:szCs w:val="32"/>
              </w:rPr>
            </w:pPr>
            <w:r w:rsidRPr="002F7442">
              <w:rPr>
                <w:b/>
                <w:bCs/>
                <w:color w:val="FFFFFF" w:themeColor="background1"/>
                <w:sz w:val="20"/>
                <w:szCs w:val="20"/>
              </w:rPr>
              <w:t xml:space="preserve">Medida </w:t>
            </w:r>
            <w:r w:rsidR="00325A51">
              <w:rPr>
                <w:b/>
                <w:bCs/>
                <w:color w:val="FFFFFF" w:themeColor="background1"/>
                <w:sz w:val="32"/>
                <w:szCs w:val="32"/>
              </w:rPr>
              <w:t>16</w:t>
            </w:r>
          </w:p>
        </w:tc>
        <w:tc>
          <w:tcPr>
            <w:tcW w:w="7543" w:type="dxa"/>
            <w:tcBorders>
              <w:top w:val="single" w:sz="4" w:space="0" w:color="78BE20"/>
              <w:left w:val="single" w:sz="4" w:space="0" w:color="FFFFFF"/>
              <w:bottom w:val="single" w:sz="4" w:space="0" w:color="78BE20"/>
              <w:right w:val="single" w:sz="4" w:space="0" w:color="78BE20"/>
            </w:tcBorders>
            <w:vAlign w:val="center"/>
          </w:tcPr>
          <w:p w14:paraId="7CC1E9A9" w14:textId="6E55EE42" w:rsidR="00325A51" w:rsidRPr="00325A51" w:rsidRDefault="00325A51" w:rsidP="000F4CC1">
            <w:pPr>
              <w:spacing w:before="0" w:after="0" w:line="259" w:lineRule="auto"/>
              <w:rPr>
                <w:sz w:val="20"/>
                <w:szCs w:val="20"/>
              </w:rPr>
            </w:pPr>
            <w:r w:rsidRPr="00325A51">
              <w:rPr>
                <w:sz w:val="20"/>
                <w:szCs w:val="20"/>
              </w:rPr>
              <w:t>Puesta en marcha de, al menos, dos campañas anuales de sensibilización en igualdad sobre los diferentes aspectos que actualmente responden a la agenda feminista.</w:t>
            </w:r>
          </w:p>
        </w:tc>
      </w:tr>
      <w:tr w:rsidR="004523D0" w14:paraId="71A1DEF3" w14:textId="77777777" w:rsidTr="00574ACA">
        <w:tc>
          <w:tcPr>
            <w:tcW w:w="8644" w:type="dxa"/>
            <w:gridSpan w:val="2"/>
            <w:tcBorders>
              <w:top w:val="single" w:sz="4" w:space="0" w:color="78BE20"/>
              <w:left w:val="single" w:sz="4" w:space="0" w:color="78BE20"/>
              <w:bottom w:val="single" w:sz="4" w:space="0" w:color="FFFFFF"/>
              <w:right w:val="single" w:sz="4" w:space="0" w:color="78BE20"/>
            </w:tcBorders>
            <w:vAlign w:val="center"/>
          </w:tcPr>
          <w:p w14:paraId="5530FBAF" w14:textId="77777777" w:rsidR="004523D0" w:rsidRDefault="004523D0" w:rsidP="000F4CC1">
            <w:pPr>
              <w:spacing w:before="0" w:after="0" w:line="259" w:lineRule="auto"/>
              <w:rPr>
                <w:b/>
                <w:bCs/>
                <w:color w:val="78BE20"/>
                <w:sz w:val="20"/>
                <w:szCs w:val="20"/>
              </w:rPr>
            </w:pPr>
          </w:p>
          <w:p w14:paraId="53343F31" w14:textId="77777777" w:rsidR="004523D0" w:rsidRDefault="004523D0" w:rsidP="000F4CC1">
            <w:pPr>
              <w:spacing w:before="0" w:after="0" w:line="259" w:lineRule="auto"/>
              <w:rPr>
                <w:b/>
                <w:bCs/>
                <w:color w:val="78BE20"/>
                <w:sz w:val="20"/>
                <w:szCs w:val="20"/>
              </w:rPr>
            </w:pPr>
          </w:p>
          <w:p w14:paraId="166913BE" w14:textId="363E3794" w:rsidR="004523D0" w:rsidRDefault="004523D0" w:rsidP="000F4CC1">
            <w:pPr>
              <w:spacing w:before="0" w:after="0" w:line="259" w:lineRule="auto"/>
              <w:rPr>
                <w:sz w:val="20"/>
                <w:szCs w:val="20"/>
              </w:rPr>
            </w:pPr>
            <w:r w:rsidRPr="000A25DD">
              <w:rPr>
                <w:b/>
                <w:bCs/>
                <w:color w:val="78BE20"/>
                <w:sz w:val="20"/>
                <w:szCs w:val="20"/>
              </w:rPr>
              <w:t>OBJETIVO.</w:t>
            </w:r>
            <w:r>
              <w:rPr>
                <w:sz w:val="20"/>
                <w:szCs w:val="20"/>
              </w:rPr>
              <w:t xml:space="preserve"> </w:t>
            </w:r>
            <w:r w:rsidRPr="004523D0">
              <w:rPr>
                <w:b/>
                <w:bCs/>
                <w:sz w:val="20"/>
                <w:szCs w:val="20"/>
              </w:rPr>
              <w:t>Vigilar la adecuada implementación del Protocolo de prevención del acoso sexual y por razón de sexo y del Procedimiento para la protección a las empleadas públicas víctimas de violencia de género</w:t>
            </w:r>
            <w:r>
              <w:rPr>
                <w:b/>
                <w:bCs/>
                <w:sz w:val="20"/>
                <w:szCs w:val="20"/>
              </w:rPr>
              <w:t>.</w:t>
            </w:r>
          </w:p>
          <w:p w14:paraId="58272ACD" w14:textId="77777777" w:rsidR="004523D0" w:rsidRPr="000A25DD" w:rsidRDefault="004523D0" w:rsidP="000F4CC1">
            <w:pPr>
              <w:spacing w:before="0" w:after="0" w:line="259" w:lineRule="auto"/>
              <w:rPr>
                <w:sz w:val="20"/>
                <w:szCs w:val="20"/>
              </w:rPr>
            </w:pPr>
          </w:p>
        </w:tc>
      </w:tr>
      <w:tr w:rsidR="004523D0" w14:paraId="0E795DF5" w14:textId="77777777" w:rsidTr="00574ACA">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69F3005E" w14:textId="437DA45C" w:rsidR="004523D0" w:rsidRDefault="002F7442" w:rsidP="00325A51">
            <w:pPr>
              <w:spacing w:before="0" w:after="0" w:line="259" w:lineRule="auto"/>
              <w:jc w:val="right"/>
            </w:pPr>
            <w:r w:rsidRPr="002F7442">
              <w:rPr>
                <w:b/>
                <w:bCs/>
                <w:color w:val="FFFFFF" w:themeColor="background1"/>
                <w:sz w:val="20"/>
                <w:szCs w:val="20"/>
              </w:rPr>
              <w:t xml:space="preserve">Medida </w:t>
            </w:r>
            <w:r w:rsidR="00325A51">
              <w:rPr>
                <w:b/>
                <w:bCs/>
                <w:color w:val="FFFFFF" w:themeColor="background1"/>
                <w:sz w:val="32"/>
                <w:szCs w:val="32"/>
              </w:rPr>
              <w:t>17</w:t>
            </w:r>
          </w:p>
        </w:tc>
        <w:tc>
          <w:tcPr>
            <w:tcW w:w="7543" w:type="dxa"/>
            <w:tcBorders>
              <w:top w:val="single" w:sz="4" w:space="0" w:color="FFFFFF"/>
              <w:left w:val="single" w:sz="4" w:space="0" w:color="FFFFFF"/>
              <w:bottom w:val="single" w:sz="4" w:space="0" w:color="78BE20"/>
              <w:right w:val="single" w:sz="4" w:space="0" w:color="78BE20"/>
            </w:tcBorders>
            <w:vAlign w:val="center"/>
          </w:tcPr>
          <w:p w14:paraId="2A620C2A" w14:textId="7D0D7341" w:rsidR="004523D0" w:rsidRPr="00325A51" w:rsidRDefault="00325A51" w:rsidP="000F4CC1">
            <w:pPr>
              <w:spacing w:before="0" w:after="0" w:line="259" w:lineRule="auto"/>
            </w:pPr>
            <w:r w:rsidRPr="00325A51">
              <w:rPr>
                <w:sz w:val="20"/>
                <w:szCs w:val="20"/>
              </w:rPr>
              <w:t>Capacitación especializada en materia de prevención e identificación de conductas acoso sexual y por razón de sexo y actuación ante posibles casos tanto de acoso como de violencia de género.</w:t>
            </w:r>
          </w:p>
        </w:tc>
      </w:tr>
    </w:tbl>
    <w:p w14:paraId="093B1DF0" w14:textId="77777777" w:rsidR="004523D0" w:rsidRDefault="004523D0" w:rsidP="005121F6"/>
    <w:p w14:paraId="55BE2C06" w14:textId="7BABD498" w:rsidR="00024B4E" w:rsidRDefault="00024B4E" w:rsidP="005121F6"/>
    <w:p w14:paraId="0A07B313" w14:textId="4C96A26C" w:rsidR="00024B4E" w:rsidRDefault="00024B4E" w:rsidP="005121F6">
      <w:r>
        <w:br w:type="page"/>
      </w:r>
    </w:p>
    <w:p w14:paraId="5D35FA00" w14:textId="77777777" w:rsidR="00024B4E" w:rsidRPr="00325538" w:rsidRDefault="00024B4E" w:rsidP="00024B4E">
      <w:pPr>
        <w:spacing w:line="259" w:lineRule="auto"/>
        <w:jc w:val="left"/>
      </w:pPr>
      <w:bookmarkStart w:id="29" w:name="_Hlk117593941"/>
      <w:r w:rsidRPr="00124E5E">
        <w:rPr>
          <w:rFonts w:eastAsiaTheme="majorEastAsia" w:cstheme="majorBidi"/>
          <w:b/>
          <w:bCs/>
          <w:iCs/>
          <w:snapToGrid w:val="0"/>
          <w:color w:val="78BE20"/>
          <w:sz w:val="24"/>
          <w:szCs w:val="24"/>
        </w:rPr>
        <w:t xml:space="preserve">OBJETIVO. </w:t>
      </w:r>
      <w:bookmarkStart w:id="30" w:name="_Hlk120539766"/>
      <w:r w:rsidRPr="00CA73AA">
        <w:rPr>
          <w:b/>
          <w:bCs/>
        </w:rPr>
        <w:t>Profundizar en la sensibilización del personal público en materia de igualdad entre mujeres y hombres</w:t>
      </w:r>
      <w:r w:rsidRPr="00325538">
        <w:rPr>
          <w:b/>
          <w:bCs/>
        </w:rPr>
        <w:t>.</w:t>
      </w:r>
      <w:bookmarkEnd w:id="30"/>
    </w:p>
    <w:bookmarkEnd w:id="29"/>
    <w:p w14:paraId="7AC4C2B0" w14:textId="7364151B" w:rsidR="00024B4E" w:rsidRPr="00325538" w:rsidRDefault="00024B4E" w:rsidP="00024B4E">
      <w:pPr>
        <w:pStyle w:val="Ttulo3"/>
      </w:pPr>
      <w:r>
        <w:t xml:space="preserve">Medida 12 </w:t>
      </w:r>
    </w:p>
    <w:tbl>
      <w:tblPr>
        <w:tblStyle w:val="Tablaconcuadrcula"/>
        <w:tblW w:w="0" w:type="auto"/>
        <w:tblLook w:val="04A0" w:firstRow="1" w:lastRow="0" w:firstColumn="1" w:lastColumn="0" w:noHBand="0" w:noVBand="1"/>
      </w:tblPr>
      <w:tblGrid>
        <w:gridCol w:w="2402"/>
        <w:gridCol w:w="6072"/>
      </w:tblGrid>
      <w:tr w:rsidR="009C0895" w:rsidRPr="009C0895" w14:paraId="4A3F1A9C" w14:textId="77777777" w:rsidTr="000F4CC1">
        <w:trPr>
          <w:trHeight w:val="850"/>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6FA93ABB" w14:textId="77777777" w:rsidR="009C0895" w:rsidRPr="009C0895" w:rsidRDefault="009C0895" w:rsidP="009C0895">
            <w:pPr>
              <w:spacing w:before="0" w:after="0"/>
              <w:ind w:left="22" w:right="154"/>
              <w:jc w:val="left"/>
            </w:pPr>
            <w:r w:rsidRPr="009C0895">
              <w:rPr>
                <w:b/>
                <w:bCs/>
                <w:color w:val="FFFFFF" w:themeColor="background1"/>
              </w:rPr>
              <w:t>Inclusión en la oferta formativa anual un curso básico de igualdad y actividad administrativa.</w:t>
            </w:r>
          </w:p>
        </w:tc>
      </w:tr>
      <w:tr w:rsidR="009C0895" w:rsidRPr="009C0895" w14:paraId="09F36321" w14:textId="77777777" w:rsidTr="000F4CC1">
        <w:trPr>
          <w:trHeight w:val="534"/>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71ECA41E" w14:textId="77777777" w:rsidR="009C0895" w:rsidRPr="009C0895" w:rsidRDefault="009C0895" w:rsidP="009C0895">
            <w:pPr>
              <w:spacing w:before="0" w:after="0"/>
              <w:ind w:left="22"/>
              <w:jc w:val="left"/>
              <w:rPr>
                <w:sz w:val="20"/>
                <w:szCs w:val="20"/>
              </w:rPr>
            </w:pPr>
            <w:r w:rsidRPr="009C0895">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1E60FDC0" w14:textId="77777777" w:rsidR="009C0895" w:rsidRPr="009C0895" w:rsidRDefault="009C0895" w:rsidP="007C5EA0">
            <w:pPr>
              <w:spacing w:before="0" w:after="0"/>
              <w:ind w:left="152" w:right="158"/>
              <w:rPr>
                <w:sz w:val="20"/>
                <w:szCs w:val="20"/>
              </w:rPr>
            </w:pPr>
            <w:r w:rsidRPr="009C0895">
              <w:rPr>
                <w:sz w:val="20"/>
                <w:szCs w:val="20"/>
              </w:rPr>
              <w:t>Personal de la Administración General</w:t>
            </w:r>
          </w:p>
        </w:tc>
      </w:tr>
      <w:tr w:rsidR="009C0895" w:rsidRPr="009C0895" w14:paraId="3565B58A" w14:textId="77777777" w:rsidTr="000F4CC1">
        <w:trPr>
          <w:trHeight w:val="3258"/>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92E9B30" w14:textId="77777777" w:rsidR="009C0895" w:rsidRPr="009C0895" w:rsidRDefault="009C0895" w:rsidP="009C0895">
            <w:pPr>
              <w:spacing w:before="0" w:after="0"/>
              <w:ind w:left="22"/>
              <w:jc w:val="left"/>
              <w:rPr>
                <w:sz w:val="20"/>
                <w:szCs w:val="20"/>
              </w:rPr>
            </w:pPr>
            <w:r w:rsidRPr="009C0895">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C047519"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Identificación de objetivos de aprendizaje, priorizando aspectos como: la corresponsabilidad de los cuidados y la superación del rol de género; instrumentos prácticos para favorecer la igualdad en la Administración General y participación igualitaria en la representación sindical del empleo público.  </w:t>
            </w:r>
          </w:p>
          <w:p w14:paraId="020D392C"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Descripción de los contenidos y metodología del curso</w:t>
            </w:r>
          </w:p>
          <w:p w14:paraId="5056EE7A"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Valoración de la oferta en modalidad presencial, online o ambas</w:t>
            </w:r>
          </w:p>
          <w:p w14:paraId="32079F95"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Selección del profesorado siguiendo los criterios habituales de excelencia</w:t>
            </w:r>
          </w:p>
          <w:p w14:paraId="6981D8C4"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Calendarización </w:t>
            </w:r>
          </w:p>
        </w:tc>
      </w:tr>
      <w:tr w:rsidR="009C0895" w:rsidRPr="009C0895" w14:paraId="7D169FB1" w14:textId="77777777" w:rsidTr="000F4CC1">
        <w:trPr>
          <w:trHeight w:val="2543"/>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9F23CE9" w14:textId="77777777" w:rsidR="009C0895" w:rsidRPr="009C0895" w:rsidRDefault="009C0895" w:rsidP="009C0895">
            <w:pPr>
              <w:spacing w:before="0" w:after="0"/>
              <w:ind w:left="22"/>
              <w:jc w:val="left"/>
              <w:rPr>
                <w:sz w:val="20"/>
                <w:szCs w:val="20"/>
              </w:rPr>
            </w:pPr>
            <w:r w:rsidRPr="009C0895">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7D177EF2"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Normativa vigente en materia de igualdad, incluyendo la violencia de género y las conductas contra la libertad sexual, y mandatos de igualdad aplicables en el ámbito de la Administración Pública </w:t>
            </w:r>
          </w:p>
          <w:p w14:paraId="096E14FC"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Literatura especializada Informes de evaluación del profesorado de la ERAP</w:t>
            </w:r>
          </w:p>
          <w:p w14:paraId="5F27BFD1"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Listado de profesorado alternativo</w:t>
            </w:r>
          </w:p>
          <w:p w14:paraId="12F69E94"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Planificación formativa y recursos disponibles</w:t>
            </w:r>
          </w:p>
          <w:p w14:paraId="1A2E4B97"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Dotación presupuestaria de la ERAP</w:t>
            </w:r>
          </w:p>
        </w:tc>
      </w:tr>
      <w:tr w:rsidR="009C0895" w:rsidRPr="009C0895" w14:paraId="161B03DF" w14:textId="77777777" w:rsidTr="000F4CC1">
        <w:trPr>
          <w:trHeight w:val="687"/>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67F94036" w14:textId="77777777" w:rsidR="009C0895" w:rsidRPr="009C0895" w:rsidRDefault="009C0895" w:rsidP="009C0895">
            <w:pPr>
              <w:spacing w:before="0" w:after="0"/>
              <w:ind w:left="22"/>
              <w:jc w:val="left"/>
              <w:rPr>
                <w:sz w:val="20"/>
                <w:szCs w:val="20"/>
              </w:rPr>
            </w:pPr>
            <w:r w:rsidRPr="009C0895">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0213BA5"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ERAP </w:t>
            </w:r>
          </w:p>
          <w:p w14:paraId="75FA1596"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Órgano con competencias en materia de Igualdad</w:t>
            </w:r>
          </w:p>
        </w:tc>
      </w:tr>
      <w:tr w:rsidR="009C0895" w:rsidRPr="009C0895" w14:paraId="59610C10" w14:textId="77777777" w:rsidTr="000F4CC1">
        <w:trPr>
          <w:trHeight w:val="153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570368A" w14:textId="77777777" w:rsidR="009C0895" w:rsidRPr="009C0895" w:rsidRDefault="009C0895" w:rsidP="009C0895">
            <w:pPr>
              <w:spacing w:before="0" w:after="0"/>
              <w:ind w:left="22"/>
              <w:jc w:val="left"/>
              <w:rPr>
                <w:sz w:val="20"/>
                <w:szCs w:val="20"/>
              </w:rPr>
            </w:pPr>
            <w:r w:rsidRPr="009C0895">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CE90C45"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Nº de personas capacitadas según sexo, grupo y colectivo profesional </w:t>
            </w:r>
          </w:p>
          <w:p w14:paraId="73889F7C"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Grado de satisfacción de las personas formadas según sexo, grupo y colectivo profesional </w:t>
            </w:r>
          </w:p>
          <w:p w14:paraId="5B5B51E1"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Nº de ediciones implementadas, según modalidad</w:t>
            </w:r>
          </w:p>
        </w:tc>
      </w:tr>
      <w:tr w:rsidR="009C0895" w:rsidRPr="009C0895" w14:paraId="719A3910" w14:textId="77777777" w:rsidTr="000F4CC1">
        <w:trPr>
          <w:trHeight w:val="567"/>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B18AE28" w14:textId="77777777" w:rsidR="009C0895" w:rsidRPr="009C0895" w:rsidRDefault="009C0895" w:rsidP="009C0895">
            <w:pPr>
              <w:spacing w:before="0" w:after="0"/>
              <w:ind w:left="22"/>
              <w:jc w:val="left"/>
              <w:rPr>
                <w:sz w:val="20"/>
                <w:szCs w:val="20"/>
              </w:rPr>
            </w:pPr>
            <w:r w:rsidRPr="009C0895">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7CDE2765" w14:textId="77777777" w:rsidR="009C0895" w:rsidRPr="009C0895" w:rsidRDefault="009C0895" w:rsidP="007C5EA0">
            <w:pPr>
              <w:spacing w:before="0" w:after="0"/>
              <w:ind w:left="152" w:right="158"/>
              <w:rPr>
                <w:sz w:val="20"/>
                <w:szCs w:val="20"/>
              </w:rPr>
            </w:pPr>
            <w:r w:rsidRPr="009C0895">
              <w:rPr>
                <w:sz w:val="20"/>
                <w:szCs w:val="20"/>
              </w:rPr>
              <w:t xml:space="preserve">Anual desde el inicio del Plan de Igualdad </w:t>
            </w:r>
          </w:p>
        </w:tc>
      </w:tr>
      <w:tr w:rsidR="009C0895" w:rsidRPr="009C0895" w14:paraId="5AADE32B" w14:textId="77777777" w:rsidTr="00EA35D6">
        <w:trPr>
          <w:trHeight w:val="1301"/>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448BFFE4" w14:textId="77777777" w:rsidR="009C0895" w:rsidRPr="009C0895" w:rsidRDefault="009C0895" w:rsidP="00EA35D6">
            <w:pPr>
              <w:spacing w:before="0" w:after="0"/>
              <w:jc w:val="left"/>
              <w:rPr>
                <w:b/>
                <w:bCs/>
                <w:sz w:val="18"/>
                <w:szCs w:val="18"/>
              </w:rPr>
            </w:pPr>
            <w:r w:rsidRPr="009C0895">
              <w:rPr>
                <w:b/>
                <w:bCs/>
                <w:sz w:val="18"/>
                <w:szCs w:val="18"/>
              </w:rPr>
              <w:t>Observaciones</w:t>
            </w:r>
          </w:p>
          <w:p w14:paraId="49E4A904" w14:textId="77777777" w:rsidR="009C0895" w:rsidRPr="009C0895" w:rsidRDefault="009C0895" w:rsidP="00EA35D6">
            <w:pPr>
              <w:spacing w:before="0" w:after="0"/>
              <w:jc w:val="left"/>
              <w:rPr>
                <w:sz w:val="18"/>
                <w:szCs w:val="18"/>
              </w:rPr>
            </w:pPr>
          </w:p>
          <w:p w14:paraId="6434DA77" w14:textId="77777777" w:rsidR="009C0895" w:rsidRPr="009C0895" w:rsidRDefault="009C0895" w:rsidP="00EA35D6">
            <w:pPr>
              <w:spacing w:before="0" w:after="0"/>
              <w:jc w:val="left"/>
              <w:rPr>
                <w:b/>
                <w:bCs/>
                <w:sz w:val="20"/>
                <w:szCs w:val="20"/>
              </w:rPr>
            </w:pPr>
            <w:r w:rsidRPr="009C0895">
              <w:rPr>
                <w:sz w:val="18"/>
                <w:szCs w:val="18"/>
              </w:rPr>
              <w:t>Este curso podrá formar parte de un Plan continuo de Formación en igualdad dirigido a todo el personal.</w:t>
            </w:r>
          </w:p>
        </w:tc>
      </w:tr>
    </w:tbl>
    <w:p w14:paraId="4E709BF8" w14:textId="77777777" w:rsidR="00D53270" w:rsidRDefault="00D53270">
      <w:pPr>
        <w:spacing w:before="0" w:after="160" w:line="259" w:lineRule="auto"/>
        <w:jc w:val="left"/>
        <w:rPr>
          <w:rFonts w:eastAsiaTheme="majorEastAsia" w:cstheme="majorBidi"/>
          <w:b/>
          <w:bCs/>
          <w:iCs/>
          <w:snapToGrid w:val="0"/>
          <w:color w:val="78BE20"/>
          <w:sz w:val="24"/>
          <w:szCs w:val="24"/>
        </w:rPr>
      </w:pPr>
      <w:r>
        <w:rPr>
          <w:rFonts w:eastAsiaTheme="majorEastAsia" w:cstheme="majorBidi"/>
          <w:b/>
          <w:bCs/>
          <w:iCs/>
          <w:snapToGrid w:val="0"/>
          <w:color w:val="78BE20"/>
          <w:sz w:val="24"/>
          <w:szCs w:val="24"/>
        </w:rPr>
        <w:br w:type="page"/>
      </w:r>
    </w:p>
    <w:p w14:paraId="52EE4B02" w14:textId="74C1EB66" w:rsidR="00024B4E" w:rsidRPr="00325538" w:rsidRDefault="00024B4E" w:rsidP="00024B4E">
      <w:pPr>
        <w:spacing w:line="259" w:lineRule="auto"/>
        <w:jc w:val="left"/>
      </w:pPr>
      <w:r w:rsidRPr="00124E5E">
        <w:rPr>
          <w:rFonts w:eastAsiaTheme="majorEastAsia" w:cstheme="majorBidi"/>
          <w:b/>
          <w:bCs/>
          <w:iCs/>
          <w:snapToGrid w:val="0"/>
          <w:color w:val="78BE20"/>
          <w:sz w:val="24"/>
          <w:szCs w:val="24"/>
        </w:rPr>
        <w:t xml:space="preserve">OBJETIVO. </w:t>
      </w:r>
      <w:r w:rsidRPr="00CA73AA">
        <w:rPr>
          <w:b/>
          <w:bCs/>
        </w:rPr>
        <w:t>Profundizar en la sensibilización del personal público en materia de igualdad entre mujeres y hombres</w:t>
      </w:r>
      <w:r w:rsidRPr="00325538">
        <w:rPr>
          <w:b/>
          <w:bCs/>
        </w:rPr>
        <w:t>.</w:t>
      </w:r>
    </w:p>
    <w:p w14:paraId="1AC0796D" w14:textId="35D46D63" w:rsidR="00024B4E" w:rsidRDefault="0060220E" w:rsidP="0060220E">
      <w:pPr>
        <w:pStyle w:val="Ttulo3"/>
      </w:pPr>
      <w:r>
        <w:t xml:space="preserve">Medida </w:t>
      </w:r>
      <w:r w:rsidR="00024B4E">
        <w:t xml:space="preserve">13 </w:t>
      </w:r>
    </w:p>
    <w:tbl>
      <w:tblPr>
        <w:tblStyle w:val="Tablaconcuadrcula"/>
        <w:tblW w:w="0" w:type="auto"/>
        <w:tblLook w:val="04A0" w:firstRow="1" w:lastRow="0" w:firstColumn="1" w:lastColumn="0" w:noHBand="0" w:noVBand="1"/>
      </w:tblPr>
      <w:tblGrid>
        <w:gridCol w:w="2402"/>
        <w:gridCol w:w="6072"/>
      </w:tblGrid>
      <w:tr w:rsidR="009C0895" w:rsidRPr="009C0895" w14:paraId="019B6997" w14:textId="77777777" w:rsidTr="000F4CC1">
        <w:trPr>
          <w:trHeight w:val="1201"/>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34B79351" w14:textId="77777777" w:rsidR="009C0895" w:rsidRPr="009C0895" w:rsidRDefault="009C0895" w:rsidP="009C0895">
            <w:pPr>
              <w:spacing w:before="0" w:after="0"/>
              <w:ind w:left="22"/>
              <w:jc w:val="left"/>
              <w:rPr>
                <w:sz w:val="20"/>
                <w:szCs w:val="20"/>
              </w:rPr>
            </w:pPr>
            <w:r w:rsidRPr="009C0895">
              <w:rPr>
                <w:b/>
                <w:bCs/>
                <w:color w:val="FFFFFF" w:themeColor="background1"/>
              </w:rPr>
              <w:t xml:space="preserve">Impartir un curso obligatorio sobre uso no sexista del lenguaje y otros conceptos básicos de igualdad al personal implicado en la elaboración normativa y documentación administrativa y al personal docente. </w:t>
            </w:r>
          </w:p>
        </w:tc>
      </w:tr>
      <w:tr w:rsidR="009C0895" w:rsidRPr="009C0895" w14:paraId="02C19ACB" w14:textId="77777777" w:rsidTr="000F4CC1">
        <w:trPr>
          <w:trHeight w:val="734"/>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422E6D31" w14:textId="77777777" w:rsidR="009C0895" w:rsidRPr="009C0895" w:rsidRDefault="009C0895" w:rsidP="009C0895">
            <w:pPr>
              <w:spacing w:before="0" w:after="0"/>
              <w:ind w:left="22"/>
              <w:jc w:val="left"/>
              <w:rPr>
                <w:sz w:val="20"/>
                <w:szCs w:val="20"/>
              </w:rPr>
            </w:pPr>
            <w:r w:rsidRPr="009C0895">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0A1FD882" w14:textId="77777777" w:rsidR="009C0895" w:rsidRPr="009C0895" w:rsidRDefault="009C0895" w:rsidP="007C5EA0">
            <w:pPr>
              <w:spacing w:before="0" w:after="0"/>
              <w:ind w:left="152"/>
              <w:rPr>
                <w:sz w:val="20"/>
                <w:szCs w:val="20"/>
              </w:rPr>
            </w:pPr>
            <w:r w:rsidRPr="009C0895">
              <w:rPr>
                <w:sz w:val="20"/>
                <w:szCs w:val="20"/>
              </w:rPr>
              <w:t>Personal de la Administración General de los Grupos A1 y A2</w:t>
            </w:r>
          </w:p>
        </w:tc>
      </w:tr>
      <w:tr w:rsidR="009C0895" w:rsidRPr="009C0895" w14:paraId="56564562" w14:textId="77777777" w:rsidTr="000F4CC1">
        <w:trPr>
          <w:trHeight w:val="1946"/>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85C0DA0" w14:textId="77777777" w:rsidR="009C0895" w:rsidRPr="009C0895" w:rsidRDefault="009C0895" w:rsidP="009C0895">
            <w:pPr>
              <w:spacing w:before="0" w:after="0"/>
              <w:ind w:left="22"/>
              <w:jc w:val="left"/>
              <w:rPr>
                <w:sz w:val="20"/>
                <w:szCs w:val="20"/>
              </w:rPr>
            </w:pPr>
            <w:r w:rsidRPr="009C0895">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E838F96"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Identificación de objetivos de aprendizaje y descripción de los contenidos y metodología del curso</w:t>
            </w:r>
          </w:p>
          <w:p w14:paraId="782863E0"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Valoración de la oferta en modalidad presencial, online o ambas</w:t>
            </w:r>
          </w:p>
          <w:p w14:paraId="408C8847"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Selección del profesorado siguiendo los criterios habituales de excelencia</w:t>
            </w:r>
          </w:p>
          <w:p w14:paraId="6A54E807"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Calendarización anual</w:t>
            </w:r>
          </w:p>
        </w:tc>
      </w:tr>
      <w:tr w:rsidR="009C0895" w:rsidRPr="009C0895" w14:paraId="1B5E6264" w14:textId="77777777" w:rsidTr="00A1431D">
        <w:trPr>
          <w:trHeight w:val="1199"/>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46B0AF92" w14:textId="77777777" w:rsidR="009C0895" w:rsidRPr="009C0895" w:rsidRDefault="009C0895" w:rsidP="009C0895">
            <w:pPr>
              <w:spacing w:before="0" w:after="0"/>
              <w:ind w:left="22"/>
              <w:jc w:val="left"/>
              <w:rPr>
                <w:sz w:val="20"/>
                <w:szCs w:val="20"/>
              </w:rPr>
            </w:pPr>
            <w:r w:rsidRPr="009C0895">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2162E1C4"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Normativa vinculante</w:t>
            </w:r>
          </w:p>
          <w:p w14:paraId="697BE0FD"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Literatura especializada</w:t>
            </w:r>
          </w:p>
          <w:p w14:paraId="50733103"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Informes de evaluación del profesorado de la ERAP</w:t>
            </w:r>
          </w:p>
          <w:p w14:paraId="2C8F9546" w14:textId="1528F40F"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Listado de profesorado alternativo</w:t>
            </w:r>
          </w:p>
        </w:tc>
      </w:tr>
      <w:tr w:rsidR="009C0895" w:rsidRPr="009C0895" w14:paraId="0E829A49" w14:textId="77777777" w:rsidTr="000F4CC1">
        <w:trPr>
          <w:trHeight w:val="84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EF16681" w14:textId="77777777" w:rsidR="009C0895" w:rsidRPr="009C0895" w:rsidRDefault="009C0895" w:rsidP="009C0895">
            <w:pPr>
              <w:spacing w:before="0" w:after="0"/>
              <w:ind w:left="22"/>
              <w:jc w:val="left"/>
              <w:rPr>
                <w:sz w:val="20"/>
                <w:szCs w:val="20"/>
              </w:rPr>
            </w:pPr>
            <w:r w:rsidRPr="009C0895">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DF623F9"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Órgano con competencias en materia de Igualdad </w:t>
            </w:r>
          </w:p>
          <w:p w14:paraId="46CF01BD"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ERAP</w:t>
            </w:r>
          </w:p>
        </w:tc>
      </w:tr>
      <w:tr w:rsidR="009C0895" w:rsidRPr="009C0895" w14:paraId="50F33082" w14:textId="77777777" w:rsidTr="00A1431D">
        <w:trPr>
          <w:trHeight w:val="1687"/>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4365A834" w14:textId="77777777" w:rsidR="009C0895" w:rsidRPr="009C0895" w:rsidRDefault="009C0895" w:rsidP="009C0895">
            <w:pPr>
              <w:spacing w:before="0" w:after="0"/>
              <w:ind w:left="22"/>
              <w:jc w:val="left"/>
              <w:rPr>
                <w:sz w:val="20"/>
                <w:szCs w:val="20"/>
              </w:rPr>
            </w:pPr>
            <w:r w:rsidRPr="009C0895">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16C1885"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Nº de horas de formación impartidas</w:t>
            </w:r>
          </w:p>
          <w:p w14:paraId="3AF582DA"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Nº de personas capacitadas según sexo, grupo y colectivo profesional </w:t>
            </w:r>
          </w:p>
          <w:p w14:paraId="77A9CB8B"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Grado de satisfacción de las personas formadas según sexo, grupo y colectivo profesional </w:t>
            </w:r>
          </w:p>
          <w:p w14:paraId="40CB43C2" w14:textId="0FE73BE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Nº de ediciones implementadas, según modalidad</w:t>
            </w:r>
          </w:p>
        </w:tc>
      </w:tr>
      <w:tr w:rsidR="009C0895" w:rsidRPr="009C0895" w14:paraId="0375314B" w14:textId="77777777" w:rsidTr="000F4CC1">
        <w:trPr>
          <w:trHeight w:val="644"/>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C98CC90" w14:textId="77777777" w:rsidR="009C0895" w:rsidRPr="009C0895" w:rsidRDefault="009C0895" w:rsidP="009C0895">
            <w:pPr>
              <w:spacing w:before="0" w:after="0"/>
              <w:ind w:left="22"/>
              <w:jc w:val="left"/>
              <w:rPr>
                <w:sz w:val="20"/>
                <w:szCs w:val="20"/>
              </w:rPr>
            </w:pPr>
            <w:r w:rsidRPr="009C0895">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2CEC61EB" w14:textId="77777777" w:rsidR="009C0895" w:rsidRPr="009C0895" w:rsidRDefault="009C0895" w:rsidP="007C5EA0">
            <w:pPr>
              <w:spacing w:before="0" w:after="0"/>
              <w:ind w:left="152"/>
              <w:jc w:val="left"/>
              <w:rPr>
                <w:sz w:val="20"/>
                <w:szCs w:val="20"/>
              </w:rPr>
            </w:pPr>
            <w:r w:rsidRPr="009C0895">
              <w:rPr>
                <w:sz w:val="20"/>
                <w:szCs w:val="20"/>
              </w:rPr>
              <w:t>Anual desde el inicio del Plan de Igualdad</w:t>
            </w:r>
          </w:p>
        </w:tc>
      </w:tr>
      <w:tr w:rsidR="009C0895" w:rsidRPr="009C0895" w14:paraId="18CC265B" w14:textId="77777777" w:rsidTr="00EA35D6">
        <w:trPr>
          <w:trHeight w:val="1475"/>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41F0B136" w14:textId="77777777" w:rsidR="009C0895" w:rsidRPr="009C0895" w:rsidRDefault="009C0895" w:rsidP="00EA35D6">
            <w:pPr>
              <w:spacing w:before="0" w:after="0"/>
              <w:jc w:val="left"/>
              <w:rPr>
                <w:b/>
                <w:bCs/>
                <w:sz w:val="18"/>
                <w:szCs w:val="18"/>
              </w:rPr>
            </w:pPr>
            <w:r w:rsidRPr="009C0895">
              <w:rPr>
                <w:b/>
                <w:bCs/>
                <w:sz w:val="18"/>
                <w:szCs w:val="18"/>
              </w:rPr>
              <w:t>Observaciones</w:t>
            </w:r>
          </w:p>
          <w:p w14:paraId="49CB297A" w14:textId="77777777" w:rsidR="009C0895" w:rsidRPr="009C0895" w:rsidRDefault="009C0895" w:rsidP="00EA35D6">
            <w:pPr>
              <w:spacing w:before="0" w:after="0"/>
              <w:jc w:val="left"/>
              <w:rPr>
                <w:b/>
                <w:bCs/>
                <w:sz w:val="18"/>
                <w:szCs w:val="18"/>
              </w:rPr>
            </w:pPr>
          </w:p>
          <w:p w14:paraId="12030464" w14:textId="77777777" w:rsidR="009C0895" w:rsidRPr="009C0895" w:rsidRDefault="009C0895" w:rsidP="00EA35D6">
            <w:pPr>
              <w:spacing w:before="0" w:after="0"/>
              <w:jc w:val="left"/>
              <w:rPr>
                <w:b/>
                <w:bCs/>
                <w:sz w:val="18"/>
                <w:szCs w:val="18"/>
              </w:rPr>
            </w:pPr>
            <w:r w:rsidRPr="009C0895">
              <w:rPr>
                <w:sz w:val="18"/>
                <w:szCs w:val="18"/>
              </w:rPr>
              <w:t>Este curso podrá formar parte de un Plan continuo de Formación en igualdad dirigido a todo el personal atendiendo a los mandatos de la ley de igualdad de La Rioja, una vez aprobada.</w:t>
            </w:r>
          </w:p>
        </w:tc>
      </w:tr>
    </w:tbl>
    <w:p w14:paraId="171EA636" w14:textId="77777777" w:rsidR="00024B4E" w:rsidRDefault="00024B4E" w:rsidP="00024B4E">
      <w:r>
        <w:br w:type="page"/>
      </w:r>
    </w:p>
    <w:p w14:paraId="0DDB17BF" w14:textId="77777777" w:rsidR="00024B4E" w:rsidRPr="00325538" w:rsidRDefault="00024B4E" w:rsidP="00024B4E">
      <w:pPr>
        <w:spacing w:line="259" w:lineRule="auto"/>
        <w:jc w:val="left"/>
      </w:pPr>
      <w:r w:rsidRPr="00124E5E">
        <w:rPr>
          <w:rFonts w:eastAsiaTheme="majorEastAsia" w:cstheme="majorBidi"/>
          <w:b/>
          <w:bCs/>
          <w:iCs/>
          <w:snapToGrid w:val="0"/>
          <w:color w:val="78BE20"/>
          <w:sz w:val="24"/>
          <w:szCs w:val="24"/>
        </w:rPr>
        <w:t xml:space="preserve">OBJETIVO. </w:t>
      </w:r>
      <w:r w:rsidRPr="00CA73AA">
        <w:rPr>
          <w:b/>
          <w:bCs/>
        </w:rPr>
        <w:t>Profundizar en la sensibilización del personal público en materia de igualdad entre mujeres y hombres</w:t>
      </w:r>
      <w:r w:rsidRPr="00325538">
        <w:rPr>
          <w:b/>
          <w:bCs/>
        </w:rPr>
        <w:t>.</w:t>
      </w:r>
    </w:p>
    <w:p w14:paraId="292AC1B8" w14:textId="65ACE3F5" w:rsidR="00024B4E" w:rsidRDefault="0060220E" w:rsidP="0060220E">
      <w:pPr>
        <w:pStyle w:val="Ttulo3"/>
      </w:pPr>
      <w:r>
        <w:t>Medida</w:t>
      </w:r>
      <w:r w:rsidR="00024B4E" w:rsidRPr="00EF68AE">
        <w:t xml:space="preserve"> </w:t>
      </w:r>
      <w:r w:rsidR="00024B4E">
        <w:t xml:space="preserve">14 </w:t>
      </w:r>
    </w:p>
    <w:tbl>
      <w:tblPr>
        <w:tblStyle w:val="Tablaconcuadrcula"/>
        <w:tblW w:w="0" w:type="auto"/>
        <w:tblLook w:val="04A0" w:firstRow="1" w:lastRow="0" w:firstColumn="1" w:lastColumn="0" w:noHBand="0" w:noVBand="1"/>
      </w:tblPr>
      <w:tblGrid>
        <w:gridCol w:w="2402"/>
        <w:gridCol w:w="6072"/>
      </w:tblGrid>
      <w:tr w:rsidR="009C0895" w:rsidRPr="009C0895" w14:paraId="20BDBF34" w14:textId="77777777" w:rsidTr="000F4CC1">
        <w:trPr>
          <w:trHeight w:val="1099"/>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471F8F00" w14:textId="77777777" w:rsidR="009C0895" w:rsidRPr="009C0895" w:rsidRDefault="009C0895" w:rsidP="009C0895">
            <w:pPr>
              <w:spacing w:before="0" w:after="0"/>
              <w:ind w:left="22"/>
              <w:jc w:val="left"/>
            </w:pPr>
            <w:r w:rsidRPr="009C0895">
              <w:rPr>
                <w:b/>
                <w:bCs/>
                <w:color w:val="FFFFFF" w:themeColor="background1"/>
              </w:rPr>
              <w:t>Desarrollo de una píldora formativa permanente y aplicable a todas las personas que integren los Tribunales calificadores y las Comisiones de valoración en la Administración General de La Rioja.</w:t>
            </w:r>
          </w:p>
        </w:tc>
      </w:tr>
      <w:tr w:rsidR="009C0895" w:rsidRPr="009C0895" w14:paraId="52DE2EE5" w14:textId="77777777" w:rsidTr="000F4CC1">
        <w:trPr>
          <w:trHeight w:val="796"/>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2A5CFD51" w14:textId="77777777" w:rsidR="009C0895" w:rsidRPr="009C0895" w:rsidRDefault="009C0895" w:rsidP="009C0895">
            <w:pPr>
              <w:spacing w:before="0" w:after="0"/>
              <w:ind w:left="22"/>
              <w:jc w:val="left"/>
              <w:rPr>
                <w:sz w:val="20"/>
                <w:szCs w:val="20"/>
              </w:rPr>
            </w:pPr>
            <w:r w:rsidRPr="009C0895">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4C6ED495" w14:textId="77777777" w:rsidR="009C0895" w:rsidRPr="009C0895" w:rsidRDefault="009C0895" w:rsidP="00CA6D3F">
            <w:pPr>
              <w:spacing w:before="0" w:after="0"/>
              <w:ind w:left="152" w:right="158"/>
              <w:rPr>
                <w:sz w:val="20"/>
                <w:szCs w:val="20"/>
              </w:rPr>
            </w:pPr>
            <w:r w:rsidRPr="009C0895">
              <w:rPr>
                <w:sz w:val="20"/>
                <w:szCs w:val="20"/>
              </w:rPr>
              <w:t>Integrantes de los Tribunales calificadores y de las Comisiones de valoración de todas las convocatorias</w:t>
            </w:r>
          </w:p>
        </w:tc>
      </w:tr>
      <w:tr w:rsidR="009C0895" w:rsidRPr="009C0895" w14:paraId="66131CE6" w14:textId="77777777" w:rsidTr="000F4CC1">
        <w:trPr>
          <w:trHeight w:val="1978"/>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30B9EE12" w14:textId="77777777" w:rsidR="009C0895" w:rsidRPr="009C0895" w:rsidRDefault="009C0895" w:rsidP="009C0895">
            <w:pPr>
              <w:spacing w:before="0" w:after="0"/>
              <w:ind w:left="22"/>
              <w:jc w:val="left"/>
              <w:rPr>
                <w:sz w:val="20"/>
                <w:szCs w:val="20"/>
              </w:rPr>
            </w:pPr>
            <w:r w:rsidRPr="009C0895">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7EEEB13"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Identificación de objetivos de aprendizaje, priorizando aspectos como la identificación del impacto de los sesgos de género en las estructuras mentales.</w:t>
            </w:r>
          </w:p>
          <w:p w14:paraId="53BD1D21"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Descripción de los contenidos y metodología del curso</w:t>
            </w:r>
          </w:p>
          <w:p w14:paraId="1913640A"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Valoración de la oferta en modalidad presencial, online o ambas</w:t>
            </w:r>
          </w:p>
          <w:p w14:paraId="17F1A070"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Selección del profesorado siguiendo los criterios habituales de excelencia</w:t>
            </w:r>
          </w:p>
          <w:p w14:paraId="2BA4A322"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Calendarización </w:t>
            </w:r>
          </w:p>
        </w:tc>
      </w:tr>
      <w:tr w:rsidR="009C0895" w:rsidRPr="009C0895" w14:paraId="6CF45013" w14:textId="77777777" w:rsidTr="000F4CC1">
        <w:trPr>
          <w:trHeight w:val="2255"/>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648A3B0" w14:textId="77777777" w:rsidR="009C0895" w:rsidRPr="009C0895" w:rsidRDefault="009C0895" w:rsidP="009C0895">
            <w:pPr>
              <w:spacing w:before="0" w:after="0"/>
              <w:ind w:left="22"/>
              <w:jc w:val="left"/>
              <w:rPr>
                <w:sz w:val="20"/>
                <w:szCs w:val="20"/>
              </w:rPr>
            </w:pPr>
            <w:r w:rsidRPr="009C0895">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2BBC3B47"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Normativa vigente en materia de igualdad, incluyendo la violencia de género, y mandatos de igualdad aplicables en el ámbito de la Administración Pública </w:t>
            </w:r>
          </w:p>
          <w:p w14:paraId="6F3AF04D"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Literatura especializada Informes de evaluación del profesorado de la ERAP</w:t>
            </w:r>
          </w:p>
          <w:p w14:paraId="4321AE30"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Listado de profesorado alternativo</w:t>
            </w:r>
          </w:p>
          <w:p w14:paraId="7E2436C8"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Planificación formativa y recursos disponibles</w:t>
            </w:r>
          </w:p>
          <w:p w14:paraId="4E56A492"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Dotación presupuestaria de la ERAP</w:t>
            </w:r>
          </w:p>
        </w:tc>
      </w:tr>
      <w:tr w:rsidR="009C0895" w:rsidRPr="009C0895" w14:paraId="0AC264F3" w14:textId="77777777" w:rsidTr="000F4CC1">
        <w:trPr>
          <w:trHeight w:val="862"/>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3B0DD57" w14:textId="77777777" w:rsidR="009C0895" w:rsidRPr="009C0895" w:rsidRDefault="009C0895" w:rsidP="009C0895">
            <w:pPr>
              <w:spacing w:before="0" w:after="0"/>
              <w:ind w:left="22"/>
              <w:jc w:val="left"/>
              <w:rPr>
                <w:sz w:val="20"/>
                <w:szCs w:val="20"/>
              </w:rPr>
            </w:pPr>
            <w:r w:rsidRPr="009C0895">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32836EF"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ERAP </w:t>
            </w:r>
          </w:p>
          <w:p w14:paraId="18D0510F"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Órgano con competencias en materia de Igualdad</w:t>
            </w:r>
          </w:p>
        </w:tc>
      </w:tr>
      <w:tr w:rsidR="009C0895" w:rsidRPr="009C0895" w14:paraId="0F54007C" w14:textId="77777777" w:rsidTr="000F4CC1">
        <w:trPr>
          <w:trHeight w:val="1429"/>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EA7701A" w14:textId="77777777" w:rsidR="009C0895" w:rsidRPr="009C0895" w:rsidRDefault="009C0895" w:rsidP="009C0895">
            <w:pPr>
              <w:spacing w:before="0" w:after="0"/>
              <w:ind w:left="22"/>
              <w:jc w:val="left"/>
              <w:rPr>
                <w:sz w:val="20"/>
                <w:szCs w:val="20"/>
              </w:rPr>
            </w:pPr>
            <w:r w:rsidRPr="009C0895">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8848DA1"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Nº de horas de formación impartidas</w:t>
            </w:r>
          </w:p>
          <w:p w14:paraId="703A40D0"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Nº de personas formadas según sexo y cargo dentro del Tribunal</w:t>
            </w:r>
          </w:p>
          <w:p w14:paraId="05D557EA"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Grado de satisfacción de las personas formadas según sexo</w:t>
            </w:r>
          </w:p>
          <w:p w14:paraId="649A524B"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Nº de ediciones implementadas</w:t>
            </w:r>
          </w:p>
        </w:tc>
      </w:tr>
      <w:tr w:rsidR="009C0895" w:rsidRPr="009C0895" w14:paraId="1DB315FE" w14:textId="77777777" w:rsidTr="000F4CC1">
        <w:trPr>
          <w:trHeight w:val="548"/>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4A3447A" w14:textId="77777777" w:rsidR="009C0895" w:rsidRPr="009C0895" w:rsidRDefault="009C0895" w:rsidP="009C0895">
            <w:pPr>
              <w:spacing w:before="0" w:after="0"/>
              <w:ind w:left="22"/>
              <w:jc w:val="left"/>
              <w:rPr>
                <w:sz w:val="20"/>
                <w:szCs w:val="20"/>
              </w:rPr>
            </w:pPr>
            <w:r w:rsidRPr="009C0895">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2686D556" w14:textId="77777777" w:rsidR="009C0895" w:rsidRPr="009C0895" w:rsidRDefault="009C0895" w:rsidP="00CA6D3F">
            <w:pPr>
              <w:spacing w:before="0" w:after="0"/>
              <w:ind w:left="152"/>
              <w:jc w:val="left"/>
              <w:rPr>
                <w:sz w:val="20"/>
                <w:szCs w:val="20"/>
              </w:rPr>
            </w:pPr>
            <w:r w:rsidRPr="009C0895">
              <w:rPr>
                <w:sz w:val="20"/>
                <w:szCs w:val="20"/>
              </w:rPr>
              <w:t>Permanente desde el inicio del Plan de Igualdad</w:t>
            </w:r>
          </w:p>
        </w:tc>
      </w:tr>
      <w:tr w:rsidR="009C0895" w:rsidRPr="009C0895" w14:paraId="69F254DC" w14:textId="77777777" w:rsidTr="00EA35D6">
        <w:trPr>
          <w:trHeight w:val="1381"/>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7A5F6B44" w14:textId="77777777" w:rsidR="009C0895" w:rsidRPr="009C0895" w:rsidRDefault="009C0895" w:rsidP="00EA35D6">
            <w:pPr>
              <w:spacing w:before="0" w:after="0"/>
              <w:jc w:val="left"/>
              <w:rPr>
                <w:b/>
                <w:bCs/>
                <w:sz w:val="18"/>
                <w:szCs w:val="18"/>
              </w:rPr>
            </w:pPr>
            <w:r w:rsidRPr="009C0895">
              <w:rPr>
                <w:b/>
                <w:bCs/>
                <w:sz w:val="18"/>
                <w:szCs w:val="18"/>
              </w:rPr>
              <w:t>Observaciones</w:t>
            </w:r>
          </w:p>
          <w:p w14:paraId="39A3002C" w14:textId="77777777" w:rsidR="009C0895" w:rsidRPr="009C0895" w:rsidRDefault="009C0895" w:rsidP="00EA35D6">
            <w:pPr>
              <w:spacing w:before="0" w:after="0"/>
              <w:jc w:val="left"/>
              <w:rPr>
                <w:sz w:val="18"/>
                <w:szCs w:val="18"/>
              </w:rPr>
            </w:pPr>
          </w:p>
          <w:p w14:paraId="3D4A6430" w14:textId="77777777" w:rsidR="009C0895" w:rsidRPr="009C0895" w:rsidRDefault="009C0895" w:rsidP="00EA35D6">
            <w:pPr>
              <w:spacing w:before="0" w:after="0"/>
              <w:jc w:val="left"/>
              <w:rPr>
                <w:b/>
                <w:bCs/>
                <w:sz w:val="20"/>
                <w:szCs w:val="20"/>
              </w:rPr>
            </w:pPr>
            <w:r w:rsidRPr="009C0895">
              <w:rPr>
                <w:sz w:val="18"/>
                <w:szCs w:val="18"/>
              </w:rPr>
              <w:t>Este curso podrá formar parte de un Plan continuo de Formación en igualdad dirigido a todo el personal.</w:t>
            </w:r>
          </w:p>
        </w:tc>
      </w:tr>
    </w:tbl>
    <w:p w14:paraId="1F7F0686" w14:textId="77777777" w:rsidR="00024B4E" w:rsidRDefault="00024B4E" w:rsidP="00024B4E">
      <w:pPr>
        <w:spacing w:line="259" w:lineRule="auto"/>
        <w:jc w:val="left"/>
      </w:pPr>
    </w:p>
    <w:p w14:paraId="672A1254" w14:textId="77777777" w:rsidR="00024B4E" w:rsidRDefault="00024B4E" w:rsidP="00024B4E">
      <w:pPr>
        <w:spacing w:line="259" w:lineRule="auto"/>
        <w:jc w:val="left"/>
      </w:pPr>
      <w:r>
        <w:br w:type="page"/>
      </w:r>
    </w:p>
    <w:p w14:paraId="540DFD93" w14:textId="77777777" w:rsidR="00024B4E" w:rsidRPr="00325538" w:rsidRDefault="00024B4E" w:rsidP="00024B4E">
      <w:pPr>
        <w:spacing w:line="259" w:lineRule="auto"/>
        <w:jc w:val="left"/>
      </w:pPr>
      <w:r w:rsidRPr="00124E5E">
        <w:rPr>
          <w:rFonts w:eastAsiaTheme="majorEastAsia" w:cstheme="majorBidi"/>
          <w:b/>
          <w:bCs/>
          <w:iCs/>
          <w:snapToGrid w:val="0"/>
          <w:color w:val="78BE20"/>
          <w:sz w:val="24"/>
          <w:szCs w:val="24"/>
        </w:rPr>
        <w:t xml:space="preserve">OBJETIVO. </w:t>
      </w:r>
      <w:r w:rsidRPr="00CA73AA">
        <w:rPr>
          <w:b/>
          <w:bCs/>
        </w:rPr>
        <w:t>Profundizar en la sensibilización del personal público en materia de igualdad entre mujeres y hombres</w:t>
      </w:r>
      <w:r w:rsidRPr="00325538">
        <w:rPr>
          <w:b/>
          <w:bCs/>
        </w:rPr>
        <w:t>.</w:t>
      </w:r>
    </w:p>
    <w:p w14:paraId="37C5E12C" w14:textId="3D43BD97" w:rsidR="00024B4E" w:rsidRDefault="0060220E" w:rsidP="0060220E">
      <w:pPr>
        <w:pStyle w:val="Ttulo3"/>
      </w:pPr>
      <w:r>
        <w:t xml:space="preserve">Medida </w:t>
      </w:r>
      <w:r w:rsidR="00024B4E">
        <w:t xml:space="preserve">15 </w:t>
      </w:r>
    </w:p>
    <w:tbl>
      <w:tblPr>
        <w:tblStyle w:val="Tablaconcuadrcula"/>
        <w:tblW w:w="0" w:type="auto"/>
        <w:tblLook w:val="04A0" w:firstRow="1" w:lastRow="0" w:firstColumn="1" w:lastColumn="0" w:noHBand="0" w:noVBand="1"/>
      </w:tblPr>
      <w:tblGrid>
        <w:gridCol w:w="2402"/>
        <w:gridCol w:w="6072"/>
      </w:tblGrid>
      <w:tr w:rsidR="009C0895" w:rsidRPr="009C0895" w14:paraId="5DAF4D14" w14:textId="77777777" w:rsidTr="000F4CC1">
        <w:trPr>
          <w:trHeight w:val="1567"/>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66D03C89" w14:textId="77777777" w:rsidR="009C0895" w:rsidRPr="009C0895" w:rsidRDefault="009C0895" w:rsidP="009C0895">
            <w:pPr>
              <w:spacing w:before="0" w:after="0"/>
              <w:ind w:left="22"/>
              <w:jc w:val="left"/>
            </w:pPr>
            <w:r w:rsidRPr="009C0895">
              <w:rPr>
                <w:b/>
                <w:bCs/>
                <w:color w:val="FFFFFF" w:themeColor="background1"/>
              </w:rPr>
              <w:t>Diseño de un llamamiento a personal público para alentar su participación en la formación en igualdad, informando de los datos históricos de participación por sexo y recordando el deber de aplicar la perspectiva de género en la Política Pública.</w:t>
            </w:r>
          </w:p>
        </w:tc>
      </w:tr>
      <w:tr w:rsidR="009C0895" w:rsidRPr="009C0895" w14:paraId="1913A60A" w14:textId="77777777" w:rsidTr="000F4CC1">
        <w:trPr>
          <w:trHeight w:val="1202"/>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292CD507" w14:textId="77777777" w:rsidR="009C0895" w:rsidRPr="009C0895" w:rsidRDefault="009C0895" w:rsidP="009C0895">
            <w:pPr>
              <w:spacing w:before="0" w:after="0"/>
              <w:ind w:left="22"/>
              <w:jc w:val="left"/>
              <w:rPr>
                <w:sz w:val="20"/>
                <w:szCs w:val="20"/>
              </w:rPr>
            </w:pPr>
            <w:r w:rsidRPr="009C0895">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37F54270"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Personal de la Administración General, especialmente de nuevo ingreso y de atención al público</w:t>
            </w:r>
          </w:p>
          <w:p w14:paraId="570294CF"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Se priorizará a personal masculino que participe en el Plan de Formación </w:t>
            </w:r>
          </w:p>
        </w:tc>
      </w:tr>
      <w:tr w:rsidR="009C0895" w:rsidRPr="009C0895" w14:paraId="2B0BB186" w14:textId="77777777" w:rsidTr="000F4CC1">
        <w:trPr>
          <w:trHeight w:val="146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1D58322" w14:textId="77777777" w:rsidR="009C0895" w:rsidRPr="009C0895" w:rsidRDefault="009C0895" w:rsidP="009C0895">
            <w:pPr>
              <w:spacing w:before="0" w:after="0"/>
              <w:ind w:left="22"/>
              <w:jc w:val="left"/>
              <w:rPr>
                <w:sz w:val="20"/>
                <w:szCs w:val="20"/>
              </w:rPr>
            </w:pPr>
            <w:r w:rsidRPr="009C0895">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17147D5B"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Envío masivo del llamamiento vía correo-e</w:t>
            </w:r>
          </w:p>
          <w:p w14:paraId="0819C2E9"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Reservar plazas a hombres en los cursos de igualdad priorizando su participación, ante otros criterios de admisión </w:t>
            </w:r>
          </w:p>
          <w:p w14:paraId="5F57169F"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Priorizar a aquellos grupos considerados como prioritarios en su formación en igualdad, altos cargos y Grupos C1, C2 y E. </w:t>
            </w:r>
          </w:p>
        </w:tc>
      </w:tr>
      <w:tr w:rsidR="009C0895" w:rsidRPr="009C0895" w14:paraId="32C8D394" w14:textId="77777777" w:rsidTr="000F4CC1">
        <w:trPr>
          <w:trHeight w:val="1539"/>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AA61A66" w14:textId="77777777" w:rsidR="009C0895" w:rsidRPr="009C0895" w:rsidRDefault="009C0895" w:rsidP="009C0895">
            <w:pPr>
              <w:spacing w:before="0" w:after="0"/>
              <w:ind w:left="22"/>
              <w:jc w:val="left"/>
              <w:rPr>
                <w:sz w:val="20"/>
                <w:szCs w:val="20"/>
              </w:rPr>
            </w:pPr>
            <w:r w:rsidRPr="009C0895">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14FA826"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Normativa vigente en materia de igualdad, incluyendo la violencia de género, y mandatos de igualdad aplicables en el ámbito de la Administración Pública </w:t>
            </w:r>
          </w:p>
          <w:p w14:paraId="77F2A5A0"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Datos de composición por sexo de las formaciones en igualdad implementadas hasta la fecha</w:t>
            </w:r>
          </w:p>
        </w:tc>
      </w:tr>
      <w:tr w:rsidR="009C0895" w:rsidRPr="009C0895" w14:paraId="32F92AB6" w14:textId="77777777" w:rsidTr="000F4CC1">
        <w:trPr>
          <w:trHeight w:val="99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D699055" w14:textId="77777777" w:rsidR="009C0895" w:rsidRPr="009C0895" w:rsidRDefault="009C0895" w:rsidP="009C0895">
            <w:pPr>
              <w:spacing w:before="0" w:after="0"/>
              <w:ind w:left="22"/>
              <w:jc w:val="left"/>
              <w:rPr>
                <w:sz w:val="20"/>
                <w:szCs w:val="20"/>
              </w:rPr>
            </w:pPr>
            <w:r w:rsidRPr="009C0895">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35D2F63B"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ERAP </w:t>
            </w:r>
          </w:p>
          <w:p w14:paraId="793CF7BE"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Órgano con competencias en materia de Igualdad </w:t>
            </w:r>
          </w:p>
        </w:tc>
      </w:tr>
      <w:tr w:rsidR="009C0895" w:rsidRPr="009C0895" w14:paraId="6B6EEE4B" w14:textId="77777777" w:rsidTr="000F4CC1">
        <w:trPr>
          <w:trHeight w:val="1699"/>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BE8572B" w14:textId="77777777" w:rsidR="009C0895" w:rsidRPr="009C0895" w:rsidRDefault="009C0895" w:rsidP="009C0895">
            <w:pPr>
              <w:spacing w:before="0" w:after="0"/>
              <w:ind w:left="22"/>
              <w:jc w:val="left"/>
              <w:rPr>
                <w:sz w:val="20"/>
                <w:szCs w:val="20"/>
              </w:rPr>
            </w:pPr>
            <w:r w:rsidRPr="009C0895">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3B64D84D"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Llamamiento elaborado y enviado</w:t>
            </w:r>
          </w:p>
          <w:p w14:paraId="26CAC6FC"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Nº de hombres formados en igualdad por grupo profesional, por edición de curso y año</w:t>
            </w:r>
          </w:p>
          <w:p w14:paraId="4C407030"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Evolución de la tasa de participación masculina en los cursos de igualdad</w:t>
            </w:r>
          </w:p>
          <w:p w14:paraId="5F1CB595"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Grado de satisfacción de las personas formadas </w:t>
            </w:r>
          </w:p>
        </w:tc>
      </w:tr>
      <w:tr w:rsidR="009C0895" w:rsidRPr="009C0895" w14:paraId="12C5B47E" w14:textId="77777777" w:rsidTr="000F4CC1">
        <w:trPr>
          <w:trHeight w:val="698"/>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9B892EF" w14:textId="77777777" w:rsidR="009C0895" w:rsidRPr="009C0895" w:rsidRDefault="009C0895" w:rsidP="009C0895">
            <w:pPr>
              <w:spacing w:before="0" w:after="0"/>
              <w:ind w:left="22"/>
              <w:jc w:val="left"/>
              <w:rPr>
                <w:sz w:val="20"/>
                <w:szCs w:val="20"/>
              </w:rPr>
            </w:pPr>
            <w:r w:rsidRPr="009C0895">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58E98CA6" w14:textId="77777777" w:rsidR="009C0895" w:rsidRPr="009C0895" w:rsidRDefault="009C0895" w:rsidP="00CA6D3F">
            <w:pPr>
              <w:spacing w:before="0" w:after="0"/>
              <w:ind w:left="152"/>
              <w:jc w:val="left"/>
              <w:rPr>
                <w:sz w:val="20"/>
                <w:szCs w:val="20"/>
              </w:rPr>
            </w:pPr>
            <w:r w:rsidRPr="009C0895">
              <w:rPr>
                <w:sz w:val="20"/>
                <w:szCs w:val="20"/>
              </w:rPr>
              <w:t xml:space="preserve">Anual desde el inicio del Plan de Igualdad  </w:t>
            </w:r>
          </w:p>
        </w:tc>
      </w:tr>
      <w:tr w:rsidR="009C0895" w:rsidRPr="009C0895" w14:paraId="3EA17E59" w14:textId="77777777" w:rsidTr="00EA35D6">
        <w:trPr>
          <w:trHeight w:val="1545"/>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45AA06BC" w14:textId="77777777" w:rsidR="009C0895" w:rsidRPr="009C0895" w:rsidRDefault="009C0895" w:rsidP="00EA35D6">
            <w:pPr>
              <w:spacing w:before="0" w:after="0"/>
              <w:jc w:val="left"/>
              <w:rPr>
                <w:b/>
                <w:bCs/>
                <w:sz w:val="18"/>
                <w:szCs w:val="18"/>
              </w:rPr>
            </w:pPr>
            <w:r w:rsidRPr="009C0895">
              <w:rPr>
                <w:b/>
                <w:bCs/>
                <w:sz w:val="18"/>
                <w:szCs w:val="18"/>
              </w:rPr>
              <w:t>Observaciones</w:t>
            </w:r>
          </w:p>
          <w:p w14:paraId="26D146A5" w14:textId="77777777" w:rsidR="009C0895" w:rsidRPr="009C0895" w:rsidRDefault="009C0895" w:rsidP="00EA35D6">
            <w:pPr>
              <w:spacing w:before="0" w:after="0"/>
              <w:jc w:val="left"/>
              <w:rPr>
                <w:sz w:val="18"/>
                <w:szCs w:val="18"/>
              </w:rPr>
            </w:pPr>
          </w:p>
          <w:p w14:paraId="458FF471" w14:textId="77777777" w:rsidR="009C0895" w:rsidRPr="009C0895" w:rsidRDefault="009C0895" w:rsidP="00EA35D6">
            <w:pPr>
              <w:spacing w:before="0" w:after="0"/>
              <w:jc w:val="left"/>
              <w:rPr>
                <w:b/>
                <w:bCs/>
                <w:sz w:val="20"/>
                <w:szCs w:val="20"/>
              </w:rPr>
            </w:pPr>
            <w:r w:rsidRPr="009C0895">
              <w:rPr>
                <w:sz w:val="18"/>
                <w:szCs w:val="18"/>
              </w:rPr>
              <w:t xml:space="preserve">El llamamiento será difundido junto con la información sobre la oferta formativa anual, particularmente en relación con la oferta de igualdad y, en caso de haberlo, con un Plan continuo de Formación en igualdad. </w:t>
            </w:r>
          </w:p>
        </w:tc>
      </w:tr>
    </w:tbl>
    <w:p w14:paraId="6D72A840" w14:textId="77777777" w:rsidR="00024B4E" w:rsidRDefault="00024B4E" w:rsidP="00024B4E">
      <w:pPr>
        <w:spacing w:line="259" w:lineRule="auto"/>
        <w:jc w:val="left"/>
      </w:pPr>
    </w:p>
    <w:p w14:paraId="62AD9765" w14:textId="77777777" w:rsidR="00024B4E" w:rsidRDefault="00024B4E" w:rsidP="00024B4E">
      <w:pPr>
        <w:spacing w:line="259" w:lineRule="auto"/>
        <w:jc w:val="left"/>
      </w:pPr>
    </w:p>
    <w:p w14:paraId="6BDB5BA3" w14:textId="48E60CB6" w:rsidR="00024B4E" w:rsidRPr="00DF74E4" w:rsidRDefault="00024B4E" w:rsidP="00CA6D3F">
      <w:pPr>
        <w:spacing w:line="259" w:lineRule="auto"/>
        <w:jc w:val="left"/>
      </w:pPr>
      <w:r w:rsidRPr="006B1947">
        <w:rPr>
          <w:rFonts w:eastAsiaTheme="majorEastAsia" w:cstheme="majorBidi"/>
          <w:b/>
          <w:bCs/>
          <w:iCs/>
          <w:snapToGrid w:val="0"/>
          <w:color w:val="78BE20"/>
          <w:sz w:val="24"/>
          <w:szCs w:val="24"/>
        </w:rPr>
        <w:t>OBJETIVO.</w:t>
      </w:r>
      <w:r w:rsidRPr="00124E5E">
        <w:rPr>
          <w:rFonts w:eastAsiaTheme="majorEastAsia" w:cstheme="majorBidi"/>
          <w:iCs/>
          <w:snapToGrid w:val="0"/>
          <w:color w:val="78BE20"/>
          <w:sz w:val="24"/>
          <w:szCs w:val="24"/>
        </w:rPr>
        <w:t xml:space="preserve"> </w:t>
      </w:r>
      <w:r w:rsidRPr="00CA73AA">
        <w:rPr>
          <w:b/>
          <w:bCs/>
        </w:rPr>
        <w:t>Profundizar en la sensibilización del personal público en materia de igualdad entre mujeres y hombres</w:t>
      </w:r>
      <w:r w:rsidRPr="00325538">
        <w:rPr>
          <w:b/>
          <w:bCs/>
        </w:rPr>
        <w:t>.</w:t>
      </w:r>
    </w:p>
    <w:p w14:paraId="59578003" w14:textId="25FD8F7E" w:rsidR="00024B4E" w:rsidRDefault="0060220E" w:rsidP="0060220E">
      <w:pPr>
        <w:pStyle w:val="Ttulo3"/>
      </w:pPr>
      <w:r>
        <w:t>Medida</w:t>
      </w:r>
      <w:r w:rsidR="00024B4E" w:rsidRPr="00EF68AE">
        <w:t xml:space="preserve"> </w:t>
      </w:r>
      <w:r w:rsidR="00024B4E">
        <w:t xml:space="preserve">16 </w:t>
      </w:r>
    </w:p>
    <w:tbl>
      <w:tblPr>
        <w:tblStyle w:val="Tablaconcuadrcula"/>
        <w:tblW w:w="0" w:type="auto"/>
        <w:tblLook w:val="04A0" w:firstRow="1" w:lastRow="0" w:firstColumn="1" w:lastColumn="0" w:noHBand="0" w:noVBand="1"/>
      </w:tblPr>
      <w:tblGrid>
        <w:gridCol w:w="2402"/>
        <w:gridCol w:w="6072"/>
      </w:tblGrid>
      <w:tr w:rsidR="009C0895" w:rsidRPr="009C0895" w14:paraId="5836808D" w14:textId="77777777" w:rsidTr="000F4CC1">
        <w:trPr>
          <w:trHeight w:val="1417"/>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57183F05" w14:textId="77777777" w:rsidR="009C0895" w:rsidRPr="009C0895" w:rsidRDefault="009C0895" w:rsidP="009C0895">
            <w:pPr>
              <w:spacing w:before="0" w:after="0"/>
              <w:ind w:left="22"/>
              <w:jc w:val="left"/>
            </w:pPr>
            <w:r w:rsidRPr="009C0895">
              <w:rPr>
                <w:b/>
                <w:bCs/>
                <w:color w:val="FFFFFF" w:themeColor="background1"/>
              </w:rPr>
              <w:t>Puesta en marcha de, al menos, dos campañas anuales de sensibilización en igualdad sobre los diferentes aspectos que actualmente responden a la agenda feminista.</w:t>
            </w:r>
          </w:p>
        </w:tc>
      </w:tr>
      <w:tr w:rsidR="009C0895" w:rsidRPr="009C0895" w14:paraId="6A99356C" w14:textId="77777777" w:rsidTr="000F4CC1">
        <w:trPr>
          <w:trHeight w:val="605"/>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3DEE83FB" w14:textId="77777777" w:rsidR="009C0895" w:rsidRPr="009C0895" w:rsidRDefault="009C0895" w:rsidP="009C0895">
            <w:pPr>
              <w:spacing w:before="0" w:after="0"/>
              <w:ind w:left="22"/>
              <w:jc w:val="left"/>
              <w:rPr>
                <w:sz w:val="20"/>
                <w:szCs w:val="20"/>
              </w:rPr>
            </w:pPr>
            <w:r w:rsidRPr="009C0895">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0249F719" w14:textId="77777777" w:rsidR="009C0895" w:rsidRPr="009C0895" w:rsidRDefault="009C0895" w:rsidP="009C0895">
            <w:pPr>
              <w:spacing w:before="0" w:after="0"/>
              <w:ind w:left="174" w:right="158"/>
              <w:rPr>
                <w:sz w:val="20"/>
                <w:szCs w:val="20"/>
              </w:rPr>
            </w:pPr>
            <w:r w:rsidRPr="009C0895">
              <w:rPr>
                <w:sz w:val="20"/>
                <w:szCs w:val="20"/>
              </w:rPr>
              <w:t>Personal de la Administración General.</w:t>
            </w:r>
          </w:p>
        </w:tc>
      </w:tr>
      <w:tr w:rsidR="009C0895" w:rsidRPr="009C0895" w14:paraId="7747C5D0" w14:textId="77777777" w:rsidTr="000F4CC1">
        <w:trPr>
          <w:trHeight w:val="2817"/>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2A36B0C" w14:textId="77777777" w:rsidR="009C0895" w:rsidRPr="009C0895" w:rsidRDefault="009C0895" w:rsidP="009C0895">
            <w:pPr>
              <w:spacing w:before="0" w:after="0"/>
              <w:ind w:left="22"/>
              <w:jc w:val="left"/>
              <w:rPr>
                <w:sz w:val="20"/>
                <w:szCs w:val="20"/>
              </w:rPr>
            </w:pPr>
            <w:r w:rsidRPr="009C0895">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224E6AAD"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Elección del Día conmemorativo </w:t>
            </w:r>
          </w:p>
          <w:p w14:paraId="355F34FB"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Elaboración y publicación de pliegos para la/s campaña/s</w:t>
            </w:r>
          </w:p>
          <w:p w14:paraId="20805BA0"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Selección de la temática de la campaña, priorizando aspectos de la agenda feminista, como por ejemplo: la corresponsabilidad y los cuidados, el uso no sexista del lenguaje, el techo de cristal y el liderazgo, la brecha salarial y la discriminación indirecta, el buen trato y la prevención del acoso y otras formas de violencia machista como las conductas contra la libertad sexual, la segregación ocupacional y los estereotipos de género o la diversidad desde una perspectiva </w:t>
            </w:r>
            <w:proofErr w:type="spellStart"/>
            <w:r w:rsidRPr="009C0895">
              <w:rPr>
                <w:sz w:val="20"/>
                <w:szCs w:val="18"/>
              </w:rPr>
              <w:t>interseccional</w:t>
            </w:r>
            <w:proofErr w:type="spellEnd"/>
            <w:r w:rsidRPr="009C0895">
              <w:rPr>
                <w:sz w:val="20"/>
                <w:szCs w:val="18"/>
              </w:rPr>
              <w:t>.</w:t>
            </w:r>
          </w:p>
        </w:tc>
      </w:tr>
      <w:tr w:rsidR="009C0895" w:rsidRPr="009C0895" w14:paraId="78AF9D85" w14:textId="77777777" w:rsidTr="000F4CC1">
        <w:trPr>
          <w:trHeight w:val="1665"/>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77CC1B6" w14:textId="77777777" w:rsidR="009C0895" w:rsidRPr="009C0895" w:rsidRDefault="009C0895" w:rsidP="009C0895">
            <w:pPr>
              <w:spacing w:before="0" w:after="0"/>
              <w:ind w:left="22"/>
              <w:jc w:val="left"/>
              <w:rPr>
                <w:sz w:val="20"/>
                <w:szCs w:val="20"/>
              </w:rPr>
            </w:pPr>
            <w:r w:rsidRPr="009C0895">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2820346B"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Dotación presupuestaria para la/s campaña/s</w:t>
            </w:r>
          </w:p>
          <w:p w14:paraId="7687A36A"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Temáticas seleccionadas </w:t>
            </w:r>
          </w:p>
          <w:p w14:paraId="4C9522B3"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Datos de igualdad de la Administración General de La Rioja Literatura especializada</w:t>
            </w:r>
          </w:p>
          <w:p w14:paraId="10611D59"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Campañas desarrolladas en la AGE o en otras Administraciones Autonómicas</w:t>
            </w:r>
          </w:p>
        </w:tc>
      </w:tr>
      <w:tr w:rsidR="009C0895" w:rsidRPr="009C0895" w14:paraId="53D49277" w14:textId="77777777" w:rsidTr="000F4CC1">
        <w:trPr>
          <w:trHeight w:val="1217"/>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43AEE62" w14:textId="77777777" w:rsidR="009C0895" w:rsidRPr="009C0895" w:rsidRDefault="009C0895" w:rsidP="009C0895">
            <w:pPr>
              <w:spacing w:before="0" w:after="0"/>
              <w:ind w:left="22"/>
              <w:jc w:val="left"/>
              <w:rPr>
                <w:sz w:val="20"/>
                <w:szCs w:val="20"/>
              </w:rPr>
            </w:pPr>
            <w:r w:rsidRPr="009C0895">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3D7CAD7"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Órgano con competencias en materia de Igualdad </w:t>
            </w:r>
          </w:p>
          <w:p w14:paraId="688D7E82"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Comisión Interdepartamental para la igualdad efectiva de mujeres y hombres</w:t>
            </w:r>
          </w:p>
          <w:p w14:paraId="173B2A5B"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Órgano con competencias en materia de Función Pública</w:t>
            </w:r>
          </w:p>
        </w:tc>
      </w:tr>
      <w:tr w:rsidR="009C0895" w:rsidRPr="009C0895" w14:paraId="24B8BC9B" w14:textId="77777777" w:rsidTr="000F4CC1">
        <w:trPr>
          <w:trHeight w:val="509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D03BBEB" w14:textId="77777777" w:rsidR="009C0895" w:rsidRPr="009C0895" w:rsidRDefault="009C0895" w:rsidP="009C0895">
            <w:pPr>
              <w:spacing w:before="0" w:after="0"/>
              <w:ind w:left="22"/>
              <w:jc w:val="left"/>
              <w:rPr>
                <w:sz w:val="20"/>
                <w:szCs w:val="20"/>
              </w:rPr>
            </w:pPr>
            <w:r w:rsidRPr="009C0895">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334CF44C"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Nº y tipo de acciones de difusión llevadas a cabo en cada campaña</w:t>
            </w:r>
          </w:p>
          <w:p w14:paraId="2A44DDDA"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Grado de satisfacción con la campaña de las personas integrantes de la Comisión de Seguimiento del Plan</w:t>
            </w:r>
          </w:p>
          <w:p w14:paraId="2EFFD0A8"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Grado de satisfacción con la campaña de la plantilla, percibido por las personas integrantes de la Comisión de Seguimiento del Plan</w:t>
            </w:r>
          </w:p>
          <w:p w14:paraId="26F49C6B"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Evolución del índice de distribución en el acogimiento a excedencias motivadas por necesidades de cuidados, y reducción de la brecha de género. </w:t>
            </w:r>
          </w:p>
          <w:p w14:paraId="1121711E"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Evolución del índice de distribución de mujeres y hombres en la fórmula de teletrabajo, y reducción de la brecha de género. </w:t>
            </w:r>
          </w:p>
          <w:p w14:paraId="4AFD40DF"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Evolución del índice de distribución en el acogimiento a la flexibilidad horaria, y reducción de la brecha de género. </w:t>
            </w:r>
          </w:p>
          <w:p w14:paraId="70AE94F5"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Evolución del índice de distribución en las reducciones de jornada, y reducción de la brecha de género.</w:t>
            </w:r>
          </w:p>
          <w:p w14:paraId="7495750F"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20"/>
              </w:rPr>
            </w:pPr>
            <w:r w:rsidRPr="009C0895">
              <w:rPr>
                <w:sz w:val="20"/>
                <w:szCs w:val="18"/>
              </w:rPr>
              <w:t>Evolución del índice de distribución en la participación de empleadas y empleados en la formación online, y reducción de la brecha de género.</w:t>
            </w:r>
          </w:p>
        </w:tc>
      </w:tr>
      <w:tr w:rsidR="009C0895" w:rsidRPr="009C0895" w14:paraId="3E1DF5CE" w14:textId="77777777" w:rsidTr="000F4CC1">
        <w:trPr>
          <w:trHeight w:val="567"/>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E285F66" w14:textId="77777777" w:rsidR="009C0895" w:rsidRPr="009C0895" w:rsidRDefault="009C0895" w:rsidP="009C0895">
            <w:pPr>
              <w:spacing w:before="0" w:after="0"/>
              <w:ind w:left="22"/>
              <w:jc w:val="left"/>
              <w:rPr>
                <w:sz w:val="20"/>
                <w:szCs w:val="20"/>
              </w:rPr>
            </w:pPr>
            <w:r w:rsidRPr="009C0895">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4DE0A4C5" w14:textId="77777777" w:rsidR="009C0895" w:rsidRPr="009C0895" w:rsidRDefault="009C0895" w:rsidP="00CA6D3F">
            <w:pPr>
              <w:spacing w:before="0" w:after="0"/>
              <w:ind w:left="152"/>
              <w:jc w:val="left"/>
              <w:rPr>
                <w:sz w:val="20"/>
                <w:szCs w:val="20"/>
              </w:rPr>
            </w:pPr>
            <w:r w:rsidRPr="009C0895">
              <w:rPr>
                <w:sz w:val="20"/>
                <w:szCs w:val="20"/>
              </w:rPr>
              <w:t>Anual desde el inicio del Plan de Igualdad</w:t>
            </w:r>
          </w:p>
        </w:tc>
      </w:tr>
      <w:tr w:rsidR="009C0895" w:rsidRPr="009C0895" w14:paraId="4A245258" w14:textId="77777777" w:rsidTr="00EA35D6">
        <w:trPr>
          <w:trHeight w:val="3118"/>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1E6BAA51" w14:textId="77777777" w:rsidR="009C0895" w:rsidRPr="009C0895" w:rsidRDefault="009C0895" w:rsidP="00EA35D6">
            <w:pPr>
              <w:spacing w:before="0" w:after="0"/>
              <w:jc w:val="left"/>
              <w:rPr>
                <w:b/>
                <w:bCs/>
                <w:sz w:val="18"/>
                <w:szCs w:val="18"/>
              </w:rPr>
            </w:pPr>
            <w:r w:rsidRPr="009C0895">
              <w:rPr>
                <w:b/>
                <w:bCs/>
                <w:sz w:val="18"/>
                <w:szCs w:val="18"/>
              </w:rPr>
              <w:t>Observaciones</w:t>
            </w:r>
          </w:p>
          <w:p w14:paraId="2371AE09" w14:textId="77777777" w:rsidR="009C0895" w:rsidRPr="009C0895" w:rsidRDefault="009C0895" w:rsidP="00EA35D6">
            <w:pPr>
              <w:spacing w:before="0" w:after="0"/>
              <w:jc w:val="left"/>
              <w:rPr>
                <w:sz w:val="18"/>
                <w:szCs w:val="18"/>
              </w:rPr>
            </w:pPr>
          </w:p>
          <w:p w14:paraId="5B2E431E" w14:textId="77777777" w:rsidR="009C0895" w:rsidRPr="009C0895" w:rsidRDefault="009C0895" w:rsidP="00EA35D6">
            <w:pPr>
              <w:spacing w:before="0" w:after="0"/>
              <w:jc w:val="left"/>
              <w:rPr>
                <w:sz w:val="18"/>
                <w:szCs w:val="18"/>
              </w:rPr>
            </w:pPr>
            <w:r w:rsidRPr="009C0895">
              <w:rPr>
                <w:sz w:val="18"/>
                <w:szCs w:val="18"/>
              </w:rPr>
              <w:t>Una de las campañas se mantendrá el 8 de marzo; la segunda se realizará en torno a otro día conmemorativo relacionado con la igualdad entre mujeres y hombres (11 de febrero – Día Internacional de la mujer y la niña en la Ciencia; 22 de febrero – Día europeo por la igualdad salarial; 28 de abril – Día Internacional de las niñas en las TIC; 15 de octubre – Día Internacional de las mujeres rurales; 25 de noviembre – Día Internacional para la eliminación de la violencia contra las mujeres; etc.)</w:t>
            </w:r>
          </w:p>
          <w:p w14:paraId="18D1CA6A" w14:textId="77777777" w:rsidR="009C0895" w:rsidRPr="009C0895" w:rsidRDefault="009C0895" w:rsidP="00EA35D6">
            <w:pPr>
              <w:spacing w:before="0" w:after="0"/>
              <w:jc w:val="left"/>
              <w:rPr>
                <w:sz w:val="18"/>
                <w:szCs w:val="18"/>
              </w:rPr>
            </w:pPr>
          </w:p>
          <w:p w14:paraId="434F094B" w14:textId="77777777" w:rsidR="009C0895" w:rsidRPr="009C0895" w:rsidRDefault="009C0895" w:rsidP="00EA35D6">
            <w:pPr>
              <w:spacing w:before="0" w:after="0"/>
              <w:jc w:val="left"/>
              <w:rPr>
                <w:b/>
                <w:bCs/>
                <w:sz w:val="20"/>
                <w:szCs w:val="20"/>
              </w:rPr>
            </w:pPr>
            <w:r w:rsidRPr="009C0895">
              <w:rPr>
                <w:sz w:val="18"/>
                <w:szCs w:val="18"/>
              </w:rPr>
              <w:t xml:space="preserve">A partir de la primera campaña (2023) se podrán tomar las valoraciones de la Comisión de Seguimiento del Plan, incluidas en los Informes de Seguimiento, para la elección de las sucesivas temáticas. </w:t>
            </w:r>
          </w:p>
        </w:tc>
      </w:tr>
    </w:tbl>
    <w:p w14:paraId="11E73A57" w14:textId="77777777" w:rsidR="00024B4E" w:rsidRDefault="00024B4E" w:rsidP="00024B4E">
      <w:pPr>
        <w:spacing w:line="259" w:lineRule="auto"/>
        <w:jc w:val="left"/>
      </w:pPr>
    </w:p>
    <w:p w14:paraId="6EB5E82E" w14:textId="77777777" w:rsidR="00024B4E" w:rsidRDefault="00024B4E" w:rsidP="00024B4E">
      <w:pPr>
        <w:spacing w:line="259" w:lineRule="auto"/>
        <w:jc w:val="left"/>
      </w:pPr>
      <w:r>
        <w:br w:type="page"/>
      </w:r>
    </w:p>
    <w:p w14:paraId="53991EFA" w14:textId="77777777" w:rsidR="00024B4E" w:rsidRPr="00325538" w:rsidRDefault="00024B4E" w:rsidP="00024B4E">
      <w:r w:rsidRPr="00124E5E">
        <w:rPr>
          <w:rFonts w:eastAsiaTheme="majorEastAsia" w:cstheme="majorBidi"/>
          <w:b/>
          <w:bCs/>
          <w:iCs/>
          <w:snapToGrid w:val="0"/>
          <w:color w:val="78BE20"/>
          <w:sz w:val="24"/>
          <w:szCs w:val="24"/>
        </w:rPr>
        <w:t xml:space="preserve">OBJETIVO. </w:t>
      </w:r>
      <w:bookmarkStart w:id="31" w:name="_Hlk120539793"/>
      <w:r w:rsidRPr="006B1947">
        <w:rPr>
          <w:b/>
          <w:bCs/>
        </w:rPr>
        <w:t>Vigilar la adecuada implementación del Protocolo de prevención del acoso sexual y por razón de sexo</w:t>
      </w:r>
      <w:r>
        <w:rPr>
          <w:b/>
          <w:bCs/>
        </w:rPr>
        <w:t xml:space="preserve"> y del </w:t>
      </w:r>
      <w:r w:rsidRPr="00302457">
        <w:rPr>
          <w:b/>
          <w:bCs/>
        </w:rPr>
        <w:t>Procedimiento para la protección a las empleadas públicas víctimas de violencia de género</w:t>
      </w:r>
      <w:r w:rsidRPr="00325538">
        <w:rPr>
          <w:b/>
          <w:bCs/>
        </w:rPr>
        <w:t>.</w:t>
      </w:r>
    </w:p>
    <w:bookmarkEnd w:id="31"/>
    <w:p w14:paraId="344636CF" w14:textId="17D568EF" w:rsidR="00024B4E" w:rsidRPr="00DF74E4" w:rsidRDefault="0060220E" w:rsidP="0060220E">
      <w:pPr>
        <w:pStyle w:val="Ttulo3"/>
      </w:pPr>
      <w:r>
        <w:t>Medida</w:t>
      </w:r>
      <w:r w:rsidR="00024B4E" w:rsidRPr="00EF68AE">
        <w:t xml:space="preserve"> </w:t>
      </w:r>
      <w:r w:rsidR="00024B4E" w:rsidRPr="00DF74E4">
        <w:t>1</w:t>
      </w:r>
      <w:r w:rsidR="00024B4E">
        <w:t>7</w:t>
      </w:r>
    </w:p>
    <w:tbl>
      <w:tblPr>
        <w:tblStyle w:val="Tablaconcuadrcula"/>
        <w:tblW w:w="0" w:type="auto"/>
        <w:tblLook w:val="04A0" w:firstRow="1" w:lastRow="0" w:firstColumn="1" w:lastColumn="0" w:noHBand="0" w:noVBand="1"/>
      </w:tblPr>
      <w:tblGrid>
        <w:gridCol w:w="2402"/>
        <w:gridCol w:w="6072"/>
      </w:tblGrid>
      <w:tr w:rsidR="009C0895" w:rsidRPr="009C0895" w14:paraId="5F4B29F4" w14:textId="77777777" w:rsidTr="000F4CC1">
        <w:trPr>
          <w:trHeight w:val="1274"/>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2E892B34" w14:textId="77777777" w:rsidR="009C0895" w:rsidRPr="009C0895" w:rsidRDefault="009C0895" w:rsidP="009C0895">
            <w:pPr>
              <w:spacing w:before="0" w:after="0"/>
              <w:ind w:left="22"/>
              <w:jc w:val="left"/>
            </w:pPr>
            <w:r w:rsidRPr="009C0895">
              <w:rPr>
                <w:b/>
                <w:bCs/>
                <w:color w:val="FFFFFF" w:themeColor="background1"/>
              </w:rPr>
              <w:t xml:space="preserve">Capacitación especializada en materia de prevención e identificación de conductas acoso sexual y por razón de sexo y actuación ante posibles casos tanto de acoso como de violencia de género. </w:t>
            </w:r>
          </w:p>
        </w:tc>
      </w:tr>
      <w:tr w:rsidR="009C0895" w:rsidRPr="009C0895" w14:paraId="16771550" w14:textId="77777777" w:rsidTr="000F4CC1">
        <w:trPr>
          <w:trHeight w:val="1571"/>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61955B18" w14:textId="77777777" w:rsidR="009C0895" w:rsidRPr="009C0895" w:rsidRDefault="009C0895" w:rsidP="009C0895">
            <w:pPr>
              <w:spacing w:before="0" w:after="0"/>
              <w:ind w:left="22"/>
              <w:jc w:val="center"/>
              <w:rPr>
                <w:sz w:val="20"/>
                <w:szCs w:val="20"/>
              </w:rPr>
            </w:pPr>
            <w:r w:rsidRPr="009C0895">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39D47F50"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Integrantes de la Comisión Instructora del Protocolo de acoso, y del Procedimiento de violencia de género</w:t>
            </w:r>
          </w:p>
          <w:p w14:paraId="2824E081"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Personal del Servicio de Prevención de Riesgos Laborales </w:t>
            </w:r>
          </w:p>
          <w:p w14:paraId="29C5706F"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Agentes de igualdad sindicales que tienen un puesto en la Administración General. </w:t>
            </w:r>
          </w:p>
        </w:tc>
      </w:tr>
      <w:tr w:rsidR="009C0895" w:rsidRPr="009C0895" w14:paraId="1AD4F96D" w14:textId="77777777" w:rsidTr="000F4CC1">
        <w:trPr>
          <w:trHeight w:val="126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179605F" w14:textId="77777777" w:rsidR="009C0895" w:rsidRPr="009C0895" w:rsidRDefault="009C0895" w:rsidP="009C0895">
            <w:pPr>
              <w:spacing w:before="0" w:after="0"/>
              <w:ind w:left="22"/>
              <w:jc w:val="left"/>
              <w:rPr>
                <w:sz w:val="20"/>
                <w:szCs w:val="20"/>
              </w:rPr>
            </w:pPr>
            <w:r w:rsidRPr="009C0895">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8731332"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Identificación de objetivos de aprendizaje y descripción de los contenidos del curso</w:t>
            </w:r>
          </w:p>
          <w:p w14:paraId="51B45A93"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Selección del profesorado </w:t>
            </w:r>
          </w:p>
          <w:p w14:paraId="0F03AB72"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Calendarización </w:t>
            </w:r>
          </w:p>
        </w:tc>
      </w:tr>
      <w:tr w:rsidR="009C0895" w:rsidRPr="009C0895" w14:paraId="392D4A7D" w14:textId="77777777" w:rsidTr="000F4CC1">
        <w:trPr>
          <w:trHeight w:val="1986"/>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771893C" w14:textId="77777777" w:rsidR="009C0895" w:rsidRPr="009C0895" w:rsidRDefault="009C0895" w:rsidP="009C0895">
            <w:pPr>
              <w:spacing w:before="0" w:after="0"/>
              <w:ind w:left="22"/>
              <w:jc w:val="left"/>
              <w:rPr>
                <w:sz w:val="20"/>
                <w:szCs w:val="20"/>
              </w:rPr>
            </w:pPr>
            <w:r w:rsidRPr="009C0895">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9AABD4E"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Informes de evaluación del profesorado de la ERAP</w:t>
            </w:r>
          </w:p>
          <w:p w14:paraId="062D3294"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Listado de profesorado alternativo</w:t>
            </w:r>
          </w:p>
          <w:p w14:paraId="0EFA180F"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Normativa vinculante a nivel estatal e internacional</w:t>
            </w:r>
          </w:p>
          <w:p w14:paraId="2B79A515"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Literatura especializada</w:t>
            </w:r>
          </w:p>
          <w:p w14:paraId="74BEE1DB"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Protocolo de prevención del acoso de la Administración General </w:t>
            </w:r>
          </w:p>
          <w:p w14:paraId="59EB767C"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Dotación presupuestaria de la ERAP</w:t>
            </w:r>
          </w:p>
        </w:tc>
      </w:tr>
      <w:tr w:rsidR="009C0895" w:rsidRPr="009C0895" w14:paraId="71B00D8B" w14:textId="77777777" w:rsidTr="000F4CC1">
        <w:trPr>
          <w:trHeight w:val="584"/>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98F7647" w14:textId="77777777" w:rsidR="009C0895" w:rsidRPr="009C0895" w:rsidRDefault="009C0895" w:rsidP="009C0895">
            <w:pPr>
              <w:spacing w:before="0" w:after="0"/>
              <w:ind w:left="22"/>
              <w:jc w:val="left"/>
              <w:rPr>
                <w:sz w:val="20"/>
                <w:szCs w:val="20"/>
              </w:rPr>
            </w:pPr>
            <w:r w:rsidRPr="009C0895">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2FB9459B" w14:textId="77777777" w:rsidR="009C0895" w:rsidRPr="009C0895" w:rsidRDefault="009C0895" w:rsidP="009C0895">
            <w:pPr>
              <w:spacing w:before="0" w:after="0"/>
              <w:ind w:left="315" w:hanging="218"/>
            </w:pPr>
            <w:r w:rsidRPr="009C0895">
              <w:rPr>
                <w:sz w:val="20"/>
                <w:szCs w:val="20"/>
              </w:rPr>
              <w:t>ERAP</w:t>
            </w:r>
          </w:p>
        </w:tc>
      </w:tr>
      <w:tr w:rsidR="009C0895" w:rsidRPr="009C0895" w14:paraId="4C023DDC" w14:textId="77777777" w:rsidTr="000F4CC1">
        <w:trPr>
          <w:trHeight w:val="144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A047D38" w14:textId="77777777" w:rsidR="009C0895" w:rsidRPr="009C0895" w:rsidRDefault="009C0895" w:rsidP="009C0895">
            <w:pPr>
              <w:spacing w:before="0" w:after="0"/>
              <w:ind w:left="22"/>
              <w:jc w:val="left"/>
              <w:rPr>
                <w:sz w:val="20"/>
                <w:szCs w:val="20"/>
              </w:rPr>
            </w:pPr>
            <w:r w:rsidRPr="009C0895">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9447A39"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Nº de horas impartidas </w:t>
            </w:r>
          </w:p>
          <w:p w14:paraId="0311D558"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18"/>
              </w:rPr>
            </w:pPr>
            <w:r w:rsidRPr="009C0895">
              <w:rPr>
                <w:sz w:val="20"/>
                <w:szCs w:val="18"/>
              </w:rPr>
              <w:t xml:space="preserve">Nº de personas capacitadas según sexo y parte representada dentro de la Comisión Instructora </w:t>
            </w:r>
          </w:p>
          <w:p w14:paraId="5E325560" w14:textId="77777777" w:rsidR="009C0895" w:rsidRPr="009C0895" w:rsidRDefault="009C0895">
            <w:pPr>
              <w:numPr>
                <w:ilvl w:val="0"/>
                <w:numId w:val="8"/>
              </w:numPr>
              <w:tabs>
                <w:tab w:val="left" w:pos="5698"/>
              </w:tabs>
              <w:spacing w:before="0" w:after="0" w:line="259" w:lineRule="auto"/>
              <w:ind w:left="294" w:right="12" w:hanging="197"/>
              <w:contextualSpacing/>
              <w:jc w:val="left"/>
              <w:rPr>
                <w:sz w:val="20"/>
                <w:szCs w:val="20"/>
              </w:rPr>
            </w:pPr>
            <w:r w:rsidRPr="009C0895">
              <w:rPr>
                <w:sz w:val="20"/>
                <w:szCs w:val="18"/>
              </w:rPr>
              <w:t>Grado de satisfacción de las personas formadas según sexo y parte representada dentro de la Comisión Instructora</w:t>
            </w:r>
            <w:r w:rsidRPr="009C0895">
              <w:rPr>
                <w:snapToGrid w:val="0"/>
                <w:sz w:val="20"/>
                <w:szCs w:val="18"/>
              </w:rPr>
              <w:t xml:space="preserve"> </w:t>
            </w:r>
          </w:p>
        </w:tc>
      </w:tr>
      <w:tr w:rsidR="009C0895" w:rsidRPr="009C0895" w14:paraId="50972B98" w14:textId="77777777" w:rsidTr="000F4CC1">
        <w:trPr>
          <w:trHeight w:val="698"/>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D0C06AE" w14:textId="77777777" w:rsidR="009C0895" w:rsidRPr="009C0895" w:rsidRDefault="009C0895" w:rsidP="009C0895">
            <w:pPr>
              <w:spacing w:before="0" w:after="0"/>
              <w:ind w:left="22"/>
              <w:jc w:val="left"/>
              <w:rPr>
                <w:sz w:val="20"/>
                <w:szCs w:val="20"/>
              </w:rPr>
            </w:pPr>
            <w:r w:rsidRPr="009C0895">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2168E7F3" w14:textId="77777777" w:rsidR="009C0895" w:rsidRPr="009C0895" w:rsidRDefault="009C0895" w:rsidP="00CA6D3F">
            <w:pPr>
              <w:spacing w:before="0" w:after="0"/>
              <w:ind w:left="152"/>
              <w:jc w:val="left"/>
              <w:rPr>
                <w:sz w:val="20"/>
                <w:szCs w:val="20"/>
              </w:rPr>
            </w:pPr>
            <w:r w:rsidRPr="009C0895">
              <w:rPr>
                <w:sz w:val="20"/>
                <w:szCs w:val="20"/>
              </w:rPr>
              <w:t xml:space="preserve">Año 1 desde el inicio del Plan de Igualdad  </w:t>
            </w:r>
          </w:p>
        </w:tc>
      </w:tr>
      <w:tr w:rsidR="009C0895" w:rsidRPr="009C0895" w14:paraId="4AEF4DD9" w14:textId="77777777" w:rsidTr="00EA35D6">
        <w:trPr>
          <w:trHeight w:val="1481"/>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527049A6" w14:textId="77777777" w:rsidR="009C0895" w:rsidRPr="009C0895" w:rsidRDefault="009C0895" w:rsidP="00EA35D6">
            <w:pPr>
              <w:spacing w:before="0" w:after="0"/>
              <w:jc w:val="left"/>
              <w:rPr>
                <w:b/>
                <w:bCs/>
                <w:sz w:val="18"/>
                <w:szCs w:val="18"/>
              </w:rPr>
            </w:pPr>
            <w:r w:rsidRPr="009C0895">
              <w:rPr>
                <w:b/>
                <w:bCs/>
                <w:sz w:val="18"/>
                <w:szCs w:val="18"/>
              </w:rPr>
              <w:t>Observaciones</w:t>
            </w:r>
          </w:p>
          <w:p w14:paraId="38C64091" w14:textId="77777777" w:rsidR="009C0895" w:rsidRPr="009C0895" w:rsidRDefault="009C0895" w:rsidP="00EA35D6">
            <w:pPr>
              <w:spacing w:before="0" w:after="0"/>
              <w:jc w:val="left"/>
              <w:rPr>
                <w:sz w:val="18"/>
                <w:szCs w:val="18"/>
              </w:rPr>
            </w:pPr>
          </w:p>
          <w:p w14:paraId="28A7DDA8" w14:textId="77777777" w:rsidR="009C0895" w:rsidRPr="009C0895" w:rsidRDefault="009C0895" w:rsidP="00EA35D6">
            <w:pPr>
              <w:spacing w:before="0" w:after="0"/>
              <w:jc w:val="left"/>
              <w:rPr>
                <w:b/>
                <w:bCs/>
                <w:sz w:val="20"/>
                <w:szCs w:val="20"/>
              </w:rPr>
            </w:pPr>
            <w:r w:rsidRPr="009C0895">
              <w:rPr>
                <w:sz w:val="18"/>
                <w:szCs w:val="18"/>
              </w:rPr>
              <w:t xml:space="preserve">Participarán en esta formación las personas titulares de la Comisión Instructora del procedimiento de actuación, así como sus suplentes. La impartición del curso será, por tanto, posterior a la creación de dicha Comisión. </w:t>
            </w:r>
          </w:p>
        </w:tc>
      </w:tr>
    </w:tbl>
    <w:p w14:paraId="49E1D4B0" w14:textId="77777777" w:rsidR="00024B4E" w:rsidRDefault="00024B4E" w:rsidP="005121F6"/>
    <w:p w14:paraId="595751F2" w14:textId="20127A70" w:rsidR="00332DE1" w:rsidRDefault="00332DE1" w:rsidP="005121F6">
      <w:r>
        <w:br w:type="page"/>
      </w:r>
    </w:p>
    <w:p w14:paraId="1D3A35C5" w14:textId="2B98486F" w:rsidR="005121F6" w:rsidRDefault="009C0895" w:rsidP="00024B4E">
      <w:pPr>
        <w:pStyle w:val="Ttulo2"/>
        <w:rPr>
          <w:rFonts w:cs="Arial"/>
        </w:rPr>
      </w:pPr>
      <w:bookmarkStart w:id="32" w:name="_Toc122080801"/>
      <w:r>
        <w:rPr>
          <w:rFonts w:cs="Arial"/>
        </w:rPr>
        <w:t>Ámbito</w:t>
      </w:r>
      <w:r w:rsidR="005121F6">
        <w:rPr>
          <w:rFonts w:cs="Arial"/>
        </w:rPr>
        <w:t xml:space="preserve"> 3. </w:t>
      </w:r>
      <w:r w:rsidR="005121F6" w:rsidRPr="000A25DD">
        <w:t>Acceso</w:t>
      </w:r>
      <w:r w:rsidR="005121F6" w:rsidRPr="005121F6">
        <w:t xml:space="preserve"> al empleo público</w:t>
      </w:r>
      <w:bookmarkEnd w:id="32"/>
      <w:r w:rsidR="005121F6">
        <w:rPr>
          <w:rFonts w:cs="Arial"/>
        </w:rPr>
        <w:t xml:space="preserve"> </w:t>
      </w:r>
    </w:p>
    <w:p w14:paraId="37DD4512" w14:textId="2C06718C" w:rsidR="005121F6" w:rsidRDefault="00564CC6" w:rsidP="005121F6">
      <w:pPr>
        <w:rPr>
          <w:lang w:val="es-ES_tradnl"/>
        </w:rPr>
      </w:pPr>
      <w:r w:rsidRPr="00EA35D6">
        <w:rPr>
          <w:b/>
          <w:bCs/>
          <w:lang w:val="es-ES_tradnl"/>
        </w:rPr>
        <w:t xml:space="preserve">Este ámbito contiene </w:t>
      </w:r>
      <w:r w:rsidR="00FC5885">
        <w:rPr>
          <w:b/>
          <w:bCs/>
          <w:lang w:val="es-ES_tradnl"/>
        </w:rPr>
        <w:t>2</w:t>
      </w:r>
      <w:r w:rsidRPr="00EA35D6">
        <w:rPr>
          <w:b/>
          <w:bCs/>
          <w:lang w:val="es-ES_tradnl"/>
        </w:rPr>
        <w:t xml:space="preserve"> medidas complementarias para avanzar desde el acceso al empleo público a la plena integración</w:t>
      </w:r>
      <w:r>
        <w:rPr>
          <w:lang w:val="es-ES_tradnl"/>
        </w:rPr>
        <w:t xml:space="preserve"> del principio de igualdad en el empleo público. Se plantean dos objetivos:</w:t>
      </w:r>
    </w:p>
    <w:p w14:paraId="32356C18" w14:textId="77777777" w:rsidR="00564CC6" w:rsidRDefault="00564CC6">
      <w:pPr>
        <w:spacing w:before="0" w:after="160" w:line="259" w:lineRule="auto"/>
        <w:jc w:val="left"/>
      </w:pPr>
    </w:p>
    <w:tbl>
      <w:tblPr>
        <w:tblStyle w:val="Tablaconcuadrcula"/>
        <w:tblW w:w="0" w:type="auto"/>
        <w:tblLook w:val="04A0" w:firstRow="1" w:lastRow="0" w:firstColumn="1" w:lastColumn="0" w:noHBand="0" w:noVBand="1"/>
      </w:tblPr>
      <w:tblGrid>
        <w:gridCol w:w="1101"/>
        <w:gridCol w:w="7543"/>
      </w:tblGrid>
      <w:tr w:rsidR="000A25DD" w14:paraId="4AAE57DD" w14:textId="77777777" w:rsidTr="00CA6D3F">
        <w:tc>
          <w:tcPr>
            <w:tcW w:w="8644" w:type="dxa"/>
            <w:gridSpan w:val="2"/>
            <w:tcBorders>
              <w:top w:val="single" w:sz="4" w:space="0" w:color="78BE20"/>
              <w:left w:val="single" w:sz="4" w:space="0" w:color="78BE20"/>
              <w:bottom w:val="single" w:sz="4" w:space="0" w:color="FFFFFF"/>
              <w:right w:val="single" w:sz="4" w:space="0" w:color="78BE20"/>
            </w:tcBorders>
            <w:vAlign w:val="center"/>
          </w:tcPr>
          <w:p w14:paraId="4771D392" w14:textId="77777777" w:rsidR="002F7442" w:rsidRDefault="002F7442" w:rsidP="005A0D87">
            <w:pPr>
              <w:spacing w:before="0" w:after="0" w:line="259" w:lineRule="auto"/>
              <w:rPr>
                <w:b/>
                <w:bCs/>
                <w:sz w:val="20"/>
                <w:szCs w:val="20"/>
              </w:rPr>
            </w:pPr>
            <w:bookmarkStart w:id="33" w:name="_Hlk121134416"/>
          </w:p>
          <w:p w14:paraId="34AA560E" w14:textId="50577D61" w:rsidR="000A25DD" w:rsidRDefault="000A25DD" w:rsidP="005A0D87">
            <w:pPr>
              <w:spacing w:before="0" w:after="0" w:line="259" w:lineRule="auto"/>
              <w:rPr>
                <w:sz w:val="20"/>
                <w:szCs w:val="20"/>
              </w:rPr>
            </w:pPr>
            <w:r w:rsidRPr="005A0D87">
              <w:rPr>
                <w:b/>
                <w:bCs/>
                <w:sz w:val="20"/>
                <w:szCs w:val="20"/>
              </w:rPr>
              <w:t>Ofrecer el empleo público en la Administración General de La Rioja como una oportunidad de desarrollo profesional libre de estereotipos en un contexto estable, flexible, innovador y diverso</w:t>
            </w:r>
            <w:r w:rsidR="005A0D87">
              <w:rPr>
                <w:b/>
                <w:bCs/>
                <w:sz w:val="20"/>
                <w:szCs w:val="20"/>
              </w:rPr>
              <w:t>.</w:t>
            </w:r>
          </w:p>
          <w:p w14:paraId="01E85FC2" w14:textId="3E1487CB" w:rsidR="005A0D87" w:rsidRDefault="005A0D87" w:rsidP="005A0D87">
            <w:pPr>
              <w:spacing w:before="0" w:after="0" w:line="259" w:lineRule="auto"/>
            </w:pPr>
          </w:p>
        </w:tc>
      </w:tr>
      <w:tr w:rsidR="000A25DD" w14:paraId="19741904" w14:textId="77777777" w:rsidTr="00F71AE3">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1D6D9095" w14:textId="60314BD2" w:rsidR="000A25DD" w:rsidRPr="000A25DD" w:rsidRDefault="002F7442" w:rsidP="00DC5E52">
            <w:pPr>
              <w:spacing w:before="0" w:after="0" w:line="259" w:lineRule="auto"/>
              <w:jc w:val="right"/>
              <w:rPr>
                <w:b/>
                <w:bCs/>
                <w:color w:val="FFFFFF" w:themeColor="background1"/>
              </w:rPr>
            </w:pPr>
            <w:r w:rsidRPr="002F7442">
              <w:rPr>
                <w:b/>
                <w:bCs/>
                <w:color w:val="FFFFFF" w:themeColor="background1"/>
                <w:sz w:val="20"/>
                <w:szCs w:val="20"/>
              </w:rPr>
              <w:t xml:space="preserve">Medida </w:t>
            </w:r>
            <w:r w:rsidR="00A95818">
              <w:rPr>
                <w:b/>
                <w:bCs/>
                <w:color w:val="FFFFFF" w:themeColor="background1"/>
                <w:sz w:val="32"/>
                <w:szCs w:val="32"/>
              </w:rPr>
              <w:t>18</w:t>
            </w:r>
            <w:r w:rsidR="000A25DD" w:rsidRPr="000A25DD">
              <w:rPr>
                <w:b/>
                <w:bCs/>
                <w:color w:val="FFFFFF" w:themeColor="background1"/>
                <w:sz w:val="20"/>
                <w:szCs w:val="20"/>
              </w:rPr>
              <w:t xml:space="preserve"> </w:t>
            </w:r>
          </w:p>
        </w:tc>
        <w:tc>
          <w:tcPr>
            <w:tcW w:w="7543" w:type="dxa"/>
            <w:tcBorders>
              <w:top w:val="single" w:sz="4" w:space="0" w:color="FFFFFF"/>
              <w:left w:val="single" w:sz="4" w:space="0" w:color="FFFFFF"/>
              <w:bottom w:val="single" w:sz="4" w:space="0" w:color="FFFFFF" w:themeColor="background1"/>
              <w:right w:val="single" w:sz="4" w:space="0" w:color="78BE20"/>
            </w:tcBorders>
            <w:vAlign w:val="center"/>
          </w:tcPr>
          <w:p w14:paraId="0F505FB3" w14:textId="4F1E7D28" w:rsidR="000A25DD" w:rsidRPr="00A95818" w:rsidRDefault="00A95818" w:rsidP="005A0D87">
            <w:pPr>
              <w:spacing w:before="0" w:after="0" w:line="259" w:lineRule="auto"/>
            </w:pPr>
            <w:r w:rsidRPr="00A95818">
              <w:rPr>
                <w:sz w:val="20"/>
                <w:szCs w:val="20"/>
              </w:rPr>
              <w:t xml:space="preserve">Implementación de una campaña de atracción del talento joven que movilice a mujeres y hombres hacia el empleo público en La Rioja, aplicando la perspectiva de género </w:t>
            </w:r>
            <w:proofErr w:type="spellStart"/>
            <w:r w:rsidRPr="00A95818">
              <w:rPr>
                <w:sz w:val="20"/>
                <w:szCs w:val="20"/>
              </w:rPr>
              <w:t>interseccional</w:t>
            </w:r>
            <w:proofErr w:type="spellEnd"/>
            <w:r w:rsidRPr="00A95818">
              <w:rPr>
                <w:sz w:val="20"/>
                <w:szCs w:val="20"/>
              </w:rPr>
              <w:t xml:space="preserve">.   </w:t>
            </w:r>
          </w:p>
        </w:tc>
      </w:tr>
      <w:tr w:rsidR="000A25DD" w14:paraId="08E60D19" w14:textId="77777777" w:rsidTr="00F71AE3">
        <w:tc>
          <w:tcPr>
            <w:tcW w:w="8644" w:type="dxa"/>
            <w:gridSpan w:val="2"/>
            <w:tcBorders>
              <w:top w:val="single" w:sz="4" w:space="0" w:color="78BE20"/>
              <w:left w:val="single" w:sz="4" w:space="0" w:color="78BE20"/>
              <w:bottom w:val="single" w:sz="4" w:space="0" w:color="FFFFFF"/>
              <w:right w:val="single" w:sz="4" w:space="0" w:color="78BE20"/>
            </w:tcBorders>
            <w:vAlign w:val="center"/>
          </w:tcPr>
          <w:p w14:paraId="1A3AE7BE" w14:textId="57C8CA2F" w:rsidR="005A0D87" w:rsidRDefault="005A0D87" w:rsidP="005A0D87">
            <w:pPr>
              <w:spacing w:before="0" w:after="0" w:line="259" w:lineRule="auto"/>
              <w:rPr>
                <w:b/>
                <w:bCs/>
                <w:color w:val="78BE20"/>
                <w:sz w:val="20"/>
                <w:szCs w:val="20"/>
              </w:rPr>
            </w:pPr>
          </w:p>
          <w:p w14:paraId="4D014BB5" w14:textId="77777777" w:rsidR="00CA6D3F" w:rsidRDefault="00CA6D3F" w:rsidP="005A0D87">
            <w:pPr>
              <w:spacing w:before="0" w:after="0" w:line="259" w:lineRule="auto"/>
              <w:rPr>
                <w:b/>
                <w:bCs/>
                <w:color w:val="78BE20"/>
                <w:sz w:val="20"/>
                <w:szCs w:val="20"/>
              </w:rPr>
            </w:pPr>
          </w:p>
          <w:p w14:paraId="7769DD2B" w14:textId="77777777" w:rsidR="005A0D87" w:rsidRDefault="005A0D87" w:rsidP="005A0D87">
            <w:pPr>
              <w:spacing w:before="0" w:after="0" w:line="259" w:lineRule="auto"/>
              <w:rPr>
                <w:b/>
                <w:bCs/>
                <w:color w:val="78BE20"/>
                <w:sz w:val="20"/>
                <w:szCs w:val="20"/>
              </w:rPr>
            </w:pPr>
          </w:p>
          <w:p w14:paraId="6D0AC2AA" w14:textId="59884503" w:rsidR="000A25DD" w:rsidRDefault="000A25DD" w:rsidP="005A0D87">
            <w:pPr>
              <w:spacing w:before="0" w:after="0" w:line="259" w:lineRule="auto"/>
              <w:rPr>
                <w:sz w:val="20"/>
                <w:szCs w:val="20"/>
              </w:rPr>
            </w:pPr>
            <w:r w:rsidRPr="005A0D87">
              <w:rPr>
                <w:b/>
                <w:bCs/>
                <w:sz w:val="20"/>
                <w:szCs w:val="20"/>
              </w:rPr>
              <w:t>Afianzar la igualdad como un principio transversal de la Política Pública y de la actividad administrativa, facilitando su estudio y conocimiento por medio de las pruebas de acceso al empleo público en la Administración General de La Rioja</w:t>
            </w:r>
            <w:r w:rsidR="005A0D87">
              <w:rPr>
                <w:b/>
                <w:bCs/>
                <w:sz w:val="20"/>
                <w:szCs w:val="20"/>
              </w:rPr>
              <w:t>.</w:t>
            </w:r>
          </w:p>
          <w:p w14:paraId="4422DF87" w14:textId="05B432BA" w:rsidR="005A0D87" w:rsidRPr="000A25DD" w:rsidRDefault="005A0D87" w:rsidP="005A0D87">
            <w:pPr>
              <w:spacing w:before="0" w:after="0" w:line="259" w:lineRule="auto"/>
              <w:rPr>
                <w:sz w:val="20"/>
                <w:szCs w:val="20"/>
              </w:rPr>
            </w:pPr>
          </w:p>
        </w:tc>
      </w:tr>
      <w:tr w:rsidR="000A25DD" w14:paraId="31AD25E4" w14:textId="77777777" w:rsidTr="00CA6D3F">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7C911D65" w14:textId="3C6B078C" w:rsidR="000A25DD" w:rsidRDefault="002F7442" w:rsidP="00A95818">
            <w:pPr>
              <w:spacing w:before="0" w:after="0" w:line="259" w:lineRule="auto"/>
              <w:jc w:val="right"/>
            </w:pPr>
            <w:r w:rsidRPr="002F7442">
              <w:rPr>
                <w:b/>
                <w:bCs/>
                <w:color w:val="FFFFFF" w:themeColor="background1"/>
                <w:sz w:val="20"/>
                <w:szCs w:val="20"/>
              </w:rPr>
              <w:t xml:space="preserve">Medida </w:t>
            </w:r>
            <w:r w:rsidR="00A95818">
              <w:rPr>
                <w:b/>
                <w:bCs/>
                <w:color w:val="FFFFFF" w:themeColor="background1"/>
                <w:sz w:val="32"/>
                <w:szCs w:val="32"/>
              </w:rPr>
              <w:t>19</w:t>
            </w:r>
          </w:p>
        </w:tc>
        <w:tc>
          <w:tcPr>
            <w:tcW w:w="7543" w:type="dxa"/>
            <w:tcBorders>
              <w:top w:val="single" w:sz="4" w:space="0" w:color="FFFFFF"/>
              <w:left w:val="single" w:sz="4" w:space="0" w:color="FFFFFF"/>
              <w:bottom w:val="single" w:sz="4" w:space="0" w:color="78BE20"/>
              <w:right w:val="single" w:sz="4" w:space="0" w:color="78BE20"/>
            </w:tcBorders>
            <w:vAlign w:val="center"/>
          </w:tcPr>
          <w:p w14:paraId="66219710" w14:textId="1099D1F5" w:rsidR="000A25DD" w:rsidRPr="00A95818" w:rsidRDefault="00A95818" w:rsidP="005A0D87">
            <w:pPr>
              <w:spacing w:before="0" w:after="0" w:line="259" w:lineRule="auto"/>
            </w:pPr>
            <w:r w:rsidRPr="00A95818">
              <w:rPr>
                <w:sz w:val="20"/>
                <w:szCs w:val="20"/>
              </w:rPr>
              <w:t xml:space="preserve">Adaptación de los contenidos de igualdad de todos los temarios de las convocatorias de acceso al empleo público a un enfoque transversal, no sectorial, basado en la normativa de igualdad y en la aplicación práctica de dicho principio.   </w:t>
            </w:r>
          </w:p>
        </w:tc>
      </w:tr>
      <w:bookmarkEnd w:id="33"/>
    </w:tbl>
    <w:p w14:paraId="356F0C50" w14:textId="77777777" w:rsidR="004523D0" w:rsidRDefault="004523D0">
      <w:pPr>
        <w:spacing w:before="0" w:after="160" w:line="259" w:lineRule="auto"/>
        <w:jc w:val="left"/>
      </w:pPr>
    </w:p>
    <w:p w14:paraId="077E5429" w14:textId="77777777" w:rsidR="004523D0" w:rsidRDefault="004523D0">
      <w:pPr>
        <w:spacing w:before="0" w:after="160" w:line="259" w:lineRule="auto"/>
        <w:jc w:val="left"/>
      </w:pPr>
    </w:p>
    <w:p w14:paraId="11F4E902" w14:textId="77777777" w:rsidR="004523D0" w:rsidRDefault="004523D0">
      <w:pPr>
        <w:spacing w:before="0" w:after="160" w:line="259" w:lineRule="auto"/>
        <w:jc w:val="left"/>
      </w:pPr>
      <w:r>
        <w:br w:type="page"/>
      </w:r>
    </w:p>
    <w:p w14:paraId="2C310435" w14:textId="7CC15B53" w:rsidR="00FC5885" w:rsidRPr="004523D0" w:rsidRDefault="00FC5885" w:rsidP="00FC5885">
      <w:pPr>
        <w:spacing w:before="0" w:after="160" w:line="259" w:lineRule="auto"/>
        <w:rPr>
          <w:b/>
          <w:bCs/>
        </w:rPr>
      </w:pPr>
      <w:r w:rsidRPr="004523D0">
        <w:rPr>
          <w:rFonts w:eastAsiaTheme="majorEastAsia" w:cstheme="majorBidi"/>
          <w:b/>
          <w:bCs/>
          <w:iCs/>
          <w:snapToGrid w:val="0"/>
          <w:color w:val="78BE20"/>
          <w:sz w:val="24"/>
          <w:szCs w:val="24"/>
        </w:rPr>
        <w:t xml:space="preserve">OBJETIVO. </w:t>
      </w:r>
      <w:r w:rsidRPr="00FC5885">
        <w:rPr>
          <w:b/>
          <w:bCs/>
        </w:rPr>
        <w:t>Ofrecer el empleo público en la Administración General de La Rioja como una oportunidad de desarrollo profesional libre de estereotipos en un contexto estable, flexible, innovador y diverso</w:t>
      </w:r>
      <w:r w:rsidRPr="004523D0">
        <w:rPr>
          <w:b/>
          <w:bCs/>
        </w:rPr>
        <w:t>.</w:t>
      </w:r>
    </w:p>
    <w:p w14:paraId="231DB597" w14:textId="4A53A4FB" w:rsidR="004523D0" w:rsidRPr="004523D0" w:rsidRDefault="004523D0" w:rsidP="004523D0">
      <w:pPr>
        <w:pStyle w:val="Ttulo3"/>
      </w:pPr>
      <w:r>
        <w:t>Medida</w:t>
      </w:r>
      <w:r w:rsidRPr="004523D0">
        <w:t xml:space="preserve"> 18</w:t>
      </w:r>
    </w:p>
    <w:tbl>
      <w:tblPr>
        <w:tblStyle w:val="Tablaconcuadrcula"/>
        <w:tblW w:w="0" w:type="auto"/>
        <w:tblLook w:val="04A0" w:firstRow="1" w:lastRow="0" w:firstColumn="1" w:lastColumn="0" w:noHBand="0" w:noVBand="1"/>
      </w:tblPr>
      <w:tblGrid>
        <w:gridCol w:w="2402"/>
        <w:gridCol w:w="6072"/>
      </w:tblGrid>
      <w:tr w:rsidR="004523D0" w:rsidRPr="004523D0" w14:paraId="41DF699A" w14:textId="77777777" w:rsidTr="000F4CC1">
        <w:trPr>
          <w:trHeight w:val="1134"/>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45CC18C7" w14:textId="77777777" w:rsidR="004523D0" w:rsidRPr="004523D0" w:rsidRDefault="004523D0" w:rsidP="004523D0">
            <w:pPr>
              <w:spacing w:before="0" w:after="0"/>
              <w:ind w:left="22"/>
              <w:jc w:val="left"/>
              <w:rPr>
                <w:sz w:val="20"/>
                <w:szCs w:val="20"/>
              </w:rPr>
            </w:pPr>
            <w:bookmarkStart w:id="34" w:name="_Hlk121134169"/>
            <w:r w:rsidRPr="004523D0">
              <w:rPr>
                <w:b/>
                <w:bCs/>
                <w:color w:val="FFFFFF" w:themeColor="background1"/>
              </w:rPr>
              <w:t xml:space="preserve">Implementación de una campaña de atracción del talento joven que movilice a mujeres y hombres hacia el empleo público en La Rioja, aplicando la perspectiva de género </w:t>
            </w:r>
            <w:proofErr w:type="spellStart"/>
            <w:r w:rsidRPr="004523D0">
              <w:rPr>
                <w:b/>
                <w:bCs/>
                <w:color w:val="FFFFFF" w:themeColor="background1"/>
              </w:rPr>
              <w:t>interseccional</w:t>
            </w:r>
            <w:proofErr w:type="spellEnd"/>
            <w:r w:rsidRPr="004523D0">
              <w:rPr>
                <w:b/>
                <w:bCs/>
                <w:color w:val="FFFFFF" w:themeColor="background1"/>
              </w:rPr>
              <w:t>.</w:t>
            </w:r>
            <w:r w:rsidRPr="004523D0">
              <w:rPr>
                <w:color w:val="FFFFFF" w:themeColor="background1"/>
              </w:rPr>
              <w:t xml:space="preserve">  </w:t>
            </w:r>
            <w:r w:rsidRPr="004523D0">
              <w:rPr>
                <w:color w:val="FFFFFF" w:themeColor="background1"/>
                <w:sz w:val="20"/>
                <w:szCs w:val="20"/>
              </w:rPr>
              <w:t xml:space="preserve"> </w:t>
            </w:r>
          </w:p>
        </w:tc>
      </w:tr>
      <w:tr w:rsidR="004523D0" w:rsidRPr="004523D0" w14:paraId="3CF9B4A7" w14:textId="77777777" w:rsidTr="000F4CC1">
        <w:trPr>
          <w:trHeight w:val="956"/>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32E31495" w14:textId="77777777" w:rsidR="004523D0" w:rsidRPr="004523D0" w:rsidRDefault="004523D0" w:rsidP="004523D0">
            <w:pPr>
              <w:spacing w:before="0" w:after="0"/>
              <w:ind w:left="22"/>
              <w:jc w:val="left"/>
              <w:rPr>
                <w:sz w:val="20"/>
                <w:szCs w:val="20"/>
              </w:rPr>
            </w:pPr>
            <w:r w:rsidRPr="004523D0">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4C997796"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 xml:space="preserve">Población joven de La Rioja </w:t>
            </w:r>
          </w:p>
          <w:p w14:paraId="368D9F11"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Participantes en las convocatorias de empleo público</w:t>
            </w:r>
          </w:p>
          <w:p w14:paraId="721C2664"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Población riojana</w:t>
            </w:r>
          </w:p>
        </w:tc>
      </w:tr>
      <w:tr w:rsidR="004523D0" w:rsidRPr="004523D0" w14:paraId="57D6A40F" w14:textId="77777777" w:rsidTr="000F4CC1">
        <w:trPr>
          <w:trHeight w:val="4675"/>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2943AEA" w14:textId="77777777" w:rsidR="004523D0" w:rsidRPr="004523D0" w:rsidRDefault="004523D0" w:rsidP="004523D0">
            <w:pPr>
              <w:spacing w:before="0" w:after="0"/>
              <w:ind w:left="22"/>
              <w:jc w:val="left"/>
              <w:rPr>
                <w:sz w:val="20"/>
                <w:szCs w:val="20"/>
              </w:rPr>
            </w:pPr>
            <w:r w:rsidRPr="004523D0">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1BA51174"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 xml:space="preserve">Elaboración y publicación de pliegos para el diseño e implementación de la campaña </w:t>
            </w:r>
          </w:p>
          <w:p w14:paraId="269B5EF1"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Identificación anual de fechas de convocatorias</w:t>
            </w:r>
          </w:p>
          <w:p w14:paraId="31960830"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Agrupación de datos de segregación ocupacional por sexo y otras variables de interés (discapacidad, edad) en función de cada convocatoria</w:t>
            </w:r>
          </w:p>
          <w:p w14:paraId="63C4DB99"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Elección de mensajes fuerza a comunicar en la campaña, atendiendo a los valores, compromisos y medidas de flexibilidad en el empleo que existen en la Administración General</w:t>
            </w:r>
          </w:p>
          <w:p w14:paraId="12296556"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Participación en foros y ferias de empleo del ámbito universitario o de la formación profesional</w:t>
            </w:r>
          </w:p>
          <w:p w14:paraId="5921452B"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Firma de acuerdos de colaboración para el empleo con Universidades, Escuelas Técnicas, Centros de formación o Asociaciones profesionales</w:t>
            </w:r>
          </w:p>
          <w:p w14:paraId="6C6773E9"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 xml:space="preserve">Elaborar un folleto informativo sobre las oportunidades y condiciones laborales que ofrece la Administración General de La Rioja </w:t>
            </w:r>
          </w:p>
        </w:tc>
      </w:tr>
      <w:tr w:rsidR="004523D0" w:rsidRPr="004523D0" w14:paraId="3C7C0F64" w14:textId="77777777" w:rsidTr="000F4CC1">
        <w:trPr>
          <w:trHeight w:val="3805"/>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6060BB60" w14:textId="77777777" w:rsidR="004523D0" w:rsidRPr="004523D0" w:rsidRDefault="004523D0" w:rsidP="004523D0">
            <w:pPr>
              <w:spacing w:before="0" w:after="0"/>
              <w:ind w:left="22"/>
              <w:jc w:val="left"/>
              <w:rPr>
                <w:sz w:val="20"/>
                <w:szCs w:val="20"/>
              </w:rPr>
            </w:pPr>
            <w:r w:rsidRPr="004523D0">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7A01293D"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Dotación presupuestaria para la campaña</w:t>
            </w:r>
          </w:p>
          <w:p w14:paraId="1998016C"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Listado y referencias de foros y ferias de empleo</w:t>
            </w:r>
          </w:p>
          <w:p w14:paraId="777B543D"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Listado y referencia de entidades con las que firmar acuerdos de colaboración</w:t>
            </w:r>
          </w:p>
          <w:p w14:paraId="515B975A"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Recopilación de datos de personal, convocatorias producidas y próximas convocatorias, condiciones laborales por grupo y colectivos profesional y otra información relevante</w:t>
            </w:r>
          </w:p>
          <w:p w14:paraId="41CA46D0"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 xml:space="preserve">Ratios de infrarrepresentación por sexo y otras variables de interés (discapacidad, edad, etc.) en Cuerpos, Niveles o Grupos Profesionales. </w:t>
            </w:r>
          </w:p>
          <w:p w14:paraId="080B81B7"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 xml:space="preserve">Identificación de los mensajes clave en la comunicación de los valores, compromiso y medidas de flexibilidad existentes atendiendo particularmente a los principios de igualdad y diversidad </w:t>
            </w:r>
          </w:p>
        </w:tc>
      </w:tr>
      <w:tr w:rsidR="004523D0" w:rsidRPr="004523D0" w14:paraId="54063A5C" w14:textId="77777777" w:rsidTr="000F4CC1">
        <w:trPr>
          <w:trHeight w:val="567"/>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E6734DC" w14:textId="77777777" w:rsidR="004523D0" w:rsidRPr="004523D0" w:rsidRDefault="004523D0" w:rsidP="004523D0">
            <w:pPr>
              <w:spacing w:before="0" w:after="0"/>
              <w:ind w:left="22"/>
              <w:jc w:val="left"/>
              <w:rPr>
                <w:sz w:val="20"/>
                <w:szCs w:val="20"/>
              </w:rPr>
            </w:pPr>
            <w:r w:rsidRPr="004523D0">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863CB57"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Órgano con competencias en materia de Función Pública</w:t>
            </w:r>
          </w:p>
          <w:p w14:paraId="077CA658"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Órgano con competencias en materia de Igualdad</w:t>
            </w:r>
          </w:p>
        </w:tc>
      </w:tr>
      <w:tr w:rsidR="004523D0" w:rsidRPr="004523D0" w14:paraId="5777AE23" w14:textId="77777777" w:rsidTr="000F4CC1">
        <w:trPr>
          <w:trHeight w:val="382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DF9C4B3" w14:textId="77777777" w:rsidR="004523D0" w:rsidRPr="004523D0" w:rsidRDefault="004523D0" w:rsidP="004523D0">
            <w:pPr>
              <w:spacing w:before="0" w:after="0"/>
              <w:ind w:left="22"/>
              <w:jc w:val="left"/>
              <w:rPr>
                <w:sz w:val="20"/>
                <w:szCs w:val="20"/>
              </w:rPr>
            </w:pPr>
            <w:r w:rsidRPr="004523D0">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41FBC25F"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 xml:space="preserve">Nº de convocatorias a empleo público </w:t>
            </w:r>
          </w:p>
          <w:p w14:paraId="725C8AF4"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Evolución % de aspirantes en los distintos procesos selectivos de las convocatorias de OPE, según sexo y otras variables de interés (discapacidad, edad, etc.)</w:t>
            </w:r>
          </w:p>
          <w:p w14:paraId="634BA7AD"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 de adjudicación de plazas en cada convocatoria según sexo y otras variables de interés (discapacidad, edad, etc.)</w:t>
            </w:r>
          </w:p>
          <w:p w14:paraId="686C8D8F"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Mensajes fuerza de la campaña</w:t>
            </w:r>
          </w:p>
          <w:p w14:paraId="277F8E80"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Nº de foros y ferias de empleo de La Rioja en lo que se participa</w:t>
            </w:r>
          </w:p>
          <w:p w14:paraId="638A9F63"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Nº de acuerdos de colaboración firmados</w:t>
            </w:r>
          </w:p>
          <w:p w14:paraId="58117F77"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 de mujeres y hombres que participan en la campaña en representación de la Administración, según Cuerpo, Nivel o Grupo profesional</w:t>
            </w:r>
          </w:p>
          <w:p w14:paraId="3253E4A7"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Folleto realizado, difundido y publicado</w:t>
            </w:r>
          </w:p>
        </w:tc>
      </w:tr>
      <w:tr w:rsidR="004523D0" w:rsidRPr="004523D0" w14:paraId="5758B0E7" w14:textId="77777777" w:rsidTr="000F4CC1">
        <w:trPr>
          <w:trHeight w:val="567"/>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5605BE5" w14:textId="77777777" w:rsidR="004523D0" w:rsidRPr="004523D0" w:rsidRDefault="004523D0" w:rsidP="004523D0">
            <w:pPr>
              <w:spacing w:before="0" w:after="0"/>
              <w:ind w:left="22"/>
              <w:jc w:val="left"/>
              <w:rPr>
                <w:sz w:val="20"/>
                <w:szCs w:val="20"/>
              </w:rPr>
            </w:pPr>
            <w:r w:rsidRPr="004523D0">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7CB2183C" w14:textId="77777777" w:rsidR="004523D0" w:rsidRPr="004523D0" w:rsidRDefault="004523D0" w:rsidP="002F7442">
            <w:pPr>
              <w:spacing w:before="0" w:after="0"/>
              <w:ind w:left="152"/>
              <w:jc w:val="left"/>
              <w:rPr>
                <w:sz w:val="20"/>
                <w:szCs w:val="20"/>
              </w:rPr>
            </w:pPr>
            <w:r w:rsidRPr="004523D0">
              <w:rPr>
                <w:sz w:val="20"/>
                <w:szCs w:val="20"/>
              </w:rPr>
              <w:t xml:space="preserve">Permanente desde el inicio del Plan de Igualdad  </w:t>
            </w:r>
          </w:p>
        </w:tc>
      </w:tr>
      <w:tr w:rsidR="004523D0" w:rsidRPr="004523D0" w14:paraId="218E0B46" w14:textId="77777777" w:rsidTr="00EA35D6">
        <w:trPr>
          <w:trHeight w:val="2382"/>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0087788C" w14:textId="77777777" w:rsidR="004523D0" w:rsidRPr="004523D0" w:rsidRDefault="004523D0" w:rsidP="00EA35D6">
            <w:pPr>
              <w:spacing w:before="0" w:after="0"/>
              <w:jc w:val="left"/>
              <w:rPr>
                <w:b/>
                <w:bCs/>
                <w:sz w:val="18"/>
                <w:szCs w:val="18"/>
              </w:rPr>
            </w:pPr>
            <w:r w:rsidRPr="004523D0">
              <w:rPr>
                <w:b/>
                <w:bCs/>
                <w:sz w:val="18"/>
                <w:szCs w:val="18"/>
              </w:rPr>
              <w:t>Observaciones</w:t>
            </w:r>
          </w:p>
          <w:p w14:paraId="6828322D" w14:textId="77777777" w:rsidR="004523D0" w:rsidRPr="004523D0" w:rsidRDefault="004523D0" w:rsidP="00EA35D6">
            <w:pPr>
              <w:spacing w:before="0" w:after="0"/>
              <w:jc w:val="left"/>
              <w:rPr>
                <w:sz w:val="18"/>
                <w:szCs w:val="18"/>
              </w:rPr>
            </w:pPr>
          </w:p>
          <w:p w14:paraId="6919E5B4" w14:textId="77777777" w:rsidR="004523D0" w:rsidRPr="004523D0" w:rsidRDefault="004523D0" w:rsidP="00EA35D6">
            <w:pPr>
              <w:spacing w:before="0" w:after="0"/>
              <w:jc w:val="left"/>
              <w:rPr>
                <w:sz w:val="20"/>
                <w:szCs w:val="20"/>
              </w:rPr>
            </w:pPr>
            <w:r w:rsidRPr="004523D0">
              <w:rPr>
                <w:sz w:val="18"/>
                <w:szCs w:val="18"/>
              </w:rPr>
              <w:t xml:space="preserve">La campaña de atracción del talento joven se centrará en la captación de mujeres y hombres en aquellos Cuerpos, Niveles o Grupos profesionales en los que exista infrarrepresentación, a fin de promover la composición equilibrada en sintonía con los objetivos del Plan. Por ello, las personas que en representación de la Administración General participen en estos canales deberán pertenecer al sexo menos representado en los Cuerpos, Niveles o Grupos profesionales. Su participación se contabilizaría dentro de la jornada laboral. </w:t>
            </w:r>
          </w:p>
        </w:tc>
      </w:tr>
      <w:bookmarkEnd w:id="34"/>
    </w:tbl>
    <w:p w14:paraId="615350F2" w14:textId="77777777" w:rsidR="004523D0" w:rsidRPr="004523D0" w:rsidRDefault="004523D0" w:rsidP="004523D0">
      <w:pPr>
        <w:spacing w:before="0" w:after="160" w:line="259" w:lineRule="auto"/>
        <w:jc w:val="left"/>
      </w:pPr>
    </w:p>
    <w:p w14:paraId="54554FEB" w14:textId="77777777" w:rsidR="004523D0" w:rsidRPr="004523D0" w:rsidRDefault="004523D0" w:rsidP="004523D0">
      <w:pPr>
        <w:spacing w:before="0" w:after="160" w:line="259" w:lineRule="auto"/>
        <w:jc w:val="left"/>
        <w:rPr>
          <w:rFonts w:eastAsiaTheme="majorEastAsia" w:cstheme="majorBidi"/>
          <w:b/>
          <w:bCs/>
          <w:iCs/>
          <w:snapToGrid w:val="0"/>
          <w:color w:val="78BE20"/>
          <w:sz w:val="24"/>
          <w:szCs w:val="24"/>
        </w:rPr>
      </w:pPr>
    </w:p>
    <w:p w14:paraId="67E7DBCF" w14:textId="77777777" w:rsidR="004523D0" w:rsidRPr="004523D0" w:rsidRDefault="004523D0" w:rsidP="004523D0">
      <w:pPr>
        <w:spacing w:before="0" w:after="160" w:line="259" w:lineRule="auto"/>
        <w:jc w:val="left"/>
        <w:rPr>
          <w:rFonts w:eastAsiaTheme="majorEastAsia" w:cstheme="majorBidi"/>
          <w:b/>
          <w:bCs/>
          <w:iCs/>
          <w:snapToGrid w:val="0"/>
          <w:color w:val="78BE20"/>
          <w:sz w:val="24"/>
          <w:szCs w:val="24"/>
        </w:rPr>
      </w:pPr>
    </w:p>
    <w:p w14:paraId="44E8948D" w14:textId="77777777" w:rsidR="004523D0" w:rsidRPr="004523D0" w:rsidRDefault="004523D0" w:rsidP="004523D0">
      <w:pPr>
        <w:spacing w:before="0" w:after="160" w:line="259" w:lineRule="auto"/>
        <w:jc w:val="left"/>
      </w:pPr>
      <w:r w:rsidRPr="004523D0">
        <w:br w:type="page"/>
      </w:r>
    </w:p>
    <w:p w14:paraId="2997C4D5" w14:textId="77777777" w:rsidR="004523D0" w:rsidRPr="004523D0" w:rsidRDefault="004523D0" w:rsidP="004523D0">
      <w:pPr>
        <w:spacing w:before="0" w:after="160" w:line="259" w:lineRule="auto"/>
        <w:rPr>
          <w:b/>
          <w:bCs/>
        </w:rPr>
      </w:pPr>
      <w:r w:rsidRPr="004523D0">
        <w:rPr>
          <w:rFonts w:eastAsiaTheme="majorEastAsia" w:cstheme="majorBidi"/>
          <w:b/>
          <w:bCs/>
          <w:iCs/>
          <w:snapToGrid w:val="0"/>
          <w:color w:val="78BE20"/>
          <w:sz w:val="24"/>
          <w:szCs w:val="24"/>
        </w:rPr>
        <w:t xml:space="preserve">OBJETIVO. </w:t>
      </w:r>
      <w:bookmarkStart w:id="35" w:name="_Hlk120539850"/>
      <w:r w:rsidRPr="004523D0">
        <w:rPr>
          <w:b/>
          <w:bCs/>
        </w:rPr>
        <w:t>Afianzar la igualdad como un principio transversal de la Política Pública y de la actividad administrativa, facilitando su estudio y conocimiento por medio de las pruebas de acceso al empleo público en la Administración General de La Rioja.</w:t>
      </w:r>
    </w:p>
    <w:bookmarkEnd w:id="35"/>
    <w:p w14:paraId="3E66F087" w14:textId="1CBAB8ED" w:rsidR="004523D0" w:rsidRPr="004523D0" w:rsidRDefault="004523D0" w:rsidP="004523D0">
      <w:pPr>
        <w:pStyle w:val="Ttulo3"/>
      </w:pPr>
      <w:r>
        <w:t>Medida</w:t>
      </w:r>
      <w:r w:rsidRPr="004523D0">
        <w:t xml:space="preserve"> 19</w:t>
      </w:r>
    </w:p>
    <w:tbl>
      <w:tblPr>
        <w:tblStyle w:val="Tablaconcuadrcula"/>
        <w:tblW w:w="0" w:type="auto"/>
        <w:tblLook w:val="04A0" w:firstRow="1" w:lastRow="0" w:firstColumn="1" w:lastColumn="0" w:noHBand="0" w:noVBand="1"/>
      </w:tblPr>
      <w:tblGrid>
        <w:gridCol w:w="2402"/>
        <w:gridCol w:w="6072"/>
      </w:tblGrid>
      <w:tr w:rsidR="004523D0" w:rsidRPr="004523D0" w14:paraId="6B8C9686" w14:textId="77777777" w:rsidTr="000F4CC1">
        <w:trPr>
          <w:trHeight w:val="1386"/>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0E263A05" w14:textId="77777777" w:rsidR="004523D0" w:rsidRPr="004523D0" w:rsidRDefault="004523D0" w:rsidP="004523D0">
            <w:pPr>
              <w:spacing w:before="0" w:after="0"/>
            </w:pPr>
            <w:r w:rsidRPr="004523D0">
              <w:rPr>
                <w:b/>
                <w:bCs/>
                <w:color w:val="FFFFFF" w:themeColor="background1"/>
              </w:rPr>
              <w:t>Adaptación de los contenidos de igualdad de todos los temarios de las convocatorias de acceso al empleo público a un enfoque transversal, no sectorial, basado en la normativa de igualdad y en la aplicación práctica de dicho principio.</w:t>
            </w:r>
            <w:r w:rsidRPr="004523D0">
              <w:rPr>
                <w:color w:val="FFFFFF" w:themeColor="background1"/>
              </w:rPr>
              <w:t xml:space="preserve">   </w:t>
            </w:r>
          </w:p>
        </w:tc>
      </w:tr>
      <w:tr w:rsidR="004523D0" w:rsidRPr="004523D0" w14:paraId="0F6F7CB4" w14:textId="77777777" w:rsidTr="000F4CC1">
        <w:trPr>
          <w:trHeight w:val="682"/>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0B77822D" w14:textId="77777777" w:rsidR="004523D0" w:rsidRPr="004523D0" w:rsidRDefault="004523D0" w:rsidP="004523D0">
            <w:pPr>
              <w:spacing w:before="0" w:after="0"/>
              <w:ind w:left="22"/>
              <w:jc w:val="left"/>
              <w:rPr>
                <w:sz w:val="20"/>
                <w:szCs w:val="20"/>
              </w:rPr>
            </w:pPr>
            <w:r w:rsidRPr="004523D0">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02C9B69E" w14:textId="77777777" w:rsidR="004523D0" w:rsidRPr="004523D0" w:rsidRDefault="004523D0" w:rsidP="002F7442">
            <w:pPr>
              <w:spacing w:before="0" w:after="0"/>
              <w:ind w:left="152" w:right="158"/>
              <w:rPr>
                <w:sz w:val="20"/>
                <w:szCs w:val="20"/>
              </w:rPr>
            </w:pPr>
            <w:r w:rsidRPr="004523D0">
              <w:rPr>
                <w:sz w:val="20"/>
                <w:szCs w:val="20"/>
              </w:rPr>
              <w:t>Participantes en las convocatorias de empleo público</w:t>
            </w:r>
          </w:p>
        </w:tc>
      </w:tr>
      <w:tr w:rsidR="004523D0" w:rsidRPr="004523D0" w14:paraId="65EF846A" w14:textId="77777777" w:rsidTr="000F4CC1">
        <w:trPr>
          <w:trHeight w:val="1407"/>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430FCCCD" w14:textId="77777777" w:rsidR="004523D0" w:rsidRPr="004523D0" w:rsidRDefault="004523D0" w:rsidP="004523D0">
            <w:pPr>
              <w:spacing w:before="0" w:after="0"/>
              <w:ind w:left="22"/>
              <w:jc w:val="left"/>
              <w:rPr>
                <w:sz w:val="20"/>
                <w:szCs w:val="20"/>
              </w:rPr>
            </w:pPr>
            <w:r w:rsidRPr="004523D0">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030A2EC"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Revisión de los temarios existentes y concreción de necesidades</w:t>
            </w:r>
          </w:p>
          <w:p w14:paraId="74E71864"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Enumeración de recomendaciones y áreas de mejora ajustadas al ámbito de conocimiento y tipo de convocatoria</w:t>
            </w:r>
          </w:p>
          <w:p w14:paraId="609F9A4E"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Desarrollo de nuevos contenidos de temario</w:t>
            </w:r>
          </w:p>
        </w:tc>
      </w:tr>
      <w:tr w:rsidR="004523D0" w:rsidRPr="004523D0" w14:paraId="610B5506" w14:textId="77777777" w:rsidTr="000F4CC1">
        <w:trPr>
          <w:trHeight w:val="958"/>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30B7CDCB" w14:textId="77777777" w:rsidR="004523D0" w:rsidRPr="004523D0" w:rsidRDefault="004523D0" w:rsidP="004523D0">
            <w:pPr>
              <w:spacing w:before="0" w:after="0"/>
              <w:ind w:left="22"/>
              <w:jc w:val="left"/>
              <w:rPr>
                <w:sz w:val="20"/>
                <w:szCs w:val="20"/>
              </w:rPr>
            </w:pPr>
            <w:r w:rsidRPr="004523D0">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165EC52F"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Temarios en uso</w:t>
            </w:r>
          </w:p>
          <w:p w14:paraId="4CBF46C8"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Normativa vigente en materia de igualdad, incluyendo la violencia de género, y mandatos de igualdad aplicables en el ámbito de la Administración Pública</w:t>
            </w:r>
          </w:p>
        </w:tc>
      </w:tr>
      <w:tr w:rsidR="004523D0" w:rsidRPr="004523D0" w14:paraId="30FD92A3" w14:textId="77777777" w:rsidTr="000F4CC1">
        <w:trPr>
          <w:trHeight w:val="689"/>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AC9B660" w14:textId="77777777" w:rsidR="004523D0" w:rsidRPr="004523D0" w:rsidRDefault="004523D0" w:rsidP="004523D0">
            <w:pPr>
              <w:spacing w:before="0" w:after="0"/>
              <w:ind w:left="22"/>
              <w:jc w:val="left"/>
              <w:rPr>
                <w:sz w:val="20"/>
                <w:szCs w:val="20"/>
              </w:rPr>
            </w:pPr>
            <w:r w:rsidRPr="004523D0">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776649A1"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Órgano con competencias en materia de Función Pública</w:t>
            </w:r>
          </w:p>
          <w:p w14:paraId="2A238DA4"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Órgano con competencias en materia de Igualdad</w:t>
            </w:r>
          </w:p>
        </w:tc>
      </w:tr>
      <w:tr w:rsidR="004523D0" w:rsidRPr="004523D0" w14:paraId="1CAA9AC4" w14:textId="77777777" w:rsidTr="000F4CC1">
        <w:trPr>
          <w:trHeight w:val="1309"/>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AEF4AB0" w14:textId="77777777" w:rsidR="004523D0" w:rsidRPr="004523D0" w:rsidRDefault="004523D0" w:rsidP="004523D0">
            <w:pPr>
              <w:spacing w:before="0" w:after="0"/>
              <w:ind w:left="22"/>
              <w:jc w:val="left"/>
              <w:rPr>
                <w:sz w:val="20"/>
                <w:szCs w:val="20"/>
              </w:rPr>
            </w:pPr>
            <w:r w:rsidRPr="004523D0">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191102C1"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Nº de temarios revisados</w:t>
            </w:r>
          </w:p>
          <w:p w14:paraId="3CA35E29"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Nº y tipo de recomendaciones y áreas de mejora según ámbito de conocimiento y tipo de convocatoria</w:t>
            </w:r>
          </w:p>
          <w:p w14:paraId="62601FA3" w14:textId="77777777" w:rsidR="004523D0" w:rsidRPr="004523D0" w:rsidRDefault="004523D0">
            <w:pPr>
              <w:numPr>
                <w:ilvl w:val="0"/>
                <w:numId w:val="8"/>
              </w:numPr>
              <w:tabs>
                <w:tab w:val="left" w:pos="5698"/>
              </w:tabs>
              <w:spacing w:before="0" w:after="0" w:line="259" w:lineRule="auto"/>
              <w:ind w:left="294" w:right="12" w:hanging="197"/>
              <w:contextualSpacing/>
              <w:jc w:val="left"/>
              <w:rPr>
                <w:sz w:val="20"/>
                <w:szCs w:val="18"/>
              </w:rPr>
            </w:pPr>
            <w:r w:rsidRPr="004523D0">
              <w:rPr>
                <w:sz w:val="20"/>
                <w:szCs w:val="18"/>
              </w:rPr>
              <w:t>Nº de nuevos temarios elaborado</w:t>
            </w:r>
          </w:p>
        </w:tc>
      </w:tr>
      <w:tr w:rsidR="004523D0" w:rsidRPr="004523D0" w14:paraId="7260BB16" w14:textId="77777777" w:rsidTr="000F4CC1">
        <w:trPr>
          <w:trHeight w:val="406"/>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8000FEB" w14:textId="77777777" w:rsidR="004523D0" w:rsidRPr="004523D0" w:rsidRDefault="004523D0" w:rsidP="004523D0">
            <w:pPr>
              <w:spacing w:before="0" w:after="0"/>
              <w:ind w:left="22"/>
              <w:jc w:val="left"/>
              <w:rPr>
                <w:sz w:val="20"/>
                <w:szCs w:val="20"/>
              </w:rPr>
            </w:pPr>
            <w:r w:rsidRPr="004523D0">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156F857D" w14:textId="77777777" w:rsidR="004523D0" w:rsidRPr="004523D0" w:rsidRDefault="004523D0" w:rsidP="002F7442">
            <w:pPr>
              <w:spacing w:before="0" w:after="0"/>
              <w:ind w:left="152"/>
              <w:jc w:val="left"/>
              <w:rPr>
                <w:sz w:val="20"/>
                <w:szCs w:val="20"/>
              </w:rPr>
            </w:pPr>
            <w:r w:rsidRPr="004523D0">
              <w:rPr>
                <w:sz w:val="20"/>
                <w:szCs w:val="20"/>
              </w:rPr>
              <w:t xml:space="preserve">Año 1 desde el inicio del Plan de Igualdad  </w:t>
            </w:r>
          </w:p>
        </w:tc>
      </w:tr>
      <w:tr w:rsidR="004523D0" w:rsidRPr="004523D0" w14:paraId="307842C3" w14:textId="77777777" w:rsidTr="00EA35D6">
        <w:trPr>
          <w:trHeight w:val="865"/>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502EDA44" w14:textId="693FD267" w:rsidR="004523D0" w:rsidRPr="00EA35D6" w:rsidRDefault="004523D0" w:rsidP="00EA35D6">
            <w:pPr>
              <w:spacing w:before="0" w:after="0"/>
              <w:jc w:val="left"/>
              <w:rPr>
                <w:b/>
                <w:bCs/>
                <w:sz w:val="18"/>
                <w:szCs w:val="18"/>
              </w:rPr>
            </w:pPr>
            <w:r w:rsidRPr="004523D0">
              <w:rPr>
                <w:b/>
                <w:bCs/>
                <w:sz w:val="18"/>
                <w:szCs w:val="18"/>
              </w:rPr>
              <w:t>Observaciones</w:t>
            </w:r>
          </w:p>
        </w:tc>
      </w:tr>
    </w:tbl>
    <w:p w14:paraId="10A60770" w14:textId="77777777" w:rsidR="004523D0" w:rsidRPr="004523D0" w:rsidRDefault="004523D0" w:rsidP="004523D0">
      <w:pPr>
        <w:spacing w:before="0" w:after="160" w:line="259" w:lineRule="auto"/>
        <w:jc w:val="left"/>
        <w:rPr>
          <w:rFonts w:eastAsiaTheme="majorEastAsia" w:cstheme="majorBidi"/>
          <w:b/>
          <w:bCs/>
          <w:snapToGrid w:val="0"/>
          <w:color w:val="78BE20"/>
          <w:kern w:val="32"/>
          <w:sz w:val="32"/>
          <w:szCs w:val="32"/>
        </w:rPr>
      </w:pPr>
      <w:r w:rsidRPr="004523D0">
        <w:br w:type="page"/>
      </w:r>
    </w:p>
    <w:p w14:paraId="711EDE56" w14:textId="5DB22074" w:rsidR="005121F6" w:rsidRDefault="009A2F04" w:rsidP="00024B4E">
      <w:pPr>
        <w:pStyle w:val="Ttulo2"/>
      </w:pPr>
      <w:bookmarkStart w:id="36" w:name="_Toc122080802"/>
      <w:r>
        <w:t>Ámbito</w:t>
      </w:r>
      <w:r w:rsidR="005121F6">
        <w:t xml:space="preserve"> 4. </w:t>
      </w:r>
      <w:r w:rsidR="005121F6" w:rsidRPr="005121F6">
        <w:t>Condiciones laborales y carrera profesional</w:t>
      </w:r>
      <w:bookmarkEnd w:id="36"/>
    </w:p>
    <w:p w14:paraId="38886D14" w14:textId="6E16E998" w:rsidR="005121F6" w:rsidRDefault="005121F6" w:rsidP="004523D0">
      <w:r w:rsidRPr="00EA35D6">
        <w:rPr>
          <w:b/>
          <w:bCs/>
        </w:rPr>
        <w:t>Este Eje de actuación se centra particularmente en retener y captar el talento femenino</w:t>
      </w:r>
      <w:r>
        <w:t xml:space="preserve"> por medio de </w:t>
      </w:r>
      <w:r w:rsidR="00475105">
        <w:t>4</w:t>
      </w:r>
      <w:r w:rsidR="004523D0">
        <w:t xml:space="preserve"> medidas alternativas agrupadas en los siguientes objetivos:</w:t>
      </w:r>
    </w:p>
    <w:p w14:paraId="332C17BC" w14:textId="77777777" w:rsidR="004523D0" w:rsidRPr="005121F6" w:rsidRDefault="004523D0" w:rsidP="004523D0"/>
    <w:tbl>
      <w:tblPr>
        <w:tblStyle w:val="Tablaconcuadrcula"/>
        <w:tblW w:w="0" w:type="auto"/>
        <w:tblLook w:val="04A0" w:firstRow="1" w:lastRow="0" w:firstColumn="1" w:lastColumn="0" w:noHBand="0" w:noVBand="1"/>
      </w:tblPr>
      <w:tblGrid>
        <w:gridCol w:w="1101"/>
        <w:gridCol w:w="7543"/>
      </w:tblGrid>
      <w:tr w:rsidR="004523D0" w14:paraId="0868186D" w14:textId="77777777" w:rsidTr="008D2C6A">
        <w:tc>
          <w:tcPr>
            <w:tcW w:w="8644" w:type="dxa"/>
            <w:gridSpan w:val="2"/>
            <w:tcBorders>
              <w:top w:val="single" w:sz="4" w:space="0" w:color="78BE20"/>
              <w:left w:val="single" w:sz="4" w:space="0" w:color="78BE20"/>
              <w:bottom w:val="single" w:sz="4" w:space="0" w:color="FFFFFF"/>
              <w:right w:val="single" w:sz="4" w:space="0" w:color="78BE20"/>
            </w:tcBorders>
            <w:vAlign w:val="center"/>
          </w:tcPr>
          <w:p w14:paraId="1CC48FCD" w14:textId="77777777" w:rsidR="0064207C" w:rsidRDefault="0064207C" w:rsidP="000F4CC1">
            <w:pPr>
              <w:spacing w:before="0" w:after="0" w:line="259" w:lineRule="auto"/>
              <w:rPr>
                <w:b/>
                <w:bCs/>
                <w:color w:val="78BE20"/>
                <w:sz w:val="20"/>
                <w:szCs w:val="20"/>
              </w:rPr>
            </w:pPr>
          </w:p>
          <w:p w14:paraId="01FEB20E" w14:textId="1386284B" w:rsidR="004523D0" w:rsidRDefault="004523D0" w:rsidP="000F4CC1">
            <w:pPr>
              <w:spacing w:before="0" w:after="0" w:line="259" w:lineRule="auto"/>
              <w:rPr>
                <w:sz w:val="20"/>
                <w:szCs w:val="20"/>
              </w:rPr>
            </w:pPr>
            <w:r w:rsidRPr="000A25DD">
              <w:rPr>
                <w:b/>
                <w:bCs/>
                <w:color w:val="78BE20"/>
                <w:sz w:val="20"/>
                <w:szCs w:val="20"/>
              </w:rPr>
              <w:t>OBJETIVO.</w:t>
            </w:r>
            <w:r>
              <w:rPr>
                <w:sz w:val="20"/>
                <w:szCs w:val="20"/>
              </w:rPr>
              <w:t xml:space="preserve"> </w:t>
            </w:r>
            <w:r w:rsidRPr="004523D0">
              <w:rPr>
                <w:b/>
                <w:bCs/>
                <w:sz w:val="20"/>
                <w:szCs w:val="20"/>
              </w:rPr>
              <w:t>Favorecer el máximo aprovechamiento del talento femenino y el liderazgo de las mujeres en la Administración General de La Rioja</w:t>
            </w:r>
            <w:r>
              <w:rPr>
                <w:b/>
                <w:bCs/>
                <w:sz w:val="20"/>
                <w:szCs w:val="20"/>
              </w:rPr>
              <w:t>.</w:t>
            </w:r>
          </w:p>
          <w:p w14:paraId="23016ABA" w14:textId="77777777" w:rsidR="004523D0" w:rsidRDefault="004523D0" w:rsidP="000F4CC1">
            <w:pPr>
              <w:spacing w:before="0" w:after="0" w:line="259" w:lineRule="auto"/>
            </w:pPr>
          </w:p>
        </w:tc>
      </w:tr>
      <w:tr w:rsidR="004523D0" w14:paraId="0C661A65" w14:textId="77777777" w:rsidTr="00C76233">
        <w:trPr>
          <w:trHeight w:val="907"/>
        </w:trPr>
        <w:tc>
          <w:tcPr>
            <w:tcW w:w="1101" w:type="dxa"/>
            <w:tcBorders>
              <w:top w:val="single" w:sz="4" w:space="0" w:color="FFFFFF"/>
              <w:left w:val="single" w:sz="4" w:space="0" w:color="78BE20"/>
              <w:bottom w:val="single" w:sz="4" w:space="0" w:color="FFFFFF"/>
              <w:right w:val="single" w:sz="4" w:space="0" w:color="FFFFFF"/>
            </w:tcBorders>
            <w:shd w:val="clear" w:color="auto" w:fill="78BE20"/>
            <w:vAlign w:val="center"/>
          </w:tcPr>
          <w:p w14:paraId="1C7DB038" w14:textId="461725CD" w:rsidR="004523D0" w:rsidRPr="000A25DD" w:rsidRDefault="002F7442" w:rsidP="00684EB6">
            <w:pPr>
              <w:spacing w:before="0" w:after="0" w:line="259" w:lineRule="auto"/>
              <w:jc w:val="right"/>
              <w:rPr>
                <w:b/>
                <w:bCs/>
                <w:color w:val="FFFFFF" w:themeColor="background1"/>
              </w:rPr>
            </w:pPr>
            <w:r w:rsidRPr="002F7442">
              <w:rPr>
                <w:b/>
                <w:bCs/>
                <w:color w:val="FFFFFF" w:themeColor="background1"/>
                <w:sz w:val="20"/>
                <w:szCs w:val="20"/>
              </w:rPr>
              <w:t xml:space="preserve">Medida </w:t>
            </w:r>
            <w:r w:rsidR="00684EB6">
              <w:rPr>
                <w:b/>
                <w:bCs/>
                <w:color w:val="FFFFFF" w:themeColor="background1"/>
                <w:sz w:val="32"/>
                <w:szCs w:val="32"/>
              </w:rPr>
              <w:t>20</w:t>
            </w:r>
            <w:r w:rsidR="004523D0" w:rsidRPr="000A25DD">
              <w:rPr>
                <w:b/>
                <w:bCs/>
                <w:color w:val="FFFFFF" w:themeColor="background1"/>
                <w:sz w:val="20"/>
                <w:szCs w:val="20"/>
              </w:rPr>
              <w:t xml:space="preserve"> </w:t>
            </w:r>
          </w:p>
        </w:tc>
        <w:tc>
          <w:tcPr>
            <w:tcW w:w="7543" w:type="dxa"/>
            <w:tcBorders>
              <w:top w:val="single" w:sz="4" w:space="0" w:color="FFFFFF"/>
              <w:left w:val="single" w:sz="4" w:space="0" w:color="FFFFFF"/>
              <w:bottom w:val="single" w:sz="4" w:space="0" w:color="78BE20"/>
              <w:right w:val="single" w:sz="4" w:space="0" w:color="78BE20"/>
            </w:tcBorders>
            <w:vAlign w:val="center"/>
          </w:tcPr>
          <w:p w14:paraId="1CDE04AD" w14:textId="0B1D48F7" w:rsidR="004523D0" w:rsidRPr="00684EB6" w:rsidRDefault="00684EB6" w:rsidP="000F4CC1">
            <w:pPr>
              <w:spacing w:before="0" w:after="0" w:line="259" w:lineRule="auto"/>
            </w:pPr>
            <w:r w:rsidRPr="00684EB6">
              <w:rPr>
                <w:sz w:val="20"/>
                <w:szCs w:val="20"/>
              </w:rPr>
              <w:t xml:space="preserve">Análisis de la presencia de mujeres y hombres según Grupo profesional y nivel de estudios de manera que, en caso de existir, se pudiera atajar la </w:t>
            </w:r>
            <w:proofErr w:type="spellStart"/>
            <w:r w:rsidRPr="00684EB6">
              <w:rPr>
                <w:sz w:val="20"/>
                <w:szCs w:val="20"/>
              </w:rPr>
              <w:t>sobrecualificación</w:t>
            </w:r>
            <w:proofErr w:type="spellEnd"/>
            <w:r w:rsidRPr="00684EB6">
              <w:rPr>
                <w:sz w:val="20"/>
                <w:szCs w:val="20"/>
              </w:rPr>
              <w:t xml:space="preserve"> femenina</w:t>
            </w:r>
          </w:p>
        </w:tc>
      </w:tr>
      <w:tr w:rsidR="00684EB6" w14:paraId="6CB72DFE" w14:textId="77777777" w:rsidTr="00C76233">
        <w:trPr>
          <w:trHeight w:val="907"/>
        </w:trPr>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6568DC12" w14:textId="01121526" w:rsidR="00684EB6" w:rsidRDefault="002F7442" w:rsidP="00684EB6">
            <w:pPr>
              <w:spacing w:before="0" w:after="0" w:line="259" w:lineRule="auto"/>
              <w:jc w:val="right"/>
              <w:rPr>
                <w:b/>
                <w:bCs/>
                <w:color w:val="FFFFFF" w:themeColor="background1"/>
                <w:sz w:val="32"/>
                <w:szCs w:val="32"/>
              </w:rPr>
            </w:pPr>
            <w:r w:rsidRPr="002F7442">
              <w:rPr>
                <w:b/>
                <w:bCs/>
                <w:color w:val="FFFFFF" w:themeColor="background1"/>
                <w:sz w:val="20"/>
                <w:szCs w:val="20"/>
              </w:rPr>
              <w:t xml:space="preserve">Medida </w:t>
            </w:r>
            <w:r w:rsidR="00684EB6">
              <w:rPr>
                <w:b/>
                <w:bCs/>
                <w:color w:val="FFFFFF" w:themeColor="background1"/>
                <w:sz w:val="32"/>
                <w:szCs w:val="32"/>
              </w:rPr>
              <w:t>21</w:t>
            </w:r>
          </w:p>
        </w:tc>
        <w:tc>
          <w:tcPr>
            <w:tcW w:w="7543" w:type="dxa"/>
            <w:tcBorders>
              <w:top w:val="single" w:sz="4" w:space="0" w:color="78BE20"/>
              <w:left w:val="single" w:sz="4" w:space="0" w:color="FFFFFF"/>
              <w:bottom w:val="single" w:sz="4" w:space="0" w:color="78BE20"/>
              <w:right w:val="single" w:sz="4" w:space="0" w:color="78BE20"/>
            </w:tcBorders>
            <w:vAlign w:val="center"/>
          </w:tcPr>
          <w:p w14:paraId="02CF7B3B" w14:textId="4A6C65E2" w:rsidR="00684EB6" w:rsidRPr="00684EB6" w:rsidRDefault="00684EB6" w:rsidP="000F4CC1">
            <w:pPr>
              <w:spacing w:before="0" w:after="0" w:line="259" w:lineRule="auto"/>
              <w:rPr>
                <w:sz w:val="20"/>
                <w:szCs w:val="20"/>
              </w:rPr>
            </w:pPr>
            <w:r w:rsidRPr="00684EB6">
              <w:rPr>
                <w:sz w:val="20"/>
                <w:szCs w:val="20"/>
              </w:rPr>
              <w:t xml:space="preserve">Aplicación de incentivos a la participación de empleadas en los procesos de promoción interna de los Cuerpos, Niveles o Grupos profesionales en los que se encuentren infrarrepresentadas.  </w:t>
            </w:r>
          </w:p>
        </w:tc>
      </w:tr>
      <w:tr w:rsidR="004523D0" w14:paraId="1A8EE545" w14:textId="77777777" w:rsidTr="008D2C6A">
        <w:tc>
          <w:tcPr>
            <w:tcW w:w="8644" w:type="dxa"/>
            <w:gridSpan w:val="2"/>
            <w:tcBorders>
              <w:top w:val="single" w:sz="4" w:space="0" w:color="78BE20"/>
              <w:left w:val="single" w:sz="4" w:space="0" w:color="78BE20"/>
              <w:bottom w:val="single" w:sz="4" w:space="0" w:color="FFFFFF"/>
              <w:right w:val="single" w:sz="4" w:space="0" w:color="78BE20"/>
            </w:tcBorders>
            <w:vAlign w:val="center"/>
          </w:tcPr>
          <w:p w14:paraId="440F5B59" w14:textId="77777777" w:rsidR="004523D0" w:rsidRDefault="004523D0" w:rsidP="000F4CC1">
            <w:pPr>
              <w:spacing w:before="0" w:after="0" w:line="259" w:lineRule="auto"/>
              <w:rPr>
                <w:b/>
                <w:bCs/>
                <w:color w:val="78BE20"/>
                <w:sz w:val="20"/>
                <w:szCs w:val="20"/>
              </w:rPr>
            </w:pPr>
          </w:p>
          <w:p w14:paraId="1C304A30" w14:textId="77777777" w:rsidR="004523D0" w:rsidRDefault="004523D0" w:rsidP="000F4CC1">
            <w:pPr>
              <w:spacing w:before="0" w:after="0" w:line="259" w:lineRule="auto"/>
              <w:rPr>
                <w:b/>
                <w:bCs/>
                <w:color w:val="78BE20"/>
                <w:sz w:val="20"/>
                <w:szCs w:val="20"/>
              </w:rPr>
            </w:pPr>
          </w:p>
          <w:p w14:paraId="039AD9A6" w14:textId="4177CA0B" w:rsidR="004523D0" w:rsidRDefault="004523D0" w:rsidP="000F4CC1">
            <w:pPr>
              <w:spacing w:before="0" w:after="0" w:line="259" w:lineRule="auto"/>
              <w:rPr>
                <w:sz w:val="20"/>
                <w:szCs w:val="20"/>
              </w:rPr>
            </w:pPr>
            <w:r w:rsidRPr="000A25DD">
              <w:rPr>
                <w:b/>
                <w:bCs/>
                <w:color w:val="78BE20"/>
                <w:sz w:val="20"/>
                <w:szCs w:val="20"/>
              </w:rPr>
              <w:t>OBJETIVO.</w:t>
            </w:r>
            <w:r>
              <w:rPr>
                <w:sz w:val="20"/>
                <w:szCs w:val="20"/>
              </w:rPr>
              <w:t xml:space="preserve"> </w:t>
            </w:r>
            <w:r w:rsidRPr="004523D0">
              <w:rPr>
                <w:b/>
                <w:bCs/>
                <w:sz w:val="20"/>
                <w:szCs w:val="20"/>
              </w:rPr>
              <w:t>Facilitar la formación del personal de la Administración General que, por las características de sus puestos, justifiquen incompatibilidad de su jornada ordinaria con los horarios habituales de la formación presencial que se ofrece</w:t>
            </w:r>
            <w:r>
              <w:rPr>
                <w:b/>
                <w:bCs/>
                <w:sz w:val="20"/>
                <w:szCs w:val="20"/>
              </w:rPr>
              <w:t>.</w:t>
            </w:r>
          </w:p>
          <w:p w14:paraId="669C7059" w14:textId="77777777" w:rsidR="004523D0" w:rsidRPr="000A25DD" w:rsidRDefault="004523D0" w:rsidP="000F4CC1">
            <w:pPr>
              <w:spacing w:before="0" w:after="0" w:line="259" w:lineRule="auto"/>
              <w:rPr>
                <w:sz w:val="20"/>
                <w:szCs w:val="20"/>
              </w:rPr>
            </w:pPr>
          </w:p>
        </w:tc>
      </w:tr>
      <w:tr w:rsidR="004523D0" w14:paraId="2EA34A53" w14:textId="77777777" w:rsidTr="008D2C6A">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76FE40DC" w14:textId="2DC206F5" w:rsidR="004523D0" w:rsidRDefault="002F7442" w:rsidP="00684EB6">
            <w:pPr>
              <w:spacing w:before="0" w:after="0" w:line="259" w:lineRule="auto"/>
              <w:jc w:val="right"/>
            </w:pPr>
            <w:r w:rsidRPr="002F7442">
              <w:rPr>
                <w:b/>
                <w:bCs/>
                <w:color w:val="FFFFFF" w:themeColor="background1"/>
                <w:sz w:val="20"/>
                <w:szCs w:val="20"/>
              </w:rPr>
              <w:t xml:space="preserve">Medida </w:t>
            </w:r>
            <w:r w:rsidR="00684EB6" w:rsidRPr="00684EB6">
              <w:rPr>
                <w:b/>
                <w:bCs/>
                <w:color w:val="FFFFFF" w:themeColor="background1"/>
                <w:sz w:val="32"/>
                <w:szCs w:val="32"/>
              </w:rPr>
              <w:t>22</w:t>
            </w:r>
          </w:p>
        </w:tc>
        <w:tc>
          <w:tcPr>
            <w:tcW w:w="7543" w:type="dxa"/>
            <w:tcBorders>
              <w:top w:val="single" w:sz="4" w:space="0" w:color="FFFFFF"/>
              <w:left w:val="single" w:sz="4" w:space="0" w:color="FFFFFF"/>
              <w:bottom w:val="single" w:sz="4" w:space="0" w:color="78BE20"/>
              <w:right w:val="single" w:sz="4" w:space="0" w:color="78BE20"/>
            </w:tcBorders>
            <w:vAlign w:val="center"/>
          </w:tcPr>
          <w:p w14:paraId="130B2BFD" w14:textId="6AB0CDD8" w:rsidR="004523D0" w:rsidRPr="00684EB6" w:rsidRDefault="00684EB6" w:rsidP="000F4CC1">
            <w:pPr>
              <w:spacing w:before="0" w:after="0" w:line="259" w:lineRule="auto"/>
            </w:pPr>
            <w:r w:rsidRPr="00684EB6">
              <w:rPr>
                <w:sz w:val="20"/>
                <w:szCs w:val="20"/>
              </w:rPr>
              <w:t xml:space="preserve">Consideración como horas extraordinarias la dedicación a formación presencial de las personas que justifiquen incompatibilidad de su jornada ordinaria con los horarios habituales de la formación presencial, pudiéndose compensar con horas libres o abono económico.  </w:t>
            </w:r>
          </w:p>
        </w:tc>
      </w:tr>
      <w:tr w:rsidR="004523D0" w14:paraId="336A2D42" w14:textId="77777777" w:rsidTr="008D2C6A">
        <w:tc>
          <w:tcPr>
            <w:tcW w:w="8644" w:type="dxa"/>
            <w:gridSpan w:val="2"/>
            <w:tcBorders>
              <w:top w:val="single" w:sz="4" w:space="0" w:color="78BE20"/>
              <w:left w:val="single" w:sz="4" w:space="0" w:color="78BE20"/>
              <w:bottom w:val="single" w:sz="4" w:space="0" w:color="FFFFFF"/>
              <w:right w:val="single" w:sz="4" w:space="0" w:color="78BE20"/>
            </w:tcBorders>
            <w:shd w:val="clear" w:color="auto" w:fill="auto"/>
            <w:vAlign w:val="center"/>
          </w:tcPr>
          <w:p w14:paraId="49671B95" w14:textId="77777777" w:rsidR="004523D0" w:rsidRDefault="004523D0" w:rsidP="000F4CC1">
            <w:pPr>
              <w:spacing w:before="0" w:after="0" w:line="259" w:lineRule="auto"/>
              <w:rPr>
                <w:b/>
                <w:bCs/>
                <w:color w:val="78BE20"/>
                <w:sz w:val="20"/>
                <w:szCs w:val="20"/>
              </w:rPr>
            </w:pPr>
          </w:p>
          <w:p w14:paraId="1399FD45" w14:textId="77777777" w:rsidR="004523D0" w:rsidRDefault="004523D0" w:rsidP="000F4CC1">
            <w:pPr>
              <w:spacing w:before="0" w:after="0" w:line="259" w:lineRule="auto"/>
              <w:rPr>
                <w:b/>
                <w:bCs/>
                <w:color w:val="78BE20"/>
                <w:sz w:val="20"/>
                <w:szCs w:val="20"/>
              </w:rPr>
            </w:pPr>
          </w:p>
          <w:p w14:paraId="15960740" w14:textId="0509B93C" w:rsidR="004523D0" w:rsidRPr="00723A72" w:rsidRDefault="004523D0" w:rsidP="000F4CC1">
            <w:pPr>
              <w:spacing w:before="0" w:after="0" w:line="259" w:lineRule="auto"/>
              <w:rPr>
                <w:sz w:val="20"/>
                <w:szCs w:val="20"/>
              </w:rPr>
            </w:pPr>
            <w:r w:rsidRPr="000A25DD">
              <w:rPr>
                <w:b/>
                <w:bCs/>
                <w:color w:val="78BE20"/>
                <w:sz w:val="20"/>
                <w:szCs w:val="20"/>
              </w:rPr>
              <w:t>OBJETIVO.</w:t>
            </w:r>
            <w:r>
              <w:rPr>
                <w:sz w:val="20"/>
                <w:szCs w:val="20"/>
              </w:rPr>
              <w:t xml:space="preserve"> </w:t>
            </w:r>
            <w:r w:rsidRPr="004523D0">
              <w:rPr>
                <w:b/>
                <w:bCs/>
                <w:sz w:val="20"/>
                <w:szCs w:val="20"/>
              </w:rPr>
              <w:t>Conocer los motivos de rechazo a cursos de formación y segmentarlos por sexo y Grupo profesional</w:t>
            </w:r>
            <w:r>
              <w:rPr>
                <w:b/>
                <w:bCs/>
                <w:sz w:val="20"/>
                <w:szCs w:val="20"/>
              </w:rPr>
              <w:t>.</w:t>
            </w:r>
          </w:p>
          <w:p w14:paraId="37A0EB28" w14:textId="77777777" w:rsidR="004523D0" w:rsidRDefault="004523D0" w:rsidP="000F4CC1">
            <w:pPr>
              <w:spacing w:before="0" w:after="0" w:line="259" w:lineRule="auto"/>
            </w:pPr>
          </w:p>
        </w:tc>
      </w:tr>
      <w:tr w:rsidR="004523D0" w14:paraId="2C913D15" w14:textId="77777777" w:rsidTr="008D2C6A">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0B56FAA5" w14:textId="0791A8AB" w:rsidR="004523D0" w:rsidRPr="000A25DD" w:rsidRDefault="002F7442" w:rsidP="00684EB6">
            <w:pPr>
              <w:spacing w:before="0" w:after="0" w:line="259" w:lineRule="auto"/>
              <w:jc w:val="right"/>
              <w:rPr>
                <w:b/>
                <w:bCs/>
                <w:color w:val="FFFFFF" w:themeColor="background1"/>
                <w:sz w:val="20"/>
                <w:szCs w:val="20"/>
              </w:rPr>
            </w:pPr>
            <w:r w:rsidRPr="002F7442">
              <w:rPr>
                <w:b/>
                <w:bCs/>
                <w:color w:val="FFFFFF" w:themeColor="background1"/>
                <w:sz w:val="20"/>
                <w:szCs w:val="20"/>
              </w:rPr>
              <w:t xml:space="preserve">Medida </w:t>
            </w:r>
            <w:r w:rsidR="00684EB6" w:rsidRPr="00684EB6">
              <w:rPr>
                <w:b/>
                <w:bCs/>
                <w:color w:val="FFFFFF" w:themeColor="background1"/>
                <w:sz w:val="32"/>
                <w:szCs w:val="32"/>
              </w:rPr>
              <w:t>23</w:t>
            </w:r>
          </w:p>
        </w:tc>
        <w:tc>
          <w:tcPr>
            <w:tcW w:w="7543" w:type="dxa"/>
            <w:tcBorders>
              <w:top w:val="single" w:sz="4" w:space="0" w:color="FFFFFF"/>
              <w:left w:val="single" w:sz="4" w:space="0" w:color="FFFFFF"/>
              <w:bottom w:val="single" w:sz="4" w:space="0" w:color="78BE20"/>
              <w:right w:val="single" w:sz="4" w:space="0" w:color="78BE20"/>
            </w:tcBorders>
            <w:vAlign w:val="center"/>
          </w:tcPr>
          <w:p w14:paraId="22DA523A" w14:textId="11522CCA" w:rsidR="004523D0" w:rsidRPr="00684EB6" w:rsidRDefault="00684EB6" w:rsidP="000F4CC1">
            <w:pPr>
              <w:spacing w:before="0" w:after="0" w:line="259" w:lineRule="auto"/>
            </w:pPr>
            <w:r w:rsidRPr="00684EB6">
              <w:rPr>
                <w:sz w:val="20"/>
                <w:szCs w:val="20"/>
              </w:rPr>
              <w:t xml:space="preserve">Desarrollo de una mejora informática para la recogida de datos desagregados por sexo sobre las aceptaciones y rechazos a la formación decididas por las Unidades Administrativas, incluyendo aspectos como la motivación de rechazo y perfil profesional de la persona solicitante.  </w:t>
            </w:r>
          </w:p>
        </w:tc>
      </w:tr>
    </w:tbl>
    <w:p w14:paraId="1B896BF1" w14:textId="77777777" w:rsidR="004523D0" w:rsidRPr="004523D0" w:rsidRDefault="004523D0" w:rsidP="005121F6"/>
    <w:p w14:paraId="7393FDC0" w14:textId="77777777" w:rsidR="00E1570F" w:rsidRDefault="00E1570F">
      <w:pPr>
        <w:spacing w:before="0" w:after="160" w:line="259" w:lineRule="auto"/>
        <w:jc w:val="left"/>
        <w:rPr>
          <w:lang w:val="es-ES_tradnl"/>
        </w:rPr>
      </w:pPr>
      <w:r>
        <w:rPr>
          <w:lang w:val="es-ES_tradnl"/>
        </w:rPr>
        <w:br w:type="page"/>
      </w:r>
    </w:p>
    <w:p w14:paraId="5F97EB8D" w14:textId="77777777" w:rsidR="00E1570F" w:rsidRPr="00E1570F" w:rsidRDefault="00E1570F" w:rsidP="00E1570F">
      <w:pPr>
        <w:spacing w:before="0" w:after="160"/>
      </w:pPr>
      <w:r w:rsidRPr="00E1570F">
        <w:rPr>
          <w:rFonts w:eastAsiaTheme="majorEastAsia" w:cstheme="majorBidi"/>
          <w:b/>
          <w:bCs/>
          <w:iCs/>
          <w:snapToGrid w:val="0"/>
          <w:color w:val="78BE20"/>
          <w:sz w:val="24"/>
          <w:szCs w:val="24"/>
        </w:rPr>
        <w:t xml:space="preserve">OBJETIVO. </w:t>
      </w:r>
      <w:bookmarkStart w:id="37" w:name="_Hlk120539871"/>
      <w:r w:rsidRPr="00E1570F">
        <w:rPr>
          <w:b/>
          <w:bCs/>
        </w:rPr>
        <w:t>Favorecer el máximo aprovechamiento del talento femenino y el liderazgo de las mujeres en la Administración General de La Rioja.</w:t>
      </w:r>
      <w:bookmarkEnd w:id="37"/>
    </w:p>
    <w:p w14:paraId="62346C1E" w14:textId="77EB2250" w:rsidR="00E1570F" w:rsidRPr="00E1570F" w:rsidRDefault="00E1570F" w:rsidP="00E1570F">
      <w:pPr>
        <w:pStyle w:val="Ttulo3"/>
      </w:pPr>
      <w:r>
        <w:t>Medida</w:t>
      </w:r>
      <w:r w:rsidRPr="00E1570F">
        <w:t xml:space="preserve"> 20</w:t>
      </w:r>
    </w:p>
    <w:tbl>
      <w:tblPr>
        <w:tblStyle w:val="Tablaconcuadrcula"/>
        <w:tblW w:w="0" w:type="auto"/>
        <w:tblLook w:val="04A0" w:firstRow="1" w:lastRow="0" w:firstColumn="1" w:lastColumn="0" w:noHBand="0" w:noVBand="1"/>
      </w:tblPr>
      <w:tblGrid>
        <w:gridCol w:w="2402"/>
        <w:gridCol w:w="6072"/>
      </w:tblGrid>
      <w:tr w:rsidR="00E1570F" w:rsidRPr="00E1570F" w14:paraId="69A6C315" w14:textId="77777777" w:rsidTr="000F4CC1">
        <w:trPr>
          <w:trHeight w:val="1194"/>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1024AA52" w14:textId="77777777" w:rsidR="00E1570F" w:rsidRPr="00E1570F" w:rsidRDefault="00E1570F" w:rsidP="00E1570F">
            <w:pPr>
              <w:spacing w:before="0" w:after="0"/>
            </w:pPr>
            <w:r w:rsidRPr="00E1570F">
              <w:rPr>
                <w:b/>
                <w:bCs/>
                <w:color w:val="FFFFFF" w:themeColor="background1"/>
              </w:rPr>
              <w:t xml:space="preserve">Análisis de la presencia de mujeres y hombres según Grupo profesional y nivel de estudios de manera que, en caso de existir, se pudiera atajar la </w:t>
            </w:r>
            <w:proofErr w:type="spellStart"/>
            <w:r w:rsidRPr="00E1570F">
              <w:rPr>
                <w:b/>
                <w:bCs/>
                <w:color w:val="FFFFFF" w:themeColor="background1"/>
              </w:rPr>
              <w:t>sobrecualificación</w:t>
            </w:r>
            <w:proofErr w:type="spellEnd"/>
            <w:r w:rsidRPr="00E1570F">
              <w:rPr>
                <w:b/>
                <w:bCs/>
                <w:color w:val="FFFFFF" w:themeColor="background1"/>
              </w:rPr>
              <w:t xml:space="preserve"> femenina.</w:t>
            </w:r>
            <w:r w:rsidRPr="00E1570F">
              <w:rPr>
                <w:color w:val="FFFFFF" w:themeColor="background1"/>
              </w:rPr>
              <w:t xml:space="preserve">  </w:t>
            </w:r>
          </w:p>
        </w:tc>
      </w:tr>
      <w:tr w:rsidR="00E1570F" w:rsidRPr="00E1570F" w14:paraId="291C1245" w14:textId="77777777" w:rsidTr="000F4CC1">
        <w:trPr>
          <w:trHeight w:val="796"/>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3D96FEC8" w14:textId="77777777" w:rsidR="00E1570F" w:rsidRPr="00E1570F" w:rsidRDefault="00E1570F" w:rsidP="00E1570F">
            <w:pPr>
              <w:spacing w:before="0" w:after="0"/>
              <w:ind w:left="22"/>
              <w:jc w:val="left"/>
              <w:rPr>
                <w:sz w:val="20"/>
                <w:szCs w:val="20"/>
              </w:rPr>
            </w:pPr>
            <w:r w:rsidRPr="00E1570F">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64B905B0" w14:textId="77777777" w:rsidR="00E1570F" w:rsidRPr="00E1570F" w:rsidRDefault="00E1570F" w:rsidP="00E1570F">
            <w:pPr>
              <w:spacing w:before="0" w:after="0"/>
              <w:ind w:left="32" w:right="12"/>
              <w:rPr>
                <w:sz w:val="20"/>
                <w:szCs w:val="20"/>
              </w:rPr>
            </w:pPr>
            <w:r w:rsidRPr="00E1570F">
              <w:rPr>
                <w:sz w:val="20"/>
                <w:szCs w:val="20"/>
              </w:rPr>
              <w:t>Personal de la Administración General.</w:t>
            </w:r>
          </w:p>
        </w:tc>
      </w:tr>
      <w:tr w:rsidR="00E1570F" w:rsidRPr="00E1570F" w14:paraId="267035E2" w14:textId="77777777" w:rsidTr="000F4CC1">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34F5B909" w14:textId="77777777" w:rsidR="00E1570F" w:rsidRPr="00E1570F" w:rsidRDefault="00E1570F" w:rsidP="00E1570F">
            <w:pPr>
              <w:spacing w:before="0" w:after="0"/>
              <w:ind w:left="22"/>
              <w:jc w:val="left"/>
              <w:rPr>
                <w:sz w:val="20"/>
                <w:szCs w:val="20"/>
              </w:rPr>
            </w:pPr>
            <w:r w:rsidRPr="00E1570F">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1C84B2F" w14:textId="77777777" w:rsidR="00E1570F" w:rsidRPr="00E1570F" w:rsidRDefault="00E1570F" w:rsidP="00A1431D">
            <w:pPr>
              <w:spacing w:before="0" w:after="0"/>
              <w:ind w:left="10"/>
              <w:jc w:val="left"/>
              <w:rPr>
                <w:b/>
                <w:bCs/>
                <w:sz w:val="20"/>
                <w:szCs w:val="20"/>
              </w:rPr>
            </w:pPr>
          </w:p>
          <w:p w14:paraId="0BF93DC4" w14:textId="77777777" w:rsidR="00E1570F" w:rsidRPr="00E1570F" w:rsidRDefault="00E1570F" w:rsidP="00A1431D">
            <w:pPr>
              <w:tabs>
                <w:tab w:val="left" w:pos="5698"/>
              </w:tabs>
              <w:spacing w:before="0" w:after="0" w:line="259" w:lineRule="auto"/>
              <w:ind w:left="10" w:right="12"/>
              <w:contextualSpacing/>
              <w:jc w:val="left"/>
              <w:rPr>
                <w:sz w:val="20"/>
                <w:szCs w:val="18"/>
              </w:rPr>
            </w:pPr>
            <w:r w:rsidRPr="00E1570F">
              <w:rPr>
                <w:sz w:val="20"/>
                <w:szCs w:val="18"/>
              </w:rPr>
              <w:t>Extracción y cruce de datos sobre Grupo profesional y nivel de estudios y según sexo</w:t>
            </w:r>
          </w:p>
          <w:p w14:paraId="73C34D0F" w14:textId="77777777" w:rsidR="00E1570F" w:rsidRPr="00E1570F" w:rsidRDefault="00E1570F" w:rsidP="00A1431D">
            <w:pPr>
              <w:spacing w:before="0" w:after="0"/>
              <w:ind w:left="10"/>
              <w:jc w:val="left"/>
              <w:rPr>
                <w:sz w:val="20"/>
                <w:szCs w:val="20"/>
              </w:rPr>
            </w:pPr>
          </w:p>
        </w:tc>
      </w:tr>
      <w:tr w:rsidR="00E1570F" w:rsidRPr="00E1570F" w14:paraId="2ACB0B24" w14:textId="77777777" w:rsidTr="000F4CC1">
        <w:trPr>
          <w:trHeight w:val="406"/>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39CFD547" w14:textId="77777777" w:rsidR="00E1570F" w:rsidRPr="00E1570F" w:rsidRDefault="00E1570F" w:rsidP="00E1570F">
            <w:pPr>
              <w:spacing w:before="0" w:after="0"/>
              <w:ind w:left="22"/>
              <w:jc w:val="left"/>
              <w:rPr>
                <w:sz w:val="20"/>
                <w:szCs w:val="20"/>
              </w:rPr>
            </w:pPr>
            <w:r w:rsidRPr="00E1570F">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7535C4C7" w14:textId="77777777" w:rsidR="00E1570F" w:rsidRPr="00E1570F" w:rsidRDefault="00E1570F" w:rsidP="00A1431D">
            <w:pPr>
              <w:tabs>
                <w:tab w:val="left" w:pos="5698"/>
              </w:tabs>
              <w:spacing w:before="0" w:after="0" w:line="259" w:lineRule="auto"/>
              <w:ind w:left="10" w:right="12"/>
              <w:contextualSpacing/>
              <w:jc w:val="left"/>
              <w:rPr>
                <w:sz w:val="20"/>
                <w:szCs w:val="18"/>
              </w:rPr>
            </w:pPr>
            <w:r w:rsidRPr="00E1570F">
              <w:rPr>
                <w:sz w:val="20"/>
                <w:szCs w:val="18"/>
              </w:rPr>
              <w:t>Fuentes estadísticas de personal público</w:t>
            </w:r>
          </w:p>
        </w:tc>
      </w:tr>
      <w:tr w:rsidR="00E1570F" w:rsidRPr="00E1570F" w14:paraId="52A66A8B" w14:textId="77777777" w:rsidTr="000F4CC1">
        <w:trPr>
          <w:trHeight w:val="45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4A773FDD" w14:textId="77777777" w:rsidR="00E1570F" w:rsidRPr="00E1570F" w:rsidRDefault="00E1570F" w:rsidP="00E1570F">
            <w:pPr>
              <w:spacing w:before="0" w:after="0"/>
              <w:ind w:left="22"/>
              <w:jc w:val="left"/>
              <w:rPr>
                <w:sz w:val="20"/>
                <w:szCs w:val="20"/>
              </w:rPr>
            </w:pPr>
            <w:r w:rsidRPr="00E1570F">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BD9EEAE" w14:textId="77777777" w:rsidR="00E1570F" w:rsidRPr="00E1570F" w:rsidRDefault="00E1570F" w:rsidP="00A1431D">
            <w:pPr>
              <w:spacing w:before="0" w:after="0"/>
              <w:ind w:left="10" w:hanging="10"/>
              <w:rPr>
                <w:sz w:val="20"/>
                <w:szCs w:val="20"/>
              </w:rPr>
            </w:pPr>
            <w:r w:rsidRPr="00E1570F">
              <w:rPr>
                <w:sz w:val="20"/>
                <w:szCs w:val="20"/>
              </w:rPr>
              <w:t>Órgano con competencias en materia de Función Pública</w:t>
            </w:r>
          </w:p>
        </w:tc>
      </w:tr>
      <w:tr w:rsidR="00E1570F" w:rsidRPr="00E1570F" w14:paraId="7A55A721" w14:textId="77777777" w:rsidTr="000F4CC1">
        <w:trPr>
          <w:trHeight w:val="802"/>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5522E76" w14:textId="77777777" w:rsidR="00E1570F" w:rsidRPr="00E1570F" w:rsidRDefault="00E1570F" w:rsidP="00E1570F">
            <w:pPr>
              <w:spacing w:before="0" w:after="0"/>
              <w:ind w:left="22"/>
              <w:jc w:val="left"/>
              <w:rPr>
                <w:sz w:val="20"/>
                <w:szCs w:val="20"/>
              </w:rPr>
            </w:pPr>
            <w:r w:rsidRPr="00E1570F">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4CCD4826" w14:textId="77777777" w:rsidR="00E1570F" w:rsidRPr="00E1570F" w:rsidRDefault="00E1570F" w:rsidP="00A1431D">
            <w:pPr>
              <w:tabs>
                <w:tab w:val="left" w:pos="5698"/>
              </w:tabs>
              <w:spacing w:before="0" w:after="0" w:line="259" w:lineRule="auto"/>
              <w:ind w:left="10" w:right="12"/>
              <w:contextualSpacing/>
              <w:jc w:val="left"/>
              <w:rPr>
                <w:sz w:val="20"/>
                <w:szCs w:val="20"/>
              </w:rPr>
            </w:pPr>
            <w:r w:rsidRPr="00E1570F">
              <w:rPr>
                <w:sz w:val="20"/>
                <w:szCs w:val="18"/>
              </w:rPr>
              <w:t xml:space="preserve">% de empleadas y empleados por Grupo profesional y nivel de estudios, y brecha de genero  </w:t>
            </w:r>
          </w:p>
        </w:tc>
      </w:tr>
      <w:tr w:rsidR="00E1570F" w:rsidRPr="00E1570F" w14:paraId="546C33D5" w14:textId="77777777" w:rsidTr="000F4CC1">
        <w:trPr>
          <w:trHeight w:val="558"/>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42F98836" w14:textId="77777777" w:rsidR="00E1570F" w:rsidRPr="00E1570F" w:rsidRDefault="00E1570F" w:rsidP="00E1570F">
            <w:pPr>
              <w:spacing w:before="0" w:after="0"/>
              <w:ind w:left="22"/>
              <w:jc w:val="left"/>
              <w:rPr>
                <w:sz w:val="20"/>
                <w:szCs w:val="20"/>
              </w:rPr>
            </w:pPr>
            <w:r w:rsidRPr="00E1570F">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79EB56C1" w14:textId="77777777" w:rsidR="00E1570F" w:rsidRPr="00E1570F" w:rsidRDefault="00E1570F" w:rsidP="00A1431D">
            <w:pPr>
              <w:spacing w:before="0" w:after="0"/>
              <w:ind w:left="10"/>
              <w:jc w:val="left"/>
              <w:rPr>
                <w:sz w:val="20"/>
                <w:szCs w:val="20"/>
              </w:rPr>
            </w:pPr>
            <w:r w:rsidRPr="00E1570F">
              <w:rPr>
                <w:sz w:val="20"/>
                <w:szCs w:val="20"/>
              </w:rPr>
              <w:t xml:space="preserve">Año 3 desde el inicio del Plan de Igualdad  </w:t>
            </w:r>
          </w:p>
        </w:tc>
      </w:tr>
      <w:tr w:rsidR="00E1570F" w:rsidRPr="00E1570F" w14:paraId="7C51CE76" w14:textId="77777777" w:rsidTr="00EA35D6">
        <w:trPr>
          <w:trHeight w:val="878"/>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560D46D2" w14:textId="77777777" w:rsidR="00E1570F" w:rsidRPr="00E1570F" w:rsidRDefault="00E1570F" w:rsidP="00E1570F">
            <w:pPr>
              <w:spacing w:before="0" w:after="0"/>
              <w:jc w:val="left"/>
              <w:rPr>
                <w:b/>
                <w:bCs/>
                <w:sz w:val="18"/>
                <w:szCs w:val="18"/>
              </w:rPr>
            </w:pPr>
            <w:r w:rsidRPr="00E1570F">
              <w:rPr>
                <w:b/>
                <w:bCs/>
                <w:sz w:val="18"/>
                <w:szCs w:val="18"/>
              </w:rPr>
              <w:t>Observaciones</w:t>
            </w:r>
          </w:p>
          <w:p w14:paraId="74F1D3A8" w14:textId="77777777" w:rsidR="00E1570F" w:rsidRPr="00E1570F" w:rsidRDefault="00E1570F" w:rsidP="00E1570F">
            <w:pPr>
              <w:spacing w:before="0" w:after="0"/>
              <w:jc w:val="left"/>
              <w:rPr>
                <w:b/>
                <w:bCs/>
                <w:sz w:val="20"/>
                <w:szCs w:val="20"/>
              </w:rPr>
            </w:pPr>
          </w:p>
        </w:tc>
      </w:tr>
    </w:tbl>
    <w:p w14:paraId="696A7D93" w14:textId="77777777" w:rsidR="00E1570F" w:rsidRPr="00E1570F" w:rsidRDefault="00E1570F" w:rsidP="00E1570F">
      <w:pPr>
        <w:spacing w:before="0" w:after="160" w:line="259" w:lineRule="auto"/>
        <w:jc w:val="left"/>
      </w:pPr>
    </w:p>
    <w:p w14:paraId="35606238" w14:textId="77777777" w:rsidR="00E1570F" w:rsidRPr="00E1570F" w:rsidRDefault="00E1570F" w:rsidP="00E1570F">
      <w:pPr>
        <w:spacing w:before="0" w:after="160" w:line="259" w:lineRule="auto"/>
        <w:jc w:val="left"/>
        <w:rPr>
          <w:highlight w:val="magenta"/>
        </w:rPr>
      </w:pPr>
    </w:p>
    <w:p w14:paraId="4DA4D4CF" w14:textId="77777777" w:rsidR="00E1570F" w:rsidRPr="00E1570F" w:rsidRDefault="00E1570F" w:rsidP="00E1570F">
      <w:pPr>
        <w:spacing w:before="0" w:after="160" w:line="259" w:lineRule="auto"/>
        <w:jc w:val="left"/>
        <w:rPr>
          <w:highlight w:val="magenta"/>
        </w:rPr>
      </w:pPr>
      <w:r w:rsidRPr="00E1570F">
        <w:rPr>
          <w:highlight w:val="magenta"/>
        </w:rPr>
        <w:br w:type="page"/>
      </w:r>
    </w:p>
    <w:p w14:paraId="4784FA91" w14:textId="77777777" w:rsidR="00E1570F" w:rsidRPr="00E1570F" w:rsidRDefault="00E1570F" w:rsidP="00E1570F">
      <w:pPr>
        <w:spacing w:before="0" w:after="160"/>
      </w:pPr>
      <w:r w:rsidRPr="00E1570F">
        <w:rPr>
          <w:rFonts w:eastAsiaTheme="majorEastAsia" w:cstheme="majorBidi"/>
          <w:b/>
          <w:bCs/>
          <w:iCs/>
          <w:snapToGrid w:val="0"/>
          <w:color w:val="78BE20"/>
          <w:sz w:val="24"/>
          <w:szCs w:val="24"/>
        </w:rPr>
        <w:t xml:space="preserve">OBJETIVO. </w:t>
      </w:r>
      <w:r w:rsidRPr="00E1570F">
        <w:rPr>
          <w:b/>
          <w:bCs/>
        </w:rPr>
        <w:t>Favorecer el máximo aprovechamiento del talento femenino y el liderazgo de las mujeres en la Administración General de La Rioja.</w:t>
      </w:r>
    </w:p>
    <w:p w14:paraId="538D5FB2" w14:textId="71217FE7" w:rsidR="00E1570F" w:rsidRPr="00E1570F" w:rsidRDefault="00E1570F" w:rsidP="00E1570F">
      <w:pPr>
        <w:pStyle w:val="Ttulo3"/>
      </w:pPr>
      <w:r w:rsidRPr="00E1570F">
        <w:t>Medida 21</w:t>
      </w:r>
      <w:r w:rsidRPr="00E1570F">
        <w:tab/>
      </w:r>
    </w:p>
    <w:tbl>
      <w:tblPr>
        <w:tblStyle w:val="Tablaconcuadrcula"/>
        <w:tblW w:w="0" w:type="auto"/>
        <w:tblLook w:val="04A0" w:firstRow="1" w:lastRow="0" w:firstColumn="1" w:lastColumn="0" w:noHBand="0" w:noVBand="1"/>
      </w:tblPr>
      <w:tblGrid>
        <w:gridCol w:w="2402"/>
        <w:gridCol w:w="6072"/>
      </w:tblGrid>
      <w:tr w:rsidR="00E1570F" w:rsidRPr="00E1570F" w14:paraId="31FDDA77" w14:textId="77777777" w:rsidTr="000F4CC1">
        <w:trPr>
          <w:trHeight w:val="1134"/>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719D1364" w14:textId="77777777" w:rsidR="00E1570F" w:rsidRPr="00E1570F" w:rsidRDefault="00E1570F" w:rsidP="00E1570F">
            <w:pPr>
              <w:spacing w:before="0" w:after="0"/>
              <w:rPr>
                <w:color w:val="FFFFFF" w:themeColor="background1"/>
              </w:rPr>
            </w:pPr>
            <w:r w:rsidRPr="00E1570F">
              <w:rPr>
                <w:b/>
                <w:bCs/>
                <w:color w:val="FFFFFF" w:themeColor="background1"/>
              </w:rPr>
              <w:t>Aplicación de incentivos a la participación de empleadas en los procesos de promoción interna de los Cuerpos, Niveles o Grupos profesionales en los que se encuentren infrarrepresentadas.</w:t>
            </w:r>
            <w:r w:rsidRPr="00E1570F">
              <w:rPr>
                <w:color w:val="FFFFFF" w:themeColor="background1"/>
              </w:rPr>
              <w:t xml:space="preserve">  </w:t>
            </w:r>
          </w:p>
        </w:tc>
      </w:tr>
      <w:tr w:rsidR="00E1570F" w:rsidRPr="00E1570F" w14:paraId="6077D8A7" w14:textId="77777777" w:rsidTr="000F4CC1">
        <w:trPr>
          <w:trHeight w:val="850"/>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72B2D9E0" w14:textId="77777777" w:rsidR="00E1570F" w:rsidRPr="00E1570F" w:rsidRDefault="00E1570F" w:rsidP="00E1570F">
            <w:pPr>
              <w:spacing w:before="0" w:after="0"/>
              <w:ind w:left="22"/>
              <w:jc w:val="left"/>
              <w:rPr>
                <w:sz w:val="20"/>
                <w:szCs w:val="20"/>
              </w:rPr>
            </w:pPr>
            <w:r w:rsidRPr="00E1570F">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525D4DA0" w14:textId="77777777" w:rsidR="00E1570F" w:rsidRPr="00E1570F" w:rsidRDefault="00E1570F" w:rsidP="00A1431D">
            <w:pPr>
              <w:spacing w:before="0" w:after="0"/>
              <w:ind w:left="152" w:right="12"/>
              <w:rPr>
                <w:sz w:val="20"/>
                <w:szCs w:val="20"/>
              </w:rPr>
            </w:pPr>
            <w:r w:rsidRPr="00E1570F">
              <w:rPr>
                <w:sz w:val="20"/>
                <w:szCs w:val="20"/>
              </w:rPr>
              <w:t xml:space="preserve">Empleadas públicas que participan en los procesos de promoción interna donde estén infrarrepresentadas </w:t>
            </w:r>
          </w:p>
        </w:tc>
      </w:tr>
      <w:tr w:rsidR="00E1570F" w:rsidRPr="00E1570F" w14:paraId="620022DB" w14:textId="77777777" w:rsidTr="000F4CC1">
        <w:trPr>
          <w:trHeight w:val="1299"/>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0BF5D3A" w14:textId="77777777" w:rsidR="00E1570F" w:rsidRPr="00E1570F" w:rsidRDefault="00E1570F" w:rsidP="00E1570F">
            <w:pPr>
              <w:spacing w:before="0" w:after="0"/>
              <w:ind w:left="22"/>
              <w:jc w:val="left"/>
              <w:rPr>
                <w:sz w:val="20"/>
                <w:szCs w:val="20"/>
              </w:rPr>
            </w:pPr>
            <w:r w:rsidRPr="00E1570F">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78685CBF" w14:textId="77777777" w:rsidR="00E1570F" w:rsidRPr="00E1570F" w:rsidRDefault="00E1570F">
            <w:pPr>
              <w:numPr>
                <w:ilvl w:val="0"/>
                <w:numId w:val="8"/>
              </w:numPr>
              <w:tabs>
                <w:tab w:val="left" w:pos="5698"/>
              </w:tabs>
              <w:spacing w:before="0" w:after="0" w:line="259" w:lineRule="auto"/>
              <w:ind w:left="294" w:right="12" w:hanging="197"/>
              <w:contextualSpacing/>
              <w:jc w:val="left"/>
              <w:rPr>
                <w:sz w:val="20"/>
                <w:szCs w:val="18"/>
              </w:rPr>
            </w:pPr>
            <w:r w:rsidRPr="00E1570F">
              <w:rPr>
                <w:sz w:val="20"/>
                <w:szCs w:val="18"/>
              </w:rPr>
              <w:t>Aplicación de una o varias de los siguientes incentivos: flexibilidad horaria, mantenimiento de la productividad, exención de la necesidad de realizar tardes</w:t>
            </w:r>
          </w:p>
          <w:p w14:paraId="56BB1421" w14:textId="77777777" w:rsidR="00E1570F" w:rsidRPr="00E1570F" w:rsidRDefault="00E1570F">
            <w:pPr>
              <w:numPr>
                <w:ilvl w:val="0"/>
                <w:numId w:val="8"/>
              </w:numPr>
              <w:tabs>
                <w:tab w:val="left" w:pos="5698"/>
              </w:tabs>
              <w:spacing w:before="0" w:after="0" w:line="259" w:lineRule="auto"/>
              <w:ind w:left="294" w:right="12" w:hanging="197"/>
              <w:contextualSpacing/>
              <w:jc w:val="left"/>
              <w:rPr>
                <w:sz w:val="20"/>
                <w:szCs w:val="18"/>
              </w:rPr>
            </w:pPr>
            <w:r w:rsidRPr="00E1570F">
              <w:rPr>
                <w:sz w:val="20"/>
                <w:szCs w:val="18"/>
              </w:rPr>
              <w:t>Publicación y difusión de las medidas</w:t>
            </w:r>
          </w:p>
        </w:tc>
      </w:tr>
      <w:tr w:rsidR="00E1570F" w:rsidRPr="00E1570F" w14:paraId="0DFEBE3F" w14:textId="77777777" w:rsidTr="000F4CC1">
        <w:trPr>
          <w:trHeight w:val="802"/>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3A4628D7" w14:textId="77777777" w:rsidR="00E1570F" w:rsidRPr="00E1570F" w:rsidRDefault="00E1570F" w:rsidP="00E1570F">
            <w:pPr>
              <w:spacing w:before="0" w:after="0"/>
              <w:ind w:left="22"/>
              <w:jc w:val="left"/>
              <w:rPr>
                <w:sz w:val="20"/>
                <w:szCs w:val="20"/>
              </w:rPr>
            </w:pPr>
            <w:r w:rsidRPr="00E1570F">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30998E8F" w14:textId="77777777" w:rsidR="00E1570F" w:rsidRPr="00E1570F" w:rsidRDefault="00E1570F" w:rsidP="00A1431D">
            <w:pPr>
              <w:tabs>
                <w:tab w:val="left" w:pos="5698"/>
              </w:tabs>
              <w:spacing w:before="0" w:after="0" w:line="259" w:lineRule="auto"/>
              <w:ind w:left="152" w:right="12"/>
              <w:contextualSpacing/>
              <w:jc w:val="left"/>
              <w:rPr>
                <w:sz w:val="20"/>
                <w:szCs w:val="18"/>
              </w:rPr>
            </w:pPr>
            <w:r w:rsidRPr="00E1570F">
              <w:rPr>
                <w:sz w:val="20"/>
                <w:szCs w:val="18"/>
              </w:rPr>
              <w:t>Datos de composición por sexo en los Cuerpos, Niveles o Grupos profesionales a los que promocionen las empleadas</w:t>
            </w:r>
          </w:p>
        </w:tc>
      </w:tr>
      <w:tr w:rsidR="00E1570F" w:rsidRPr="00E1570F" w14:paraId="126B7B2F" w14:textId="77777777" w:rsidTr="000F4CC1">
        <w:trPr>
          <w:trHeight w:val="564"/>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0D53681" w14:textId="77777777" w:rsidR="00E1570F" w:rsidRPr="00E1570F" w:rsidRDefault="00E1570F" w:rsidP="00E1570F">
            <w:pPr>
              <w:spacing w:before="0" w:after="0"/>
              <w:ind w:left="22"/>
              <w:jc w:val="left"/>
              <w:rPr>
                <w:sz w:val="20"/>
                <w:szCs w:val="20"/>
              </w:rPr>
            </w:pPr>
            <w:r w:rsidRPr="00E1570F">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0E98AE82" w14:textId="77777777" w:rsidR="00E1570F" w:rsidRPr="00E1570F" w:rsidRDefault="00E1570F" w:rsidP="00A1431D">
            <w:pPr>
              <w:tabs>
                <w:tab w:val="left" w:pos="5698"/>
              </w:tabs>
              <w:spacing w:before="0" w:after="0" w:line="259" w:lineRule="auto"/>
              <w:ind w:left="152" w:right="12"/>
              <w:contextualSpacing/>
              <w:jc w:val="left"/>
              <w:rPr>
                <w:sz w:val="20"/>
                <w:szCs w:val="18"/>
              </w:rPr>
            </w:pPr>
            <w:r w:rsidRPr="00E1570F">
              <w:rPr>
                <w:sz w:val="20"/>
                <w:szCs w:val="18"/>
              </w:rPr>
              <w:t>Órgano con competencias en materia de Función Pública</w:t>
            </w:r>
          </w:p>
        </w:tc>
      </w:tr>
      <w:tr w:rsidR="00E1570F" w:rsidRPr="00E1570F" w14:paraId="7784DF67" w14:textId="77777777" w:rsidTr="000F4CC1">
        <w:trPr>
          <w:trHeight w:val="2238"/>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406183C4" w14:textId="77777777" w:rsidR="00E1570F" w:rsidRPr="00E1570F" w:rsidRDefault="00E1570F" w:rsidP="00E1570F">
            <w:pPr>
              <w:spacing w:before="0" w:after="0"/>
              <w:ind w:left="22"/>
              <w:jc w:val="left"/>
              <w:rPr>
                <w:sz w:val="20"/>
                <w:szCs w:val="20"/>
              </w:rPr>
            </w:pPr>
            <w:r w:rsidRPr="00E1570F">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7808D58C" w14:textId="77777777" w:rsidR="00E1570F" w:rsidRPr="00E1570F" w:rsidRDefault="00E1570F">
            <w:pPr>
              <w:numPr>
                <w:ilvl w:val="0"/>
                <w:numId w:val="8"/>
              </w:numPr>
              <w:tabs>
                <w:tab w:val="left" w:pos="5698"/>
              </w:tabs>
              <w:spacing w:before="0" w:after="0" w:line="259" w:lineRule="auto"/>
              <w:ind w:left="294" w:right="12" w:hanging="197"/>
              <w:contextualSpacing/>
              <w:jc w:val="left"/>
              <w:rPr>
                <w:sz w:val="20"/>
                <w:szCs w:val="18"/>
              </w:rPr>
            </w:pPr>
            <w:r w:rsidRPr="00E1570F">
              <w:rPr>
                <w:sz w:val="20"/>
                <w:szCs w:val="18"/>
              </w:rPr>
              <w:t>Nº total de empleadas beneficiadas, según tipo de incentivo</w:t>
            </w:r>
          </w:p>
          <w:p w14:paraId="05F54E34" w14:textId="77777777" w:rsidR="00E1570F" w:rsidRPr="00E1570F" w:rsidRDefault="00E1570F">
            <w:pPr>
              <w:numPr>
                <w:ilvl w:val="0"/>
                <w:numId w:val="8"/>
              </w:numPr>
              <w:tabs>
                <w:tab w:val="left" w:pos="5698"/>
              </w:tabs>
              <w:spacing w:before="0" w:after="0" w:line="259" w:lineRule="auto"/>
              <w:ind w:left="294" w:right="12" w:hanging="197"/>
              <w:contextualSpacing/>
              <w:jc w:val="left"/>
              <w:rPr>
                <w:sz w:val="20"/>
                <w:szCs w:val="18"/>
              </w:rPr>
            </w:pPr>
            <w:r w:rsidRPr="00E1570F">
              <w:rPr>
                <w:sz w:val="20"/>
                <w:szCs w:val="18"/>
              </w:rPr>
              <w:t>Evolución del % de participación por sexo en los procesos de promoción interna en cada uno de los Cuerpos, Niveles o Grupos profesionales en los que exista infrarrepresentación femenina</w:t>
            </w:r>
          </w:p>
          <w:p w14:paraId="2EC5DB90" w14:textId="77777777" w:rsidR="00E1570F" w:rsidRPr="00E1570F" w:rsidRDefault="00E1570F">
            <w:pPr>
              <w:numPr>
                <w:ilvl w:val="0"/>
                <w:numId w:val="8"/>
              </w:numPr>
              <w:tabs>
                <w:tab w:val="left" w:pos="5698"/>
              </w:tabs>
              <w:spacing w:before="0" w:after="0" w:line="259" w:lineRule="auto"/>
              <w:ind w:left="294" w:right="12" w:hanging="197"/>
              <w:contextualSpacing/>
              <w:jc w:val="left"/>
              <w:rPr>
                <w:sz w:val="20"/>
                <w:szCs w:val="18"/>
              </w:rPr>
            </w:pPr>
            <w:r w:rsidRPr="00E1570F">
              <w:rPr>
                <w:sz w:val="20"/>
                <w:szCs w:val="18"/>
              </w:rPr>
              <w:t>Nº y nombre de los Cuerpos, Niveles o Grupos profesionales que han alcanzado, al menos, un 40% de mujeres desde la aplicación de la medida</w:t>
            </w:r>
          </w:p>
        </w:tc>
      </w:tr>
      <w:tr w:rsidR="00E1570F" w:rsidRPr="00E1570F" w14:paraId="6F5C24BB" w14:textId="77777777" w:rsidTr="000F4CC1">
        <w:trPr>
          <w:trHeight w:val="567"/>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3F7B662F" w14:textId="77777777" w:rsidR="00E1570F" w:rsidRPr="00E1570F" w:rsidRDefault="00E1570F" w:rsidP="00E1570F">
            <w:pPr>
              <w:spacing w:before="0" w:after="0"/>
              <w:ind w:left="22"/>
              <w:jc w:val="left"/>
              <w:rPr>
                <w:sz w:val="20"/>
                <w:szCs w:val="20"/>
              </w:rPr>
            </w:pPr>
            <w:r w:rsidRPr="00E1570F">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7C0BE4F9" w14:textId="77777777" w:rsidR="00E1570F" w:rsidRPr="00E1570F" w:rsidRDefault="00E1570F" w:rsidP="00A1431D">
            <w:pPr>
              <w:spacing w:before="0" w:after="0"/>
              <w:ind w:left="152"/>
              <w:jc w:val="left"/>
              <w:rPr>
                <w:sz w:val="20"/>
                <w:szCs w:val="20"/>
              </w:rPr>
            </w:pPr>
            <w:r w:rsidRPr="00E1570F">
              <w:rPr>
                <w:sz w:val="20"/>
                <w:szCs w:val="20"/>
              </w:rPr>
              <w:t xml:space="preserve">Permanente desde el inicio del Plan de Igualdad  </w:t>
            </w:r>
          </w:p>
        </w:tc>
      </w:tr>
      <w:tr w:rsidR="00E1570F" w:rsidRPr="00E1570F" w14:paraId="40269492" w14:textId="77777777" w:rsidTr="00EA35D6">
        <w:trPr>
          <w:trHeight w:val="2767"/>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3CFA18F0" w14:textId="77777777" w:rsidR="00E1570F" w:rsidRPr="00E1570F" w:rsidRDefault="00E1570F" w:rsidP="00EA35D6">
            <w:pPr>
              <w:spacing w:before="0" w:after="0"/>
              <w:jc w:val="left"/>
              <w:rPr>
                <w:b/>
                <w:bCs/>
                <w:sz w:val="18"/>
                <w:szCs w:val="18"/>
              </w:rPr>
            </w:pPr>
            <w:r w:rsidRPr="00E1570F">
              <w:rPr>
                <w:b/>
                <w:bCs/>
                <w:sz w:val="18"/>
                <w:szCs w:val="18"/>
              </w:rPr>
              <w:t>Observaciones</w:t>
            </w:r>
          </w:p>
          <w:p w14:paraId="619B8487" w14:textId="77777777" w:rsidR="00E1570F" w:rsidRPr="00E1570F" w:rsidRDefault="00E1570F" w:rsidP="00EA35D6">
            <w:pPr>
              <w:spacing w:before="0" w:after="0"/>
              <w:jc w:val="left"/>
              <w:rPr>
                <w:sz w:val="18"/>
                <w:szCs w:val="18"/>
              </w:rPr>
            </w:pPr>
          </w:p>
          <w:p w14:paraId="26382AFA" w14:textId="67176E74" w:rsidR="00E1570F" w:rsidRDefault="00E1570F" w:rsidP="00EA35D6">
            <w:pPr>
              <w:spacing w:before="0" w:after="0"/>
              <w:jc w:val="left"/>
              <w:rPr>
                <w:sz w:val="18"/>
                <w:szCs w:val="18"/>
              </w:rPr>
            </w:pPr>
            <w:r w:rsidRPr="00E1570F">
              <w:rPr>
                <w:sz w:val="18"/>
                <w:szCs w:val="18"/>
              </w:rPr>
              <w:t>Aplicación prioritaria: los incentivos se pondrán en marcha inmediatamente al comienzo de la vigencia de Plan.</w:t>
            </w:r>
          </w:p>
          <w:p w14:paraId="08F543D1" w14:textId="77777777" w:rsidR="00EA35D6" w:rsidRPr="00E1570F" w:rsidRDefault="00EA35D6" w:rsidP="00EA35D6">
            <w:pPr>
              <w:spacing w:before="0" w:after="0"/>
              <w:jc w:val="left"/>
              <w:rPr>
                <w:sz w:val="18"/>
                <w:szCs w:val="18"/>
              </w:rPr>
            </w:pPr>
          </w:p>
          <w:p w14:paraId="53D57CEE" w14:textId="77777777" w:rsidR="00E1570F" w:rsidRPr="00E1570F" w:rsidRDefault="00E1570F" w:rsidP="00EA35D6">
            <w:pPr>
              <w:spacing w:before="0" w:after="0"/>
              <w:jc w:val="left"/>
              <w:rPr>
                <w:b/>
                <w:bCs/>
                <w:sz w:val="20"/>
                <w:szCs w:val="20"/>
              </w:rPr>
            </w:pPr>
            <w:r w:rsidRPr="00E1570F">
              <w:rPr>
                <w:sz w:val="18"/>
                <w:szCs w:val="18"/>
              </w:rPr>
              <w:t xml:space="preserve">Esta medida se mantendrá siempre que exista infrarrepresentación femenina en los Cuerpos, Niveles y Grupos profesionales, lo cual, según la </w:t>
            </w:r>
            <w:r w:rsidRPr="00E1570F">
              <w:rPr>
                <w:i/>
                <w:iCs/>
                <w:sz w:val="18"/>
                <w:szCs w:val="18"/>
              </w:rPr>
              <w:t>ley de igualdad 3/2007</w:t>
            </w:r>
            <w:r w:rsidRPr="00E1570F">
              <w:rPr>
                <w:sz w:val="18"/>
                <w:szCs w:val="18"/>
              </w:rPr>
              <w:t xml:space="preserve">, queda marcado por una presencia inferior al 40%. La aplicación de los incentivos a las candidatas se mantendría exclusivamente durante el proceso de promoción, finalizando una vez concluido dicho proceso en el que participa o una vez alcanzado el puesto para el que promociona. </w:t>
            </w:r>
          </w:p>
        </w:tc>
      </w:tr>
    </w:tbl>
    <w:p w14:paraId="231E8446" w14:textId="77777777" w:rsidR="00E1570F" w:rsidRPr="00E1570F" w:rsidRDefault="00E1570F" w:rsidP="00E1570F">
      <w:pPr>
        <w:spacing w:before="0" w:after="160" w:line="259" w:lineRule="auto"/>
        <w:jc w:val="left"/>
      </w:pPr>
    </w:p>
    <w:p w14:paraId="64C54619" w14:textId="77777777" w:rsidR="00E1570F" w:rsidRPr="00E1570F" w:rsidRDefault="00E1570F" w:rsidP="00E1570F">
      <w:pPr>
        <w:spacing w:before="0" w:after="160"/>
        <w:rPr>
          <w:b/>
          <w:bCs/>
          <w:iCs/>
          <w:color w:val="78BE20"/>
        </w:rPr>
      </w:pPr>
      <w:r w:rsidRPr="00E1570F">
        <w:rPr>
          <w:b/>
          <w:bCs/>
          <w:iCs/>
          <w:color w:val="78BE20"/>
        </w:rPr>
        <w:br w:type="page"/>
      </w:r>
    </w:p>
    <w:p w14:paraId="7F1F10A9" w14:textId="77777777" w:rsidR="00E1570F" w:rsidRPr="00E1570F" w:rsidRDefault="00E1570F" w:rsidP="00E1570F">
      <w:pPr>
        <w:spacing w:before="0" w:after="160"/>
      </w:pPr>
      <w:r w:rsidRPr="00E1570F">
        <w:rPr>
          <w:b/>
          <w:bCs/>
          <w:iCs/>
          <w:color w:val="78BE20"/>
        </w:rPr>
        <w:t xml:space="preserve">OBJETIVO. </w:t>
      </w:r>
      <w:bookmarkStart w:id="38" w:name="_Hlk120539888"/>
      <w:r w:rsidRPr="00E1570F">
        <w:rPr>
          <w:b/>
          <w:bCs/>
        </w:rPr>
        <w:t>Facilitar la formación del personal de la Administración General que, por las características de sus puestos, justifiquen incompatibilidad de su jornada ordinaria con los horarios habituales de la formación presencial que se ofrece.</w:t>
      </w:r>
    </w:p>
    <w:bookmarkEnd w:id="38"/>
    <w:p w14:paraId="65CF0C98" w14:textId="5235B60A" w:rsidR="00E1570F" w:rsidRPr="00E1570F" w:rsidRDefault="00E1570F" w:rsidP="00E1570F">
      <w:pPr>
        <w:pStyle w:val="Ttulo3"/>
      </w:pPr>
      <w:r w:rsidRPr="00E1570F">
        <w:t>Medida 22</w:t>
      </w:r>
    </w:p>
    <w:tbl>
      <w:tblPr>
        <w:tblStyle w:val="Tablaconcuadrcula"/>
        <w:tblW w:w="0" w:type="auto"/>
        <w:tblLook w:val="04A0" w:firstRow="1" w:lastRow="0" w:firstColumn="1" w:lastColumn="0" w:noHBand="0" w:noVBand="1"/>
      </w:tblPr>
      <w:tblGrid>
        <w:gridCol w:w="2402"/>
        <w:gridCol w:w="6072"/>
      </w:tblGrid>
      <w:tr w:rsidR="00E1570F" w:rsidRPr="00E1570F" w14:paraId="00757893" w14:textId="77777777" w:rsidTr="000F4CC1">
        <w:trPr>
          <w:trHeight w:val="1360"/>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5322FDF5" w14:textId="77777777" w:rsidR="00E1570F" w:rsidRPr="00E1570F" w:rsidRDefault="00E1570F" w:rsidP="00E1570F">
            <w:pPr>
              <w:spacing w:before="0" w:after="0"/>
              <w:rPr>
                <w:color w:val="FFFFFF" w:themeColor="background1"/>
              </w:rPr>
            </w:pPr>
            <w:r w:rsidRPr="00E1570F">
              <w:rPr>
                <w:b/>
                <w:bCs/>
                <w:color w:val="FFFFFF" w:themeColor="background1"/>
              </w:rPr>
              <w:t>Consideración como horas extraordinarias la dedicación a formación presencial de las personas que justifiquen incompatibilidad de su jornada ordinaria con los horarios habituales de la formación presencial, pudiéndose compensar con horas libres o abono económico.</w:t>
            </w:r>
            <w:r w:rsidRPr="00E1570F">
              <w:rPr>
                <w:color w:val="FFFFFF" w:themeColor="background1"/>
              </w:rPr>
              <w:t xml:space="preserve">  </w:t>
            </w:r>
          </w:p>
        </w:tc>
      </w:tr>
      <w:tr w:rsidR="00E1570F" w:rsidRPr="00E1570F" w14:paraId="74A014D5" w14:textId="77777777" w:rsidTr="002F7442">
        <w:trPr>
          <w:trHeight w:val="994"/>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359F4757" w14:textId="77777777" w:rsidR="00E1570F" w:rsidRPr="00E1570F" w:rsidRDefault="00E1570F" w:rsidP="00E1570F">
            <w:pPr>
              <w:spacing w:before="0" w:after="0"/>
              <w:ind w:left="22"/>
              <w:jc w:val="left"/>
              <w:rPr>
                <w:sz w:val="20"/>
                <w:szCs w:val="20"/>
              </w:rPr>
            </w:pPr>
            <w:r w:rsidRPr="00E1570F">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3A80A754" w14:textId="77777777" w:rsidR="00E1570F" w:rsidRPr="00E1570F" w:rsidRDefault="00E1570F" w:rsidP="002F7442">
            <w:pPr>
              <w:spacing w:before="0" w:after="0"/>
              <w:ind w:left="152" w:right="158"/>
              <w:jc w:val="left"/>
              <w:rPr>
                <w:sz w:val="20"/>
                <w:szCs w:val="20"/>
              </w:rPr>
            </w:pPr>
            <w:r w:rsidRPr="00E1570F">
              <w:rPr>
                <w:sz w:val="20"/>
                <w:szCs w:val="20"/>
              </w:rPr>
              <w:t xml:space="preserve">Personal de la Administración General que </w:t>
            </w:r>
            <w:proofErr w:type="gramStart"/>
            <w:r w:rsidRPr="00E1570F">
              <w:rPr>
                <w:sz w:val="20"/>
                <w:szCs w:val="20"/>
              </w:rPr>
              <w:t>justifiquen</w:t>
            </w:r>
            <w:proofErr w:type="gramEnd"/>
            <w:r w:rsidRPr="00E1570F">
              <w:rPr>
                <w:sz w:val="20"/>
                <w:szCs w:val="20"/>
              </w:rPr>
              <w:t xml:space="preserve"> incompatibilidad con los horarios habituales de formación presencial. </w:t>
            </w:r>
          </w:p>
        </w:tc>
      </w:tr>
      <w:tr w:rsidR="00E1570F" w:rsidRPr="00E1570F" w14:paraId="63C17A9B" w14:textId="77777777" w:rsidTr="000F4CC1">
        <w:trPr>
          <w:trHeight w:val="696"/>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3C4C2EFB" w14:textId="77777777" w:rsidR="00E1570F" w:rsidRPr="00E1570F" w:rsidRDefault="00E1570F" w:rsidP="00E1570F">
            <w:pPr>
              <w:spacing w:before="0" w:after="0"/>
              <w:ind w:left="22"/>
              <w:jc w:val="left"/>
              <w:rPr>
                <w:sz w:val="20"/>
                <w:szCs w:val="20"/>
              </w:rPr>
            </w:pPr>
            <w:r w:rsidRPr="00E1570F">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1B339E9" w14:textId="77777777" w:rsidR="00E1570F" w:rsidRPr="00E1570F" w:rsidRDefault="00E1570F" w:rsidP="002F7442">
            <w:pPr>
              <w:tabs>
                <w:tab w:val="left" w:pos="5698"/>
              </w:tabs>
              <w:spacing w:before="0" w:after="0" w:line="259" w:lineRule="auto"/>
              <w:ind w:left="152" w:right="12"/>
              <w:contextualSpacing/>
              <w:jc w:val="left"/>
              <w:rPr>
                <w:sz w:val="20"/>
                <w:szCs w:val="18"/>
              </w:rPr>
            </w:pPr>
            <w:r w:rsidRPr="00E1570F">
              <w:rPr>
                <w:sz w:val="20"/>
                <w:szCs w:val="18"/>
              </w:rPr>
              <w:t>Inclusión de un mensaje informativo sobre la medida en la oferta formativa de la ERAP</w:t>
            </w:r>
          </w:p>
        </w:tc>
      </w:tr>
      <w:tr w:rsidR="00E1570F" w:rsidRPr="00E1570F" w14:paraId="128A2E11" w14:textId="77777777" w:rsidTr="000F4CC1">
        <w:trPr>
          <w:trHeight w:val="55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08979C8" w14:textId="77777777" w:rsidR="00E1570F" w:rsidRPr="00E1570F" w:rsidRDefault="00E1570F" w:rsidP="00E1570F">
            <w:pPr>
              <w:spacing w:before="0" w:after="0"/>
              <w:ind w:left="22"/>
              <w:jc w:val="left"/>
              <w:rPr>
                <w:sz w:val="20"/>
                <w:szCs w:val="20"/>
              </w:rPr>
            </w:pPr>
            <w:r w:rsidRPr="00E1570F">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0511AF99" w14:textId="77777777" w:rsidR="00E1570F" w:rsidRPr="00E1570F" w:rsidRDefault="00E1570F" w:rsidP="002F7442">
            <w:pPr>
              <w:tabs>
                <w:tab w:val="left" w:pos="5698"/>
              </w:tabs>
              <w:spacing w:before="0" w:after="0" w:line="259" w:lineRule="auto"/>
              <w:ind w:left="152" w:right="12"/>
              <w:contextualSpacing/>
              <w:jc w:val="left"/>
              <w:rPr>
                <w:sz w:val="20"/>
                <w:szCs w:val="18"/>
              </w:rPr>
            </w:pPr>
            <w:r w:rsidRPr="00E1570F">
              <w:rPr>
                <w:sz w:val="20"/>
                <w:szCs w:val="18"/>
              </w:rPr>
              <w:t xml:space="preserve">Plan anual de formación e identificación de formación obligatoria </w:t>
            </w:r>
          </w:p>
        </w:tc>
      </w:tr>
      <w:tr w:rsidR="00E1570F" w:rsidRPr="00E1570F" w14:paraId="400FE7AC" w14:textId="77777777" w:rsidTr="000F4CC1">
        <w:trPr>
          <w:trHeight w:val="45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A15FF77" w14:textId="77777777" w:rsidR="00E1570F" w:rsidRPr="00E1570F" w:rsidRDefault="00E1570F" w:rsidP="00E1570F">
            <w:pPr>
              <w:spacing w:before="0" w:after="0"/>
              <w:ind w:left="22"/>
              <w:jc w:val="left"/>
              <w:rPr>
                <w:sz w:val="20"/>
                <w:szCs w:val="20"/>
              </w:rPr>
            </w:pPr>
            <w:r w:rsidRPr="00E1570F">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18F66867" w14:textId="77777777" w:rsidR="00E1570F" w:rsidRPr="00E1570F" w:rsidRDefault="00E1570F" w:rsidP="002F7442">
            <w:pPr>
              <w:spacing w:before="0" w:after="0"/>
              <w:ind w:left="152"/>
              <w:jc w:val="left"/>
              <w:rPr>
                <w:sz w:val="20"/>
                <w:szCs w:val="20"/>
              </w:rPr>
            </w:pPr>
            <w:r w:rsidRPr="00E1570F">
              <w:rPr>
                <w:sz w:val="20"/>
                <w:szCs w:val="20"/>
              </w:rPr>
              <w:t>ERAP</w:t>
            </w:r>
          </w:p>
        </w:tc>
      </w:tr>
      <w:tr w:rsidR="00E1570F" w:rsidRPr="00E1570F" w14:paraId="7EF109C9" w14:textId="77777777" w:rsidTr="000F4CC1">
        <w:trPr>
          <w:trHeight w:val="898"/>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3D378A6D" w14:textId="77777777" w:rsidR="00E1570F" w:rsidRPr="00E1570F" w:rsidRDefault="00E1570F" w:rsidP="00E1570F">
            <w:pPr>
              <w:spacing w:before="0" w:after="0"/>
              <w:ind w:left="22"/>
              <w:jc w:val="left"/>
              <w:rPr>
                <w:sz w:val="20"/>
                <w:szCs w:val="20"/>
              </w:rPr>
            </w:pPr>
            <w:r w:rsidRPr="00E1570F">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16C64261" w14:textId="77777777" w:rsidR="00E1570F" w:rsidRPr="00E1570F" w:rsidRDefault="00E1570F">
            <w:pPr>
              <w:numPr>
                <w:ilvl w:val="0"/>
                <w:numId w:val="8"/>
              </w:numPr>
              <w:tabs>
                <w:tab w:val="left" w:pos="5698"/>
              </w:tabs>
              <w:spacing w:before="0" w:after="0" w:line="259" w:lineRule="auto"/>
              <w:ind w:left="294" w:right="12" w:hanging="197"/>
              <w:contextualSpacing/>
              <w:jc w:val="left"/>
              <w:rPr>
                <w:sz w:val="20"/>
                <w:szCs w:val="18"/>
              </w:rPr>
            </w:pPr>
            <w:r w:rsidRPr="00E1570F">
              <w:rPr>
                <w:sz w:val="20"/>
                <w:szCs w:val="18"/>
              </w:rPr>
              <w:t>Nº de cursos que han tenido la consideración de obligatorios.</w:t>
            </w:r>
          </w:p>
          <w:p w14:paraId="4EED415A" w14:textId="77777777" w:rsidR="00E1570F" w:rsidRPr="00E1570F" w:rsidRDefault="00E1570F">
            <w:pPr>
              <w:numPr>
                <w:ilvl w:val="0"/>
                <w:numId w:val="8"/>
              </w:numPr>
              <w:tabs>
                <w:tab w:val="left" w:pos="5698"/>
              </w:tabs>
              <w:spacing w:before="0" w:after="0" w:line="259" w:lineRule="auto"/>
              <w:ind w:left="294" w:right="12" w:hanging="197"/>
              <w:contextualSpacing/>
              <w:jc w:val="left"/>
              <w:rPr>
                <w:sz w:val="20"/>
                <w:szCs w:val="20"/>
              </w:rPr>
            </w:pPr>
            <w:r w:rsidRPr="00E1570F">
              <w:rPr>
                <w:sz w:val="20"/>
                <w:szCs w:val="18"/>
              </w:rPr>
              <w:t>% de personas beneficiadas según sexo, Grupo profesional, curso y tipo de compensación</w:t>
            </w:r>
          </w:p>
        </w:tc>
      </w:tr>
      <w:tr w:rsidR="00E1570F" w:rsidRPr="00E1570F" w14:paraId="089BF160" w14:textId="77777777" w:rsidTr="000F4CC1">
        <w:trPr>
          <w:trHeight w:val="698"/>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0115A09" w14:textId="77777777" w:rsidR="00E1570F" w:rsidRPr="00E1570F" w:rsidRDefault="00E1570F" w:rsidP="00E1570F">
            <w:pPr>
              <w:spacing w:before="0" w:after="0"/>
              <w:ind w:left="22"/>
              <w:jc w:val="left"/>
              <w:rPr>
                <w:sz w:val="20"/>
                <w:szCs w:val="20"/>
              </w:rPr>
            </w:pPr>
            <w:r w:rsidRPr="00E1570F">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34B7C20B" w14:textId="77777777" w:rsidR="00E1570F" w:rsidRPr="00E1570F" w:rsidRDefault="00E1570F" w:rsidP="002F7442">
            <w:pPr>
              <w:spacing w:before="0" w:after="0"/>
              <w:ind w:left="152"/>
              <w:jc w:val="left"/>
              <w:rPr>
                <w:sz w:val="20"/>
                <w:szCs w:val="20"/>
              </w:rPr>
            </w:pPr>
            <w:r w:rsidRPr="00E1570F">
              <w:rPr>
                <w:sz w:val="20"/>
                <w:szCs w:val="20"/>
              </w:rPr>
              <w:t>Permanente desde el inicio del Plan de Igualdad</w:t>
            </w:r>
          </w:p>
        </w:tc>
      </w:tr>
      <w:tr w:rsidR="00E1570F" w:rsidRPr="00E1570F" w14:paraId="47E4FCDA" w14:textId="77777777" w:rsidTr="00EA35D6">
        <w:trPr>
          <w:trHeight w:val="2167"/>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618794AA" w14:textId="77777777" w:rsidR="00E1570F" w:rsidRPr="00E1570F" w:rsidRDefault="00E1570F" w:rsidP="00EA35D6">
            <w:pPr>
              <w:spacing w:before="0" w:after="0"/>
              <w:jc w:val="left"/>
              <w:rPr>
                <w:b/>
                <w:bCs/>
                <w:sz w:val="18"/>
                <w:szCs w:val="18"/>
              </w:rPr>
            </w:pPr>
            <w:r w:rsidRPr="00E1570F">
              <w:rPr>
                <w:b/>
                <w:bCs/>
                <w:sz w:val="18"/>
                <w:szCs w:val="18"/>
              </w:rPr>
              <w:t>Observaciones</w:t>
            </w:r>
          </w:p>
          <w:p w14:paraId="295F1EB7" w14:textId="77777777" w:rsidR="00E1570F" w:rsidRPr="00E1570F" w:rsidRDefault="00E1570F" w:rsidP="00EA35D6">
            <w:pPr>
              <w:spacing w:before="0" w:after="0"/>
              <w:jc w:val="left"/>
              <w:rPr>
                <w:sz w:val="18"/>
                <w:szCs w:val="18"/>
              </w:rPr>
            </w:pPr>
          </w:p>
          <w:p w14:paraId="412A2DF8" w14:textId="43041737" w:rsidR="00E1570F" w:rsidRDefault="00E1570F" w:rsidP="00EA35D6">
            <w:pPr>
              <w:spacing w:before="0" w:after="0"/>
              <w:jc w:val="left"/>
              <w:rPr>
                <w:sz w:val="18"/>
                <w:szCs w:val="18"/>
              </w:rPr>
            </w:pPr>
            <w:r w:rsidRPr="00E1570F">
              <w:rPr>
                <w:sz w:val="18"/>
                <w:szCs w:val="18"/>
              </w:rPr>
              <w:t>Aplicación prioritaria: la consideración como horas extraordinarias se pondrá en marcha inmediatamente al comienzo de la vigencia de Plan.</w:t>
            </w:r>
          </w:p>
          <w:p w14:paraId="0EFB5EF8" w14:textId="77777777" w:rsidR="00EA35D6" w:rsidRPr="00E1570F" w:rsidRDefault="00EA35D6" w:rsidP="00EA35D6">
            <w:pPr>
              <w:spacing w:before="0" w:after="0"/>
              <w:jc w:val="left"/>
              <w:rPr>
                <w:sz w:val="18"/>
                <w:szCs w:val="18"/>
              </w:rPr>
            </w:pPr>
          </w:p>
          <w:p w14:paraId="0A32549F" w14:textId="77777777" w:rsidR="00E1570F" w:rsidRPr="00E1570F" w:rsidRDefault="00E1570F" w:rsidP="00EA35D6">
            <w:pPr>
              <w:spacing w:before="0" w:after="0"/>
              <w:jc w:val="left"/>
              <w:rPr>
                <w:sz w:val="20"/>
                <w:szCs w:val="20"/>
              </w:rPr>
            </w:pPr>
            <w:r w:rsidRPr="00E1570F">
              <w:rPr>
                <w:sz w:val="18"/>
                <w:szCs w:val="18"/>
              </w:rPr>
              <w:t>Esta medida se aplicará siempre y cuando la formación sea obligatoria o exista un informe de la Secretaría General Técnica indicando que el curso es necesario para el puesto de trabajo desempeñado.</w:t>
            </w:r>
          </w:p>
        </w:tc>
      </w:tr>
    </w:tbl>
    <w:p w14:paraId="36C50DAA" w14:textId="77777777" w:rsidR="00E1570F" w:rsidRPr="00E1570F" w:rsidRDefault="00E1570F" w:rsidP="00E1570F">
      <w:pPr>
        <w:spacing w:before="0" w:after="160" w:line="259" w:lineRule="auto"/>
        <w:jc w:val="left"/>
      </w:pPr>
    </w:p>
    <w:p w14:paraId="40A9FDC3" w14:textId="77777777" w:rsidR="00E1570F" w:rsidRPr="00E1570F" w:rsidRDefault="00E1570F" w:rsidP="00E1570F">
      <w:pPr>
        <w:spacing w:before="0" w:after="160" w:line="259" w:lineRule="auto"/>
        <w:jc w:val="left"/>
      </w:pPr>
      <w:r w:rsidRPr="00E1570F">
        <w:br w:type="page"/>
      </w:r>
    </w:p>
    <w:p w14:paraId="5478F4DC" w14:textId="77777777" w:rsidR="00E1570F" w:rsidRPr="00E1570F" w:rsidRDefault="00E1570F" w:rsidP="00E1570F">
      <w:pPr>
        <w:spacing w:before="0" w:after="160"/>
      </w:pPr>
      <w:r w:rsidRPr="00E1570F">
        <w:rPr>
          <w:rFonts w:eastAsiaTheme="majorEastAsia" w:cstheme="majorBidi"/>
          <w:b/>
          <w:bCs/>
          <w:iCs/>
          <w:snapToGrid w:val="0"/>
          <w:color w:val="78BE20"/>
          <w:sz w:val="24"/>
          <w:szCs w:val="24"/>
        </w:rPr>
        <w:t xml:space="preserve">OBJETIVO. </w:t>
      </w:r>
      <w:bookmarkStart w:id="39" w:name="_Hlk120539900"/>
      <w:r w:rsidRPr="00E1570F">
        <w:rPr>
          <w:b/>
          <w:bCs/>
        </w:rPr>
        <w:t>Conocer los motivos de rechazo a cursos de formación y segmentarlos por sexo y Grupo profesional.</w:t>
      </w:r>
    </w:p>
    <w:bookmarkEnd w:id="39"/>
    <w:p w14:paraId="3F567FA7" w14:textId="5AE55A57" w:rsidR="00E1570F" w:rsidRPr="00E1570F" w:rsidRDefault="00E1570F" w:rsidP="00E1570F">
      <w:pPr>
        <w:pStyle w:val="Ttulo3"/>
      </w:pPr>
      <w:r w:rsidRPr="00E1570F">
        <w:t>Medida 23</w:t>
      </w:r>
    </w:p>
    <w:tbl>
      <w:tblPr>
        <w:tblStyle w:val="Tablaconcuadrcula"/>
        <w:tblW w:w="0" w:type="auto"/>
        <w:tblLook w:val="04A0" w:firstRow="1" w:lastRow="0" w:firstColumn="1" w:lastColumn="0" w:noHBand="0" w:noVBand="1"/>
      </w:tblPr>
      <w:tblGrid>
        <w:gridCol w:w="2402"/>
        <w:gridCol w:w="6072"/>
      </w:tblGrid>
      <w:tr w:rsidR="00E1570F" w:rsidRPr="00E1570F" w14:paraId="6D73938B" w14:textId="77777777" w:rsidTr="000F4CC1">
        <w:trPr>
          <w:trHeight w:val="1396"/>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746BFA70" w14:textId="77777777" w:rsidR="00E1570F" w:rsidRPr="00E1570F" w:rsidRDefault="00E1570F" w:rsidP="00E1570F">
            <w:pPr>
              <w:spacing w:before="0" w:after="0"/>
              <w:ind w:left="22"/>
            </w:pPr>
            <w:r w:rsidRPr="00E1570F">
              <w:rPr>
                <w:b/>
                <w:bCs/>
                <w:color w:val="FFFFFF" w:themeColor="background1"/>
              </w:rPr>
              <w:t xml:space="preserve">Desarrollo de una mejora informática para la recogida de datos desagregados por sexo sobre las aceptaciones y rechazos a la formación decididas por las Unidades Administrativas, incluyendo aspectos como la motivación de rechazo y perfil profesional de la persona solicitante.  </w:t>
            </w:r>
          </w:p>
        </w:tc>
      </w:tr>
      <w:tr w:rsidR="00E1570F" w:rsidRPr="00E1570F" w14:paraId="4F6FF7F1" w14:textId="77777777" w:rsidTr="000F4CC1">
        <w:trPr>
          <w:trHeight w:val="619"/>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05F03B41" w14:textId="77777777" w:rsidR="00E1570F" w:rsidRPr="00E1570F" w:rsidRDefault="00E1570F" w:rsidP="00E1570F">
            <w:pPr>
              <w:spacing w:before="0" w:after="0"/>
              <w:ind w:left="22"/>
              <w:jc w:val="left"/>
              <w:rPr>
                <w:sz w:val="20"/>
                <w:szCs w:val="20"/>
              </w:rPr>
            </w:pPr>
            <w:r w:rsidRPr="00E1570F">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6C1DD48C" w14:textId="77777777" w:rsidR="00E1570F" w:rsidRPr="00E1570F" w:rsidRDefault="00E1570F" w:rsidP="002F7442">
            <w:pPr>
              <w:spacing w:before="0" w:after="0"/>
              <w:ind w:left="152"/>
            </w:pPr>
            <w:r w:rsidRPr="00E1570F">
              <w:rPr>
                <w:sz w:val="20"/>
                <w:szCs w:val="20"/>
              </w:rPr>
              <w:t>Unidades Administrativas</w:t>
            </w:r>
          </w:p>
        </w:tc>
      </w:tr>
      <w:tr w:rsidR="00E1570F" w:rsidRPr="00E1570F" w14:paraId="237FF3A7" w14:textId="77777777" w:rsidTr="000F4CC1">
        <w:trPr>
          <w:trHeight w:val="1555"/>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587C6C6" w14:textId="77777777" w:rsidR="00E1570F" w:rsidRPr="00E1570F" w:rsidRDefault="00E1570F" w:rsidP="00E1570F">
            <w:pPr>
              <w:spacing w:before="0" w:after="0"/>
              <w:ind w:left="22"/>
              <w:jc w:val="left"/>
              <w:rPr>
                <w:sz w:val="20"/>
                <w:szCs w:val="20"/>
              </w:rPr>
            </w:pPr>
            <w:r w:rsidRPr="00E1570F">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14E154D4" w14:textId="77777777" w:rsidR="00E1570F" w:rsidRPr="00E1570F" w:rsidRDefault="00E1570F" w:rsidP="002F7442">
            <w:pPr>
              <w:tabs>
                <w:tab w:val="left" w:pos="5698"/>
              </w:tabs>
              <w:spacing w:before="0" w:after="0" w:line="259" w:lineRule="auto"/>
              <w:ind w:left="152" w:right="12"/>
              <w:contextualSpacing/>
              <w:jc w:val="left"/>
              <w:rPr>
                <w:sz w:val="20"/>
                <w:szCs w:val="18"/>
              </w:rPr>
            </w:pPr>
            <w:r w:rsidRPr="00E1570F">
              <w:rPr>
                <w:sz w:val="20"/>
                <w:szCs w:val="18"/>
              </w:rPr>
              <w:t xml:space="preserve">Inclusión en la aplicación del nº de aceptación y rechazo de las solicitudes de formación con la motivación del rechazo y los datos necesarios del perfil atendiendo al sexo, fecha de incorporación o reincorporación, Grupo Profesional y unidad administrativa. </w:t>
            </w:r>
          </w:p>
        </w:tc>
      </w:tr>
      <w:tr w:rsidR="00E1570F" w:rsidRPr="00E1570F" w14:paraId="039CA237" w14:textId="77777777" w:rsidTr="000F4CC1">
        <w:trPr>
          <w:trHeight w:val="692"/>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EB30EB4" w14:textId="77777777" w:rsidR="00E1570F" w:rsidRPr="00E1570F" w:rsidRDefault="00E1570F" w:rsidP="00E1570F">
            <w:pPr>
              <w:spacing w:before="0" w:after="0"/>
              <w:ind w:left="22"/>
              <w:jc w:val="left"/>
              <w:rPr>
                <w:sz w:val="20"/>
                <w:szCs w:val="20"/>
              </w:rPr>
            </w:pPr>
            <w:r w:rsidRPr="00E1570F">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364802B5" w14:textId="77777777" w:rsidR="00E1570F" w:rsidRPr="00E1570F" w:rsidRDefault="00E1570F" w:rsidP="002F7442">
            <w:pPr>
              <w:tabs>
                <w:tab w:val="left" w:pos="5698"/>
              </w:tabs>
              <w:spacing w:before="0" w:after="0" w:line="259" w:lineRule="auto"/>
              <w:ind w:left="152" w:right="12"/>
              <w:contextualSpacing/>
              <w:jc w:val="left"/>
              <w:rPr>
                <w:sz w:val="20"/>
                <w:szCs w:val="20"/>
              </w:rPr>
            </w:pPr>
            <w:r w:rsidRPr="00E1570F">
              <w:rPr>
                <w:sz w:val="20"/>
                <w:szCs w:val="18"/>
              </w:rPr>
              <w:t>Plan anual de formación e identificación de formación obligatoria</w:t>
            </w:r>
          </w:p>
        </w:tc>
      </w:tr>
      <w:tr w:rsidR="00E1570F" w:rsidRPr="00E1570F" w14:paraId="7DAACE86" w14:textId="77777777" w:rsidTr="000F4CC1">
        <w:trPr>
          <w:trHeight w:val="56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B07BDE5" w14:textId="77777777" w:rsidR="00E1570F" w:rsidRPr="00E1570F" w:rsidRDefault="00E1570F" w:rsidP="00E1570F">
            <w:pPr>
              <w:spacing w:before="0" w:after="0"/>
              <w:ind w:left="22"/>
              <w:jc w:val="left"/>
              <w:rPr>
                <w:sz w:val="20"/>
                <w:szCs w:val="20"/>
              </w:rPr>
            </w:pPr>
            <w:r w:rsidRPr="00E1570F">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30CD095" w14:textId="77777777" w:rsidR="00E1570F" w:rsidRPr="00E1570F" w:rsidRDefault="00E1570F" w:rsidP="002F7442">
            <w:pPr>
              <w:spacing w:before="0" w:after="0"/>
              <w:ind w:left="152"/>
              <w:rPr>
                <w:szCs w:val="20"/>
              </w:rPr>
            </w:pPr>
            <w:r w:rsidRPr="00E1570F">
              <w:rPr>
                <w:sz w:val="20"/>
                <w:szCs w:val="20"/>
              </w:rPr>
              <w:t>ERAP</w:t>
            </w:r>
          </w:p>
        </w:tc>
      </w:tr>
      <w:tr w:rsidR="00E1570F" w:rsidRPr="00E1570F" w14:paraId="227FD5AA" w14:textId="77777777" w:rsidTr="000F4CC1">
        <w:trPr>
          <w:trHeight w:val="966"/>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CC1E830" w14:textId="77777777" w:rsidR="00E1570F" w:rsidRPr="00E1570F" w:rsidRDefault="00E1570F" w:rsidP="00E1570F">
            <w:pPr>
              <w:spacing w:before="0" w:after="0"/>
              <w:ind w:left="22"/>
              <w:jc w:val="left"/>
              <w:rPr>
                <w:sz w:val="20"/>
                <w:szCs w:val="20"/>
              </w:rPr>
            </w:pPr>
            <w:r w:rsidRPr="00E1570F">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5F53681" w14:textId="77777777" w:rsidR="00E1570F" w:rsidRPr="00E1570F" w:rsidRDefault="00E1570F" w:rsidP="00E1570F">
            <w:pPr>
              <w:spacing w:before="0" w:after="0"/>
              <w:jc w:val="left"/>
              <w:rPr>
                <w:sz w:val="20"/>
                <w:szCs w:val="20"/>
              </w:rPr>
            </w:pPr>
          </w:p>
          <w:p w14:paraId="3B38CE20" w14:textId="77777777" w:rsidR="00E1570F" w:rsidRPr="00E1570F" w:rsidRDefault="00E1570F">
            <w:pPr>
              <w:numPr>
                <w:ilvl w:val="0"/>
                <w:numId w:val="8"/>
              </w:numPr>
              <w:tabs>
                <w:tab w:val="left" w:pos="5698"/>
              </w:tabs>
              <w:spacing w:before="0" w:after="0" w:line="259" w:lineRule="auto"/>
              <w:ind w:left="294" w:right="12" w:hanging="197"/>
              <w:contextualSpacing/>
              <w:jc w:val="left"/>
              <w:rPr>
                <w:sz w:val="20"/>
                <w:szCs w:val="18"/>
              </w:rPr>
            </w:pPr>
            <w:r w:rsidRPr="00E1570F">
              <w:rPr>
                <w:sz w:val="20"/>
                <w:szCs w:val="18"/>
              </w:rPr>
              <w:t>Nº de solicitudes rechazadas y motivo.</w:t>
            </w:r>
          </w:p>
          <w:p w14:paraId="0D48849C" w14:textId="77777777" w:rsidR="00E1570F" w:rsidRPr="00E1570F" w:rsidRDefault="00E1570F">
            <w:pPr>
              <w:numPr>
                <w:ilvl w:val="0"/>
                <w:numId w:val="8"/>
              </w:numPr>
              <w:tabs>
                <w:tab w:val="left" w:pos="5698"/>
              </w:tabs>
              <w:spacing w:before="0" w:after="0" w:line="259" w:lineRule="auto"/>
              <w:ind w:left="294" w:right="12" w:hanging="197"/>
              <w:contextualSpacing/>
              <w:jc w:val="left"/>
              <w:rPr>
                <w:sz w:val="20"/>
                <w:szCs w:val="18"/>
              </w:rPr>
            </w:pPr>
            <w:r w:rsidRPr="00E1570F">
              <w:rPr>
                <w:sz w:val="20"/>
                <w:szCs w:val="18"/>
              </w:rPr>
              <w:t>Nº de solicitudes rechazadas por Unidades administrativas.</w:t>
            </w:r>
          </w:p>
          <w:p w14:paraId="32140620" w14:textId="77777777" w:rsidR="00E1570F" w:rsidRPr="00E1570F" w:rsidRDefault="00E1570F">
            <w:pPr>
              <w:numPr>
                <w:ilvl w:val="0"/>
                <w:numId w:val="8"/>
              </w:numPr>
              <w:tabs>
                <w:tab w:val="left" w:pos="5698"/>
              </w:tabs>
              <w:spacing w:before="0" w:after="0" w:line="259" w:lineRule="auto"/>
              <w:ind w:left="294" w:right="12" w:hanging="197"/>
              <w:contextualSpacing/>
              <w:jc w:val="left"/>
              <w:rPr>
                <w:sz w:val="20"/>
                <w:szCs w:val="18"/>
              </w:rPr>
            </w:pPr>
            <w:r w:rsidRPr="00E1570F">
              <w:rPr>
                <w:sz w:val="20"/>
                <w:szCs w:val="18"/>
              </w:rPr>
              <w:t>Nº de solicitudes aceptadas y rechazadas por grupo y sexo.</w:t>
            </w:r>
          </w:p>
          <w:p w14:paraId="453BCEF8" w14:textId="77777777" w:rsidR="00E1570F" w:rsidRPr="00E1570F" w:rsidRDefault="00E1570F" w:rsidP="00E1570F">
            <w:pPr>
              <w:spacing w:before="0" w:after="0"/>
              <w:jc w:val="left"/>
              <w:rPr>
                <w:sz w:val="20"/>
                <w:szCs w:val="20"/>
              </w:rPr>
            </w:pPr>
          </w:p>
        </w:tc>
      </w:tr>
      <w:tr w:rsidR="00E1570F" w:rsidRPr="00E1570F" w14:paraId="7CEE59B5" w14:textId="77777777" w:rsidTr="000F4CC1">
        <w:trPr>
          <w:trHeight w:val="55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D349EDF" w14:textId="77777777" w:rsidR="00E1570F" w:rsidRPr="00E1570F" w:rsidRDefault="00E1570F" w:rsidP="00E1570F">
            <w:pPr>
              <w:spacing w:before="0" w:after="0"/>
              <w:ind w:left="22"/>
              <w:jc w:val="left"/>
              <w:rPr>
                <w:sz w:val="20"/>
                <w:szCs w:val="20"/>
              </w:rPr>
            </w:pPr>
            <w:r w:rsidRPr="00E1570F">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06BF88C3" w14:textId="77777777" w:rsidR="00E1570F" w:rsidRPr="00E1570F" w:rsidRDefault="00E1570F" w:rsidP="002F7442">
            <w:pPr>
              <w:spacing w:before="0" w:after="0"/>
              <w:ind w:left="152"/>
              <w:jc w:val="left"/>
              <w:rPr>
                <w:sz w:val="20"/>
                <w:szCs w:val="20"/>
              </w:rPr>
            </w:pPr>
            <w:r w:rsidRPr="00E1570F">
              <w:rPr>
                <w:sz w:val="20"/>
                <w:szCs w:val="20"/>
              </w:rPr>
              <w:t>Año 1 desde el inicio del Plan de Igualdad</w:t>
            </w:r>
          </w:p>
        </w:tc>
      </w:tr>
      <w:tr w:rsidR="00E1570F" w:rsidRPr="00E1570F" w14:paraId="627155BF" w14:textId="77777777" w:rsidTr="00EA35D6">
        <w:trPr>
          <w:trHeight w:val="728"/>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5EF46FC9" w14:textId="77777777" w:rsidR="00E1570F" w:rsidRPr="00E1570F" w:rsidRDefault="00E1570F" w:rsidP="00EA35D6">
            <w:pPr>
              <w:spacing w:before="0" w:after="0"/>
              <w:jc w:val="left"/>
              <w:rPr>
                <w:b/>
                <w:bCs/>
                <w:sz w:val="20"/>
                <w:szCs w:val="20"/>
              </w:rPr>
            </w:pPr>
            <w:r w:rsidRPr="00E1570F">
              <w:rPr>
                <w:b/>
                <w:bCs/>
                <w:sz w:val="18"/>
                <w:szCs w:val="18"/>
              </w:rPr>
              <w:t>Observaciones</w:t>
            </w:r>
          </w:p>
        </w:tc>
      </w:tr>
    </w:tbl>
    <w:p w14:paraId="2F963674" w14:textId="2084AAFF" w:rsidR="00A9202D" w:rsidRDefault="00E1570F" w:rsidP="005121F6">
      <w:pPr>
        <w:rPr>
          <w:lang w:val="es-ES_tradnl"/>
        </w:rPr>
      </w:pPr>
      <w:r w:rsidRPr="00E1570F">
        <w:br w:type="page"/>
      </w:r>
    </w:p>
    <w:p w14:paraId="2B154BAF" w14:textId="23F4F118" w:rsidR="005121F6" w:rsidRDefault="009A2F04" w:rsidP="00024B4E">
      <w:pPr>
        <w:pStyle w:val="Ttulo2"/>
      </w:pPr>
      <w:bookmarkStart w:id="40" w:name="_Toc122080803"/>
      <w:r w:rsidRPr="009A2F04">
        <w:rPr>
          <w:lang w:val="es-ES"/>
        </w:rPr>
        <w:t xml:space="preserve">Ámbito </w:t>
      </w:r>
      <w:r w:rsidR="005121F6">
        <w:t xml:space="preserve">5. </w:t>
      </w:r>
      <w:r w:rsidR="005121F6" w:rsidRPr="005121F6">
        <w:t>Retribuciones</w:t>
      </w:r>
      <w:bookmarkEnd w:id="40"/>
    </w:p>
    <w:p w14:paraId="4EB6563A" w14:textId="73EDE7EA" w:rsidR="00BB23D0" w:rsidRDefault="00BB23D0" w:rsidP="00BB23D0">
      <w:pPr>
        <w:rPr>
          <w:lang w:val="es-ES_tradnl"/>
        </w:rPr>
      </w:pPr>
      <w:r w:rsidRPr="00EA35D6">
        <w:rPr>
          <w:b/>
          <w:bCs/>
          <w:lang w:val="es-ES_tradnl"/>
        </w:rPr>
        <w:t>Este ámbito persigue una sola finalidad, de gran alcance, y es reducir las desviaciones retributivas</w:t>
      </w:r>
      <w:r>
        <w:rPr>
          <w:lang w:val="es-ES_tradnl"/>
        </w:rPr>
        <w:t xml:space="preserve"> entre mujeres y hombres. Para ello se </w:t>
      </w:r>
      <w:r w:rsidR="00CF7805">
        <w:rPr>
          <w:lang w:val="es-ES_tradnl"/>
        </w:rPr>
        <w:t xml:space="preserve">prevén implementar </w:t>
      </w:r>
      <w:r w:rsidR="00475105">
        <w:rPr>
          <w:lang w:val="es-ES_tradnl"/>
        </w:rPr>
        <w:t>3</w:t>
      </w:r>
      <w:r w:rsidR="00CF7805">
        <w:rPr>
          <w:lang w:val="es-ES_tradnl"/>
        </w:rPr>
        <w:t xml:space="preserve"> medidas sucesivas:</w:t>
      </w:r>
    </w:p>
    <w:p w14:paraId="220B4926" w14:textId="77777777" w:rsidR="00CF7805" w:rsidRPr="00BB23D0" w:rsidRDefault="00CF7805" w:rsidP="00BB23D0">
      <w:pPr>
        <w:rPr>
          <w:lang w:val="es-ES_tradnl"/>
        </w:rPr>
      </w:pPr>
    </w:p>
    <w:tbl>
      <w:tblPr>
        <w:tblStyle w:val="Tablaconcuadrcula"/>
        <w:tblW w:w="0" w:type="auto"/>
        <w:tblLook w:val="04A0" w:firstRow="1" w:lastRow="0" w:firstColumn="1" w:lastColumn="0" w:noHBand="0" w:noVBand="1"/>
      </w:tblPr>
      <w:tblGrid>
        <w:gridCol w:w="1101"/>
        <w:gridCol w:w="7543"/>
      </w:tblGrid>
      <w:tr w:rsidR="00CF7805" w14:paraId="7139BFEA" w14:textId="77777777" w:rsidTr="00F612DC">
        <w:tc>
          <w:tcPr>
            <w:tcW w:w="8644" w:type="dxa"/>
            <w:gridSpan w:val="2"/>
            <w:tcBorders>
              <w:top w:val="single" w:sz="4" w:space="0" w:color="78BE20"/>
              <w:left w:val="single" w:sz="4" w:space="0" w:color="78BE20"/>
              <w:bottom w:val="single" w:sz="4" w:space="0" w:color="FFFFFF"/>
              <w:right w:val="single" w:sz="4" w:space="0" w:color="78BE20"/>
            </w:tcBorders>
            <w:vAlign w:val="center"/>
          </w:tcPr>
          <w:p w14:paraId="0835D056" w14:textId="77777777" w:rsidR="0064207C" w:rsidRDefault="0064207C" w:rsidP="000F4CC1">
            <w:pPr>
              <w:spacing w:before="0" w:after="0" w:line="259" w:lineRule="auto"/>
              <w:rPr>
                <w:b/>
                <w:bCs/>
                <w:color w:val="78BE20"/>
                <w:sz w:val="20"/>
                <w:szCs w:val="20"/>
              </w:rPr>
            </w:pPr>
          </w:p>
          <w:p w14:paraId="123A36F7" w14:textId="2F0905F2" w:rsidR="00CF7805" w:rsidRDefault="00CF7805" w:rsidP="000F4CC1">
            <w:pPr>
              <w:spacing w:before="0" w:after="0" w:line="259" w:lineRule="auto"/>
              <w:rPr>
                <w:sz w:val="20"/>
                <w:szCs w:val="20"/>
              </w:rPr>
            </w:pPr>
            <w:r w:rsidRPr="000A25DD">
              <w:rPr>
                <w:b/>
                <w:bCs/>
                <w:color w:val="78BE20"/>
                <w:sz w:val="20"/>
                <w:szCs w:val="20"/>
              </w:rPr>
              <w:t>OBJETIVO.</w:t>
            </w:r>
            <w:r>
              <w:rPr>
                <w:sz w:val="20"/>
                <w:szCs w:val="20"/>
              </w:rPr>
              <w:t xml:space="preserve"> </w:t>
            </w:r>
            <w:r w:rsidRPr="00CF7805">
              <w:rPr>
                <w:b/>
                <w:bCs/>
                <w:sz w:val="20"/>
                <w:szCs w:val="20"/>
              </w:rPr>
              <w:t>Contribuir a reducir las diferencias retributivas entre mujeres y hombres en la Administración General de La Rioj</w:t>
            </w:r>
            <w:r>
              <w:rPr>
                <w:b/>
                <w:bCs/>
                <w:sz w:val="20"/>
                <w:szCs w:val="20"/>
              </w:rPr>
              <w:t>a.</w:t>
            </w:r>
          </w:p>
          <w:p w14:paraId="5E5B5787" w14:textId="77777777" w:rsidR="00CF7805" w:rsidRDefault="00CF7805" w:rsidP="000F4CC1">
            <w:pPr>
              <w:spacing w:before="0" w:after="0" w:line="259" w:lineRule="auto"/>
            </w:pPr>
          </w:p>
        </w:tc>
      </w:tr>
      <w:tr w:rsidR="00CF7805" w14:paraId="6EC74667" w14:textId="77777777" w:rsidTr="001F7269">
        <w:trPr>
          <w:trHeight w:val="1191"/>
        </w:trPr>
        <w:tc>
          <w:tcPr>
            <w:tcW w:w="1101" w:type="dxa"/>
            <w:tcBorders>
              <w:top w:val="single" w:sz="4" w:space="0" w:color="FFFFFF"/>
              <w:left w:val="single" w:sz="4" w:space="0" w:color="78BE20"/>
              <w:bottom w:val="single" w:sz="4" w:space="0" w:color="FFFFFF"/>
              <w:right w:val="single" w:sz="4" w:space="0" w:color="FFFFFF"/>
            </w:tcBorders>
            <w:shd w:val="clear" w:color="auto" w:fill="78BE20"/>
            <w:vAlign w:val="center"/>
          </w:tcPr>
          <w:p w14:paraId="4F846719" w14:textId="7A0067EB" w:rsidR="00CF7805" w:rsidRPr="00F51A0B" w:rsidRDefault="002F7442" w:rsidP="002F7442">
            <w:pPr>
              <w:spacing w:before="0" w:after="0" w:line="259" w:lineRule="auto"/>
              <w:jc w:val="right"/>
              <w:rPr>
                <w:b/>
                <w:bCs/>
                <w:color w:val="FFFFFF" w:themeColor="background1"/>
                <w:sz w:val="32"/>
                <w:szCs w:val="32"/>
              </w:rPr>
            </w:pPr>
            <w:r w:rsidRPr="002F7442">
              <w:rPr>
                <w:b/>
                <w:bCs/>
                <w:color w:val="FFFFFF" w:themeColor="background1"/>
                <w:sz w:val="20"/>
                <w:szCs w:val="20"/>
              </w:rPr>
              <w:t xml:space="preserve">Medida </w:t>
            </w:r>
            <w:r w:rsidR="00F51A0B">
              <w:rPr>
                <w:b/>
                <w:bCs/>
                <w:color w:val="FFFFFF" w:themeColor="background1"/>
                <w:sz w:val="32"/>
                <w:szCs w:val="32"/>
              </w:rPr>
              <w:t>24</w:t>
            </w:r>
            <w:r w:rsidR="00CF7805" w:rsidRPr="00F51A0B">
              <w:rPr>
                <w:b/>
                <w:bCs/>
                <w:color w:val="FFFFFF" w:themeColor="background1"/>
                <w:sz w:val="32"/>
                <w:szCs w:val="32"/>
              </w:rPr>
              <w:t xml:space="preserve"> </w:t>
            </w:r>
          </w:p>
        </w:tc>
        <w:tc>
          <w:tcPr>
            <w:tcW w:w="7543" w:type="dxa"/>
            <w:tcBorders>
              <w:top w:val="single" w:sz="4" w:space="0" w:color="FFFFFF"/>
              <w:left w:val="single" w:sz="4" w:space="0" w:color="FFFFFF"/>
              <w:bottom w:val="single" w:sz="4" w:space="0" w:color="78BE20"/>
              <w:right w:val="single" w:sz="4" w:space="0" w:color="78BE20"/>
            </w:tcBorders>
            <w:vAlign w:val="center"/>
          </w:tcPr>
          <w:p w14:paraId="257403EC" w14:textId="671BB324" w:rsidR="00CF7805" w:rsidRPr="00F51A0B" w:rsidRDefault="00F51A0B" w:rsidP="000F4CC1">
            <w:pPr>
              <w:spacing w:before="0" w:after="0" w:line="259" w:lineRule="auto"/>
            </w:pPr>
            <w:r w:rsidRPr="00F51A0B">
              <w:rPr>
                <w:sz w:val="20"/>
                <w:szCs w:val="20"/>
              </w:rPr>
              <w:t>Adaptar el sistema de agrupación y valoración de puestos de trabajo según lo dispuesto en el Real Decreto 902/2020, de 13 de octubre, de igualdad retributiva entre mujeres y hombres.</w:t>
            </w:r>
          </w:p>
        </w:tc>
      </w:tr>
      <w:tr w:rsidR="00CF7805" w14:paraId="191D1351" w14:textId="77777777" w:rsidTr="001F7269">
        <w:trPr>
          <w:trHeight w:val="1191"/>
        </w:trPr>
        <w:tc>
          <w:tcPr>
            <w:tcW w:w="1101" w:type="dxa"/>
            <w:tcBorders>
              <w:top w:val="single" w:sz="4" w:space="0" w:color="FFFFFF"/>
              <w:left w:val="single" w:sz="4" w:space="0" w:color="78BE20"/>
              <w:bottom w:val="single" w:sz="4" w:space="0" w:color="FFFFFF"/>
              <w:right w:val="single" w:sz="4" w:space="0" w:color="FFFFFF"/>
            </w:tcBorders>
            <w:shd w:val="clear" w:color="auto" w:fill="78BE20"/>
            <w:vAlign w:val="center"/>
          </w:tcPr>
          <w:p w14:paraId="0D244EDD" w14:textId="7C9FA8FA" w:rsidR="00CF7805" w:rsidRPr="00F51A0B" w:rsidRDefault="002F7442" w:rsidP="002F7442">
            <w:pPr>
              <w:spacing w:before="0" w:after="0" w:line="259" w:lineRule="auto"/>
              <w:jc w:val="right"/>
              <w:rPr>
                <w:b/>
                <w:bCs/>
                <w:color w:val="FFFFFF" w:themeColor="background1"/>
                <w:sz w:val="32"/>
                <w:szCs w:val="32"/>
              </w:rPr>
            </w:pPr>
            <w:r w:rsidRPr="002F7442">
              <w:rPr>
                <w:b/>
                <w:bCs/>
                <w:color w:val="FFFFFF" w:themeColor="background1"/>
                <w:sz w:val="20"/>
                <w:szCs w:val="20"/>
              </w:rPr>
              <w:t xml:space="preserve">Medida </w:t>
            </w:r>
            <w:r w:rsidR="00F51A0B">
              <w:rPr>
                <w:b/>
                <w:bCs/>
                <w:color w:val="FFFFFF" w:themeColor="background1"/>
                <w:sz w:val="32"/>
                <w:szCs w:val="32"/>
              </w:rPr>
              <w:t>25</w:t>
            </w:r>
            <w:r w:rsidR="00CF7805" w:rsidRPr="00F51A0B">
              <w:rPr>
                <w:b/>
                <w:bCs/>
                <w:color w:val="FFFFFF" w:themeColor="background1"/>
                <w:sz w:val="32"/>
                <w:szCs w:val="32"/>
              </w:rPr>
              <w:t xml:space="preserve"> </w:t>
            </w:r>
          </w:p>
        </w:tc>
        <w:tc>
          <w:tcPr>
            <w:tcW w:w="7543" w:type="dxa"/>
            <w:tcBorders>
              <w:top w:val="single" w:sz="4" w:space="0" w:color="78BE20"/>
              <w:left w:val="single" w:sz="4" w:space="0" w:color="FFFFFF"/>
              <w:bottom w:val="single" w:sz="4" w:space="0" w:color="78BE20"/>
              <w:right w:val="single" w:sz="4" w:space="0" w:color="78BE20"/>
            </w:tcBorders>
            <w:vAlign w:val="center"/>
          </w:tcPr>
          <w:p w14:paraId="44F22909" w14:textId="3BF4959E" w:rsidR="00CF7805" w:rsidRPr="00F51A0B" w:rsidRDefault="00F51A0B" w:rsidP="00CF7805">
            <w:pPr>
              <w:spacing w:before="0" w:after="0" w:line="259" w:lineRule="auto"/>
              <w:rPr>
                <w:sz w:val="20"/>
                <w:szCs w:val="20"/>
              </w:rPr>
            </w:pPr>
            <w:r w:rsidRPr="00F51A0B">
              <w:rPr>
                <w:sz w:val="20"/>
                <w:szCs w:val="20"/>
              </w:rPr>
              <w:t>Aplicar la metodología de la Auditoría retributiva descrita en el Real Decreto 902/2020, de 13 de octubre, al personal funcionario, de manera que se pueda indagar en el alcance de las desviaciones salariales con la misma exhaustividad que en el Personal Laboral.</w:t>
            </w:r>
          </w:p>
        </w:tc>
      </w:tr>
      <w:tr w:rsidR="00CF7805" w14:paraId="60771CEA" w14:textId="77777777" w:rsidTr="001F7269">
        <w:trPr>
          <w:trHeight w:val="1191"/>
        </w:trPr>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6A94872B" w14:textId="14227822" w:rsidR="00CF7805" w:rsidRPr="00F51A0B" w:rsidRDefault="002F7442" w:rsidP="002F7442">
            <w:pPr>
              <w:spacing w:before="0" w:after="0" w:line="259" w:lineRule="auto"/>
              <w:jc w:val="right"/>
              <w:rPr>
                <w:b/>
                <w:bCs/>
                <w:color w:val="FFFFFF" w:themeColor="background1"/>
                <w:sz w:val="32"/>
                <w:szCs w:val="32"/>
              </w:rPr>
            </w:pPr>
            <w:r w:rsidRPr="002F7442">
              <w:rPr>
                <w:b/>
                <w:bCs/>
                <w:color w:val="FFFFFF" w:themeColor="background1"/>
                <w:sz w:val="20"/>
                <w:szCs w:val="20"/>
              </w:rPr>
              <w:t xml:space="preserve">Medida </w:t>
            </w:r>
            <w:r w:rsidR="00F51A0B">
              <w:rPr>
                <w:b/>
                <w:bCs/>
                <w:color w:val="FFFFFF" w:themeColor="background1"/>
                <w:sz w:val="32"/>
                <w:szCs w:val="32"/>
              </w:rPr>
              <w:t>26</w:t>
            </w:r>
            <w:r w:rsidR="00CF7805" w:rsidRPr="00F51A0B">
              <w:rPr>
                <w:b/>
                <w:bCs/>
                <w:color w:val="FFFFFF" w:themeColor="background1"/>
                <w:sz w:val="32"/>
                <w:szCs w:val="32"/>
              </w:rPr>
              <w:t xml:space="preserve"> </w:t>
            </w:r>
          </w:p>
        </w:tc>
        <w:tc>
          <w:tcPr>
            <w:tcW w:w="7543" w:type="dxa"/>
            <w:tcBorders>
              <w:top w:val="single" w:sz="4" w:space="0" w:color="78BE20"/>
              <w:left w:val="single" w:sz="4" w:space="0" w:color="FFFFFF"/>
              <w:bottom w:val="single" w:sz="4" w:space="0" w:color="78BE20"/>
              <w:right w:val="single" w:sz="4" w:space="0" w:color="78BE20"/>
            </w:tcBorders>
            <w:vAlign w:val="center"/>
          </w:tcPr>
          <w:p w14:paraId="5F1269F1" w14:textId="07253E15" w:rsidR="00CF7805" w:rsidRPr="00F51A0B" w:rsidRDefault="00F51A0B" w:rsidP="00CF7805">
            <w:pPr>
              <w:spacing w:before="0" w:after="0" w:line="259" w:lineRule="auto"/>
              <w:rPr>
                <w:sz w:val="20"/>
                <w:szCs w:val="20"/>
              </w:rPr>
            </w:pPr>
            <w:r w:rsidRPr="00F51A0B">
              <w:rPr>
                <w:sz w:val="20"/>
                <w:szCs w:val="20"/>
              </w:rPr>
              <w:t>Ampliar al personal funcionario las obligaciones relativas al Registro retributivo anual del personal laboral según lo descrito en el Real Decreto 902/2020, de 13 de octubre, y mediante la utilización de la Herramienta oficial diseñada en el marco de la Negociación Colectiva.</w:t>
            </w:r>
          </w:p>
        </w:tc>
      </w:tr>
    </w:tbl>
    <w:p w14:paraId="4212E4E7" w14:textId="77777777" w:rsidR="005121F6" w:rsidRPr="005121F6" w:rsidRDefault="005121F6" w:rsidP="005121F6"/>
    <w:p w14:paraId="283D26B9" w14:textId="77777777" w:rsidR="00AD5F58" w:rsidRDefault="00AD5F58">
      <w:pPr>
        <w:spacing w:before="0" w:after="160" w:line="259" w:lineRule="auto"/>
        <w:jc w:val="left"/>
      </w:pPr>
      <w:r>
        <w:br w:type="page"/>
      </w:r>
    </w:p>
    <w:p w14:paraId="1875105B" w14:textId="77777777" w:rsidR="00AD5F58" w:rsidRPr="00AD5F58" w:rsidRDefault="00AD5F58" w:rsidP="00AD5F58">
      <w:pPr>
        <w:spacing w:before="0" w:after="160"/>
      </w:pPr>
      <w:r w:rsidRPr="00AD5F58">
        <w:rPr>
          <w:rFonts w:eastAsiaTheme="majorEastAsia" w:cstheme="majorBidi"/>
          <w:b/>
          <w:bCs/>
          <w:iCs/>
          <w:snapToGrid w:val="0"/>
          <w:color w:val="78BE20"/>
          <w:sz w:val="24"/>
          <w:szCs w:val="24"/>
        </w:rPr>
        <w:t xml:space="preserve">OBJETIVO. </w:t>
      </w:r>
      <w:bookmarkStart w:id="41" w:name="_Hlk120539931"/>
      <w:r w:rsidRPr="00AD5F58">
        <w:rPr>
          <w:b/>
          <w:bCs/>
        </w:rPr>
        <w:t>Contribuir a reducir las diferencias retributivas entre mujeres y hombres en la Administración General de La Rioja.</w:t>
      </w:r>
      <w:bookmarkEnd w:id="41"/>
    </w:p>
    <w:p w14:paraId="5E012C4D" w14:textId="4779B38C" w:rsidR="00AD5F58" w:rsidRPr="00AD5F58" w:rsidRDefault="00AD5F58" w:rsidP="00AD5F58">
      <w:pPr>
        <w:pStyle w:val="Ttulo3"/>
      </w:pPr>
      <w:r>
        <w:t>Medida</w:t>
      </w:r>
      <w:r w:rsidRPr="00AD5F58">
        <w:t xml:space="preserve"> 24 </w:t>
      </w:r>
    </w:p>
    <w:tbl>
      <w:tblPr>
        <w:tblStyle w:val="Tablaconcuadrcula"/>
        <w:tblW w:w="0" w:type="auto"/>
        <w:tblLook w:val="04A0" w:firstRow="1" w:lastRow="0" w:firstColumn="1" w:lastColumn="0" w:noHBand="0" w:noVBand="1"/>
      </w:tblPr>
      <w:tblGrid>
        <w:gridCol w:w="2402"/>
        <w:gridCol w:w="6072"/>
      </w:tblGrid>
      <w:tr w:rsidR="00AD5F58" w:rsidRPr="00AD5F58" w14:paraId="1693CD06" w14:textId="77777777" w:rsidTr="000F4CC1">
        <w:trPr>
          <w:trHeight w:val="1347"/>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6E0D7D7B" w14:textId="77777777" w:rsidR="00AD5F58" w:rsidRPr="00AD5F58" w:rsidRDefault="00AD5F58" w:rsidP="00AD5F58">
            <w:pPr>
              <w:spacing w:before="0" w:after="0"/>
              <w:ind w:left="22"/>
              <w:jc w:val="left"/>
            </w:pPr>
            <w:r w:rsidRPr="00AD5F58">
              <w:rPr>
                <w:b/>
                <w:bCs/>
                <w:color w:val="FFFFFF" w:themeColor="background1"/>
              </w:rPr>
              <w:t>Adaptar el sistema de agrupación y valoración de puestos de trabajo según lo dispuesto en el Real Decreto 902/2020, de 13 de octubre, de igualdad retributiva entre mujeres y hombres.</w:t>
            </w:r>
          </w:p>
        </w:tc>
      </w:tr>
      <w:tr w:rsidR="00AD5F58" w:rsidRPr="00AD5F58" w14:paraId="5A26316A" w14:textId="77777777" w:rsidTr="000F4CC1">
        <w:trPr>
          <w:trHeight w:val="530"/>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3F2D240A" w14:textId="77777777" w:rsidR="00AD5F58" w:rsidRPr="00AD5F58" w:rsidRDefault="00AD5F58" w:rsidP="00AD5F58">
            <w:pPr>
              <w:spacing w:before="0" w:after="0"/>
              <w:ind w:left="22"/>
              <w:jc w:val="left"/>
              <w:rPr>
                <w:sz w:val="20"/>
                <w:szCs w:val="20"/>
              </w:rPr>
            </w:pPr>
            <w:r w:rsidRPr="00AD5F58">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41CC6AB3" w14:textId="77777777" w:rsidR="00AD5F58" w:rsidRPr="00AD5F58" w:rsidRDefault="00AD5F58" w:rsidP="002F7442">
            <w:pPr>
              <w:spacing w:before="0" w:after="0"/>
              <w:ind w:left="152" w:right="158"/>
              <w:rPr>
                <w:sz w:val="20"/>
                <w:szCs w:val="20"/>
              </w:rPr>
            </w:pPr>
            <w:r w:rsidRPr="00AD5F58">
              <w:rPr>
                <w:sz w:val="20"/>
                <w:szCs w:val="20"/>
              </w:rPr>
              <w:t>Personal de la Administración General</w:t>
            </w:r>
          </w:p>
        </w:tc>
      </w:tr>
      <w:tr w:rsidR="00AD5F58" w:rsidRPr="00AD5F58" w14:paraId="66A63CD4" w14:textId="77777777" w:rsidTr="000F4CC1">
        <w:trPr>
          <w:trHeight w:val="843"/>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64287ED" w14:textId="77777777" w:rsidR="00AD5F58" w:rsidRPr="00AD5F58" w:rsidRDefault="00AD5F58" w:rsidP="00AD5F58">
            <w:pPr>
              <w:spacing w:before="0" w:after="0"/>
              <w:ind w:left="22"/>
              <w:jc w:val="left"/>
              <w:rPr>
                <w:sz w:val="20"/>
                <w:szCs w:val="20"/>
              </w:rPr>
            </w:pPr>
            <w:r w:rsidRPr="00AD5F58">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41654F76" w14:textId="77777777" w:rsidR="00AD5F58" w:rsidRPr="00AD5F58" w:rsidRDefault="00AD5F58" w:rsidP="002F7442">
            <w:pPr>
              <w:tabs>
                <w:tab w:val="left" w:pos="5698"/>
              </w:tabs>
              <w:spacing w:before="0" w:after="0" w:line="259" w:lineRule="auto"/>
              <w:ind w:left="152" w:right="12"/>
              <w:contextualSpacing/>
              <w:jc w:val="left"/>
              <w:rPr>
                <w:sz w:val="20"/>
                <w:szCs w:val="18"/>
              </w:rPr>
            </w:pPr>
            <w:r w:rsidRPr="00AD5F58">
              <w:rPr>
                <w:sz w:val="20"/>
                <w:szCs w:val="18"/>
              </w:rPr>
              <w:t>Planificación metodológica del proceso dependiente del alcance del enfoque participativo que se requiera implementar</w:t>
            </w:r>
          </w:p>
        </w:tc>
      </w:tr>
      <w:tr w:rsidR="00AD5F58" w:rsidRPr="00AD5F58" w14:paraId="39D22F50" w14:textId="77777777" w:rsidTr="000F4CC1">
        <w:trPr>
          <w:trHeight w:val="155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2787E7D" w14:textId="77777777" w:rsidR="00AD5F58" w:rsidRPr="00AD5F58" w:rsidRDefault="00AD5F58" w:rsidP="00AD5F58">
            <w:pPr>
              <w:spacing w:before="0" w:after="0"/>
              <w:ind w:left="22"/>
              <w:jc w:val="left"/>
              <w:rPr>
                <w:sz w:val="20"/>
                <w:szCs w:val="20"/>
              </w:rPr>
            </w:pPr>
            <w:r w:rsidRPr="00AD5F58">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33994359"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Normativa vigente</w:t>
            </w:r>
          </w:p>
          <w:p w14:paraId="19B9812E"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Literatura especializada</w:t>
            </w:r>
          </w:p>
          <w:p w14:paraId="7C9D7F00"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Buenas prácticas en análisis y descripción de puestos del personal público</w:t>
            </w:r>
          </w:p>
          <w:p w14:paraId="411E132B"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RPT</w:t>
            </w:r>
          </w:p>
        </w:tc>
      </w:tr>
      <w:tr w:rsidR="00AD5F58" w:rsidRPr="00AD5F58" w14:paraId="23705A2E" w14:textId="77777777" w:rsidTr="000F4CC1">
        <w:trPr>
          <w:trHeight w:val="964"/>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4F6DEFF8" w14:textId="77777777" w:rsidR="00AD5F58" w:rsidRPr="00AD5F58" w:rsidRDefault="00AD5F58" w:rsidP="00AD5F58">
            <w:pPr>
              <w:spacing w:before="0" w:after="0"/>
              <w:ind w:left="22"/>
              <w:jc w:val="left"/>
              <w:rPr>
                <w:sz w:val="20"/>
                <w:szCs w:val="20"/>
              </w:rPr>
            </w:pPr>
            <w:r w:rsidRPr="00AD5F58">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479BEA1D"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 xml:space="preserve">Órgano con competencias en materia de Función Pública </w:t>
            </w:r>
          </w:p>
          <w:p w14:paraId="43713F64"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Órgano con competencias en materia de Igualdad</w:t>
            </w:r>
          </w:p>
          <w:p w14:paraId="6A99A589"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 xml:space="preserve">Representación Legal de las personas trabajadoras </w:t>
            </w:r>
          </w:p>
        </w:tc>
      </w:tr>
      <w:tr w:rsidR="00AD5F58" w:rsidRPr="00AD5F58" w14:paraId="7B6364F9" w14:textId="77777777" w:rsidTr="000F4CC1">
        <w:trPr>
          <w:trHeight w:val="1263"/>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8404F49" w14:textId="77777777" w:rsidR="00AD5F58" w:rsidRPr="00AD5F58" w:rsidRDefault="00AD5F58" w:rsidP="00AD5F58">
            <w:pPr>
              <w:spacing w:before="0" w:after="0"/>
              <w:ind w:left="22"/>
              <w:jc w:val="left"/>
              <w:rPr>
                <w:sz w:val="20"/>
                <w:szCs w:val="20"/>
              </w:rPr>
            </w:pPr>
            <w:r w:rsidRPr="00AD5F58">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462E5C51"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Análisis y descripción de puestos realizada incorporando la perspectiva de género/RPT revisada</w:t>
            </w:r>
          </w:p>
          <w:p w14:paraId="7B985D20"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Nº de puestos tipo descritos</w:t>
            </w:r>
          </w:p>
          <w:p w14:paraId="1F397C54"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 xml:space="preserve">Acuerdo Convenio actualizado </w:t>
            </w:r>
          </w:p>
        </w:tc>
      </w:tr>
      <w:tr w:rsidR="00AD5F58" w:rsidRPr="00AD5F58" w14:paraId="364AC1DB" w14:textId="77777777" w:rsidTr="000F4CC1">
        <w:trPr>
          <w:trHeight w:val="493"/>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F25A915" w14:textId="77777777" w:rsidR="00AD5F58" w:rsidRPr="00AD5F58" w:rsidRDefault="00AD5F58" w:rsidP="00AD5F58">
            <w:pPr>
              <w:spacing w:before="0" w:after="0"/>
              <w:ind w:left="22"/>
              <w:jc w:val="left"/>
              <w:rPr>
                <w:sz w:val="20"/>
                <w:szCs w:val="20"/>
              </w:rPr>
            </w:pPr>
            <w:r w:rsidRPr="00AD5F58">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52D45196" w14:textId="77777777" w:rsidR="00AD5F58" w:rsidRPr="00AD5F58" w:rsidRDefault="00AD5F58" w:rsidP="002F7442">
            <w:pPr>
              <w:spacing w:before="0" w:after="0"/>
              <w:ind w:left="152"/>
              <w:jc w:val="left"/>
              <w:rPr>
                <w:sz w:val="20"/>
                <w:szCs w:val="20"/>
              </w:rPr>
            </w:pPr>
            <w:r w:rsidRPr="00AD5F58">
              <w:rPr>
                <w:sz w:val="20"/>
                <w:szCs w:val="20"/>
              </w:rPr>
              <w:t>Año 3 desde el inicio del Plan de Igualdad</w:t>
            </w:r>
          </w:p>
        </w:tc>
      </w:tr>
      <w:tr w:rsidR="00AD5F58" w:rsidRPr="00AD5F58" w14:paraId="02AB3BAE" w14:textId="77777777" w:rsidTr="00EA35D6">
        <w:trPr>
          <w:trHeight w:val="1615"/>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6CFBCAA5" w14:textId="77777777" w:rsidR="00AD5F58" w:rsidRPr="00AD5F58" w:rsidRDefault="00AD5F58" w:rsidP="00EA35D6">
            <w:pPr>
              <w:spacing w:before="0" w:after="0"/>
              <w:jc w:val="left"/>
              <w:rPr>
                <w:b/>
                <w:bCs/>
                <w:sz w:val="18"/>
                <w:szCs w:val="18"/>
              </w:rPr>
            </w:pPr>
            <w:r w:rsidRPr="00AD5F58">
              <w:rPr>
                <w:b/>
                <w:bCs/>
                <w:sz w:val="18"/>
                <w:szCs w:val="18"/>
              </w:rPr>
              <w:t>Observaciones</w:t>
            </w:r>
          </w:p>
          <w:p w14:paraId="1299FEDA" w14:textId="77777777" w:rsidR="00AD5F58" w:rsidRPr="00AD5F58" w:rsidRDefault="00AD5F58" w:rsidP="00EA35D6">
            <w:pPr>
              <w:spacing w:before="0" w:after="0"/>
              <w:jc w:val="left"/>
              <w:rPr>
                <w:b/>
                <w:bCs/>
                <w:sz w:val="18"/>
                <w:szCs w:val="18"/>
              </w:rPr>
            </w:pPr>
          </w:p>
          <w:p w14:paraId="38D29BAE" w14:textId="77777777" w:rsidR="00AD5F58" w:rsidRPr="00AD5F58" w:rsidRDefault="00AD5F58" w:rsidP="00EA35D6">
            <w:pPr>
              <w:spacing w:before="0" w:after="0"/>
              <w:jc w:val="left"/>
              <w:rPr>
                <w:b/>
                <w:bCs/>
                <w:sz w:val="20"/>
                <w:szCs w:val="20"/>
              </w:rPr>
            </w:pPr>
            <w:r w:rsidRPr="00AD5F58">
              <w:rPr>
                <w:sz w:val="18"/>
                <w:szCs w:val="18"/>
              </w:rPr>
              <w:t xml:space="preserve">Esta medida dependerá de las actualizaciones realizadas en el Acuerdo Convenio en el marco de la Negociación Colectiva o, en su defecto, quedará sometida a las directrices de una norma de rango superior.   </w:t>
            </w:r>
          </w:p>
        </w:tc>
      </w:tr>
    </w:tbl>
    <w:p w14:paraId="7E1D310A" w14:textId="77777777" w:rsidR="00AD5F58" w:rsidRPr="00AD5F58" w:rsidRDefault="00AD5F58" w:rsidP="00AD5F58">
      <w:pPr>
        <w:spacing w:before="0" w:after="160" w:line="259" w:lineRule="auto"/>
        <w:jc w:val="left"/>
      </w:pPr>
    </w:p>
    <w:p w14:paraId="40EF3AA1" w14:textId="77777777" w:rsidR="00AD5F58" w:rsidRPr="00AD5F58" w:rsidRDefault="00AD5F58" w:rsidP="00AD5F58">
      <w:pPr>
        <w:spacing w:before="0" w:after="160" w:line="259" w:lineRule="auto"/>
        <w:jc w:val="left"/>
        <w:rPr>
          <w:rFonts w:eastAsiaTheme="majorEastAsia" w:cstheme="majorBidi"/>
          <w:b/>
          <w:bCs/>
          <w:iCs/>
          <w:snapToGrid w:val="0"/>
          <w:color w:val="78BE20"/>
          <w:sz w:val="24"/>
          <w:szCs w:val="24"/>
        </w:rPr>
      </w:pPr>
      <w:r w:rsidRPr="00AD5F58">
        <w:rPr>
          <w:rFonts w:eastAsiaTheme="majorEastAsia" w:cstheme="majorBidi"/>
          <w:b/>
          <w:bCs/>
          <w:iCs/>
          <w:snapToGrid w:val="0"/>
          <w:color w:val="78BE20"/>
          <w:sz w:val="24"/>
          <w:szCs w:val="24"/>
        </w:rPr>
        <w:br w:type="page"/>
      </w:r>
    </w:p>
    <w:p w14:paraId="34A915EB" w14:textId="77777777" w:rsidR="00AD5F58" w:rsidRPr="00AD5F58" w:rsidRDefault="00AD5F58" w:rsidP="00AD5F58">
      <w:pPr>
        <w:spacing w:before="0" w:after="160"/>
      </w:pPr>
      <w:r w:rsidRPr="00AD5F58">
        <w:rPr>
          <w:rFonts w:eastAsiaTheme="majorEastAsia" w:cstheme="majorBidi"/>
          <w:b/>
          <w:bCs/>
          <w:iCs/>
          <w:snapToGrid w:val="0"/>
          <w:color w:val="78BE20"/>
          <w:sz w:val="24"/>
          <w:szCs w:val="24"/>
        </w:rPr>
        <w:t xml:space="preserve">OBJETIVO. </w:t>
      </w:r>
      <w:r w:rsidRPr="00AD5F58">
        <w:rPr>
          <w:b/>
          <w:bCs/>
        </w:rPr>
        <w:t>Contribuir a reducir las diferencias retributivas entre mujeres y hombres en la Administración General de La Rioja.</w:t>
      </w:r>
    </w:p>
    <w:p w14:paraId="55BAB3A2" w14:textId="33617C9B" w:rsidR="00AD5F58" w:rsidRPr="00AD5F58" w:rsidRDefault="00AD5F58" w:rsidP="00AD5F58">
      <w:pPr>
        <w:pStyle w:val="Ttulo3"/>
      </w:pPr>
      <w:r w:rsidRPr="00AD5F58">
        <w:t>Medida 25</w:t>
      </w:r>
    </w:p>
    <w:tbl>
      <w:tblPr>
        <w:tblStyle w:val="Tablaconcuadrcula"/>
        <w:tblW w:w="0" w:type="auto"/>
        <w:tblLook w:val="04A0" w:firstRow="1" w:lastRow="0" w:firstColumn="1" w:lastColumn="0" w:noHBand="0" w:noVBand="1"/>
      </w:tblPr>
      <w:tblGrid>
        <w:gridCol w:w="2402"/>
        <w:gridCol w:w="6072"/>
      </w:tblGrid>
      <w:tr w:rsidR="00AD5F58" w:rsidRPr="00AD5F58" w14:paraId="2E803332" w14:textId="77777777" w:rsidTr="000F4CC1">
        <w:trPr>
          <w:trHeight w:val="1347"/>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768A30D4" w14:textId="77777777" w:rsidR="00AD5F58" w:rsidRPr="00AD5F58" w:rsidRDefault="00AD5F58" w:rsidP="00AD5F58">
            <w:pPr>
              <w:spacing w:before="0" w:after="0"/>
              <w:ind w:left="22"/>
            </w:pPr>
            <w:r w:rsidRPr="00AD5F58">
              <w:rPr>
                <w:b/>
                <w:bCs/>
                <w:color w:val="FFFFFF" w:themeColor="background1"/>
              </w:rPr>
              <w:t>Aplicar la metodología de la Auditoría retributiva descrita en el Real Decreto 902/2020, de 13 de octubre, al personal funcionario, de manera que se pueda indagar en el alcance de las desviaciones salariales con la misma exhaustividad que en el Personal Laboral</w:t>
            </w:r>
          </w:p>
        </w:tc>
      </w:tr>
      <w:tr w:rsidR="00AD5F58" w:rsidRPr="00AD5F58" w14:paraId="0C5D9039" w14:textId="77777777" w:rsidTr="000F4CC1">
        <w:trPr>
          <w:trHeight w:val="674"/>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0738DA83" w14:textId="77777777" w:rsidR="00AD5F58" w:rsidRPr="00AD5F58" w:rsidRDefault="00AD5F58" w:rsidP="00AD5F58">
            <w:pPr>
              <w:spacing w:before="0" w:after="0"/>
              <w:ind w:left="22"/>
              <w:jc w:val="left"/>
              <w:rPr>
                <w:sz w:val="20"/>
                <w:szCs w:val="20"/>
              </w:rPr>
            </w:pPr>
            <w:r w:rsidRPr="00AD5F58">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2B2382CC" w14:textId="77777777" w:rsidR="00AD5F58" w:rsidRPr="00AD5F58" w:rsidRDefault="00AD5F58" w:rsidP="002F7442">
            <w:pPr>
              <w:spacing w:before="0" w:after="0"/>
              <w:ind w:left="152" w:right="158"/>
              <w:rPr>
                <w:sz w:val="20"/>
                <w:szCs w:val="20"/>
              </w:rPr>
            </w:pPr>
            <w:r w:rsidRPr="00AD5F58">
              <w:rPr>
                <w:sz w:val="20"/>
                <w:szCs w:val="20"/>
              </w:rPr>
              <w:t>Personal funcionario de la Administración General.</w:t>
            </w:r>
          </w:p>
        </w:tc>
      </w:tr>
      <w:tr w:rsidR="00AD5F58" w:rsidRPr="00AD5F58" w14:paraId="2733BB03" w14:textId="77777777" w:rsidTr="00FB3AE0">
        <w:trPr>
          <w:trHeight w:val="2022"/>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C729273" w14:textId="77777777" w:rsidR="00AD5F58" w:rsidRPr="00AD5F58" w:rsidRDefault="00AD5F58" w:rsidP="00AD5F58">
            <w:pPr>
              <w:spacing w:before="0" w:after="0"/>
              <w:ind w:left="22"/>
              <w:jc w:val="left"/>
              <w:rPr>
                <w:sz w:val="20"/>
                <w:szCs w:val="20"/>
              </w:rPr>
            </w:pPr>
            <w:r w:rsidRPr="00AD5F58">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2694B60"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 xml:space="preserve">Volcado de información retributiva en la Herramienta oficial </w:t>
            </w:r>
          </w:p>
          <w:p w14:paraId="2C7D769F"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Identificación de brechas salariales por las agrupaciones profesionales estipuladas en el Acuerdo de aplicación</w:t>
            </w:r>
          </w:p>
          <w:p w14:paraId="643C75F2"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Análisis de resultados e identificación de medidas de acción para la igualdad retributiva</w:t>
            </w:r>
          </w:p>
          <w:p w14:paraId="7E85A9FD"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Elaboración del Informe de Auditoría</w:t>
            </w:r>
          </w:p>
          <w:p w14:paraId="68D75062"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 xml:space="preserve">Envío a la representación legal de las personas trabajadoras </w:t>
            </w:r>
          </w:p>
        </w:tc>
      </w:tr>
      <w:tr w:rsidR="00AD5F58" w:rsidRPr="00AD5F58" w14:paraId="18BD89FD" w14:textId="77777777" w:rsidTr="00FB3AE0">
        <w:trPr>
          <w:trHeight w:val="1683"/>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69A1BCA" w14:textId="77777777" w:rsidR="00AD5F58" w:rsidRPr="00AD5F58" w:rsidRDefault="00AD5F58" w:rsidP="00AD5F58">
            <w:pPr>
              <w:spacing w:before="0" w:after="0"/>
              <w:ind w:left="22"/>
              <w:jc w:val="left"/>
              <w:rPr>
                <w:sz w:val="20"/>
                <w:szCs w:val="20"/>
              </w:rPr>
            </w:pPr>
            <w:r w:rsidRPr="00AD5F58">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128C29D"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Normativa vinculante</w:t>
            </w:r>
          </w:p>
          <w:p w14:paraId="73BEDDA5"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Acuerdo de aplicación</w:t>
            </w:r>
          </w:p>
          <w:p w14:paraId="7C49F042"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Datos retributivos del año natural anterior</w:t>
            </w:r>
          </w:p>
          <w:p w14:paraId="3B9314C7"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Sistema de valoración de puestos de trabajo facilitado en la Herramienta oficial</w:t>
            </w:r>
          </w:p>
          <w:p w14:paraId="1490F96D"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Literatura especializada</w:t>
            </w:r>
          </w:p>
        </w:tc>
      </w:tr>
      <w:tr w:rsidR="00AD5F58" w:rsidRPr="00AD5F58" w14:paraId="366E5A36" w14:textId="77777777" w:rsidTr="000F4CC1">
        <w:trPr>
          <w:trHeight w:val="552"/>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3A637C03" w14:textId="77777777" w:rsidR="00AD5F58" w:rsidRPr="00AD5F58" w:rsidRDefault="00AD5F58" w:rsidP="00AD5F58">
            <w:pPr>
              <w:spacing w:before="0" w:after="0"/>
              <w:ind w:left="22"/>
              <w:jc w:val="left"/>
              <w:rPr>
                <w:sz w:val="20"/>
                <w:szCs w:val="20"/>
              </w:rPr>
            </w:pPr>
            <w:r w:rsidRPr="00AD5F58">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15995569" w14:textId="77777777" w:rsidR="00AD5F58" w:rsidRPr="00AD5F58" w:rsidRDefault="00AD5F58" w:rsidP="00AD5F58">
            <w:pPr>
              <w:spacing w:before="0" w:after="0"/>
              <w:ind w:left="315" w:hanging="218"/>
              <w:rPr>
                <w:szCs w:val="20"/>
              </w:rPr>
            </w:pPr>
            <w:r w:rsidRPr="00AD5F58">
              <w:rPr>
                <w:sz w:val="20"/>
                <w:szCs w:val="20"/>
              </w:rPr>
              <w:t>Órgano con competencias en materia de Función Pública</w:t>
            </w:r>
          </w:p>
        </w:tc>
      </w:tr>
      <w:tr w:rsidR="00AD5F58" w:rsidRPr="00AD5F58" w14:paraId="0E9FC8BE" w14:textId="77777777" w:rsidTr="000F4CC1">
        <w:trPr>
          <w:trHeight w:val="898"/>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4287A4E1" w14:textId="77777777" w:rsidR="00AD5F58" w:rsidRPr="00AD5F58" w:rsidRDefault="00AD5F58" w:rsidP="00AD5F58">
            <w:pPr>
              <w:spacing w:before="0" w:after="0"/>
              <w:ind w:left="22"/>
              <w:jc w:val="left"/>
              <w:rPr>
                <w:sz w:val="20"/>
                <w:szCs w:val="20"/>
              </w:rPr>
            </w:pPr>
            <w:r w:rsidRPr="00AD5F58">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8CD2EB7"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Herramienta oficial cumplimentada</w:t>
            </w:r>
          </w:p>
          <w:p w14:paraId="228620A9"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 de las desviaciones retributivas entre mujeres y hombres y agrupación de puestos de igual valor</w:t>
            </w:r>
          </w:p>
        </w:tc>
      </w:tr>
      <w:tr w:rsidR="00AD5F58" w:rsidRPr="00AD5F58" w14:paraId="2A34519C" w14:textId="77777777" w:rsidTr="000F4CC1">
        <w:trPr>
          <w:trHeight w:val="698"/>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2E4D03B" w14:textId="77777777" w:rsidR="00AD5F58" w:rsidRPr="00AD5F58" w:rsidRDefault="00AD5F58" w:rsidP="00AD5F58">
            <w:pPr>
              <w:spacing w:before="0" w:after="0"/>
              <w:ind w:left="22"/>
              <w:jc w:val="left"/>
              <w:rPr>
                <w:sz w:val="20"/>
                <w:szCs w:val="20"/>
              </w:rPr>
            </w:pPr>
            <w:r w:rsidRPr="00AD5F58">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3F152B8B" w14:textId="77777777" w:rsidR="00AD5F58" w:rsidRPr="00AD5F58" w:rsidRDefault="00AD5F58" w:rsidP="002F7442">
            <w:pPr>
              <w:spacing w:before="0" w:after="0"/>
              <w:ind w:left="152"/>
              <w:jc w:val="left"/>
              <w:rPr>
                <w:sz w:val="20"/>
                <w:szCs w:val="20"/>
              </w:rPr>
            </w:pPr>
            <w:r w:rsidRPr="00AD5F58">
              <w:rPr>
                <w:sz w:val="20"/>
                <w:szCs w:val="20"/>
              </w:rPr>
              <w:t>Año 3 desde el inicio del Plan de Igualdad</w:t>
            </w:r>
          </w:p>
        </w:tc>
      </w:tr>
      <w:tr w:rsidR="00AD5F58" w:rsidRPr="00AD5F58" w14:paraId="7FB4FFF0" w14:textId="77777777" w:rsidTr="00EA35D6">
        <w:trPr>
          <w:trHeight w:val="1413"/>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342B868B" w14:textId="77777777" w:rsidR="00AD5F58" w:rsidRPr="00AD5F58" w:rsidRDefault="00AD5F58" w:rsidP="00EA35D6">
            <w:pPr>
              <w:spacing w:before="0" w:after="0"/>
              <w:jc w:val="left"/>
              <w:rPr>
                <w:b/>
                <w:bCs/>
                <w:sz w:val="18"/>
                <w:szCs w:val="18"/>
              </w:rPr>
            </w:pPr>
            <w:r w:rsidRPr="00AD5F58">
              <w:rPr>
                <w:b/>
                <w:bCs/>
                <w:sz w:val="18"/>
                <w:szCs w:val="18"/>
              </w:rPr>
              <w:t>Observaciones</w:t>
            </w:r>
          </w:p>
          <w:p w14:paraId="04D5572B" w14:textId="77777777" w:rsidR="00AD5F58" w:rsidRPr="00AD5F58" w:rsidRDefault="00AD5F58" w:rsidP="00EA35D6">
            <w:pPr>
              <w:spacing w:before="0" w:after="0"/>
              <w:jc w:val="left"/>
              <w:rPr>
                <w:sz w:val="18"/>
                <w:szCs w:val="18"/>
              </w:rPr>
            </w:pPr>
          </w:p>
          <w:p w14:paraId="077DC9D7" w14:textId="77777777" w:rsidR="00AD5F58" w:rsidRPr="00AD5F58" w:rsidRDefault="00AD5F58" w:rsidP="00EA35D6">
            <w:pPr>
              <w:spacing w:before="0" w:after="0"/>
              <w:jc w:val="left"/>
              <w:rPr>
                <w:sz w:val="18"/>
                <w:szCs w:val="18"/>
              </w:rPr>
            </w:pPr>
            <w:r w:rsidRPr="00AD5F58">
              <w:rPr>
                <w:sz w:val="18"/>
                <w:szCs w:val="18"/>
              </w:rPr>
              <w:t xml:space="preserve">Esta medida dependerá de las actualizaciones realizadas en el Acuerdo Convenio en el marco de la Negociación Colectiva o, en su defecto, quedará sometida a las directrices de una norma de rango superior.    </w:t>
            </w:r>
          </w:p>
        </w:tc>
      </w:tr>
    </w:tbl>
    <w:p w14:paraId="5DCB9B4A" w14:textId="77777777" w:rsidR="00AD5F58" w:rsidRPr="00AD5F58" w:rsidRDefault="00AD5F58" w:rsidP="00AD5F58">
      <w:pPr>
        <w:spacing w:before="0" w:after="160" w:line="259" w:lineRule="auto"/>
        <w:jc w:val="left"/>
      </w:pPr>
      <w:r w:rsidRPr="00AD5F58">
        <w:br w:type="page"/>
      </w:r>
    </w:p>
    <w:p w14:paraId="67113E85" w14:textId="77777777" w:rsidR="00AD5F58" w:rsidRPr="00AD5F58" w:rsidRDefault="00AD5F58" w:rsidP="00AD5F58">
      <w:pPr>
        <w:spacing w:before="0" w:after="160"/>
      </w:pPr>
      <w:r w:rsidRPr="00AD5F58">
        <w:rPr>
          <w:rFonts w:eastAsiaTheme="majorEastAsia" w:cstheme="majorBidi"/>
          <w:b/>
          <w:bCs/>
          <w:iCs/>
          <w:snapToGrid w:val="0"/>
          <w:color w:val="78BE20"/>
          <w:sz w:val="24"/>
          <w:szCs w:val="24"/>
        </w:rPr>
        <w:t xml:space="preserve">OBJETIVO. </w:t>
      </w:r>
      <w:r w:rsidRPr="00AD5F58">
        <w:rPr>
          <w:b/>
          <w:bCs/>
        </w:rPr>
        <w:t>Contribuir a reducir las diferencias retributivas entre mujeres y hombres en la Administración General de La Rioja.</w:t>
      </w:r>
    </w:p>
    <w:p w14:paraId="1B986FF3" w14:textId="5A2FC8D7" w:rsidR="00AD5F58" w:rsidRPr="00AD5F58" w:rsidRDefault="00AD5F58" w:rsidP="00AD5F58">
      <w:pPr>
        <w:pStyle w:val="Ttulo3"/>
      </w:pPr>
      <w:r w:rsidRPr="00AD5F58">
        <w:t>Medida 26</w:t>
      </w:r>
    </w:p>
    <w:tbl>
      <w:tblPr>
        <w:tblStyle w:val="Tablaconcuadrcula"/>
        <w:tblW w:w="0" w:type="auto"/>
        <w:tblLook w:val="04A0" w:firstRow="1" w:lastRow="0" w:firstColumn="1" w:lastColumn="0" w:noHBand="0" w:noVBand="1"/>
      </w:tblPr>
      <w:tblGrid>
        <w:gridCol w:w="2402"/>
        <w:gridCol w:w="6072"/>
      </w:tblGrid>
      <w:tr w:rsidR="00AD5F58" w:rsidRPr="00AD5F58" w14:paraId="5001FEF8" w14:textId="77777777" w:rsidTr="000F4CC1">
        <w:trPr>
          <w:trHeight w:val="1347"/>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420B8BE1" w14:textId="77777777" w:rsidR="00AD5F58" w:rsidRPr="00AD5F58" w:rsidRDefault="00AD5F58" w:rsidP="00AD5F58">
            <w:pPr>
              <w:spacing w:before="0" w:after="0"/>
              <w:ind w:left="22"/>
            </w:pPr>
            <w:r w:rsidRPr="00AD5F58">
              <w:rPr>
                <w:b/>
                <w:bCs/>
                <w:color w:val="FFFFFF" w:themeColor="background1"/>
              </w:rPr>
              <w:t xml:space="preserve">Ampliar al personal funcionario las obligaciones relativas al Registro retributivo anual del personal laboral según lo descrito en el Real Decreto 902/2020, de 13 de octubre, y mediante la utilización de la Herramienta oficial diseñada en el marco de la Negociación Colectiva. </w:t>
            </w:r>
          </w:p>
        </w:tc>
      </w:tr>
      <w:tr w:rsidR="00AD5F58" w:rsidRPr="00AD5F58" w14:paraId="16198EFE" w14:textId="77777777" w:rsidTr="000F4CC1">
        <w:trPr>
          <w:trHeight w:val="796"/>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779F4DD3" w14:textId="77777777" w:rsidR="00AD5F58" w:rsidRPr="00AD5F58" w:rsidRDefault="00AD5F58" w:rsidP="00AD5F58">
            <w:pPr>
              <w:spacing w:before="0" w:after="0"/>
              <w:ind w:left="22"/>
              <w:jc w:val="left"/>
              <w:rPr>
                <w:sz w:val="20"/>
                <w:szCs w:val="20"/>
              </w:rPr>
            </w:pPr>
            <w:r w:rsidRPr="00AD5F58">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3579A0C6" w14:textId="77777777" w:rsidR="00AD5F58" w:rsidRPr="00AD5F58" w:rsidRDefault="00AD5F58" w:rsidP="002F7442">
            <w:pPr>
              <w:spacing w:before="0" w:after="0"/>
              <w:ind w:left="152" w:right="158"/>
              <w:rPr>
                <w:sz w:val="20"/>
                <w:szCs w:val="20"/>
              </w:rPr>
            </w:pPr>
            <w:r w:rsidRPr="00AD5F58">
              <w:rPr>
                <w:sz w:val="20"/>
                <w:szCs w:val="20"/>
              </w:rPr>
              <w:t>Personal funcionario de la Administración General</w:t>
            </w:r>
          </w:p>
        </w:tc>
      </w:tr>
      <w:tr w:rsidR="00AD5F58" w:rsidRPr="00AD5F58" w14:paraId="210569BC" w14:textId="77777777" w:rsidTr="000F4CC1">
        <w:trPr>
          <w:trHeight w:val="1712"/>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6D8F6F8D" w14:textId="77777777" w:rsidR="00AD5F58" w:rsidRPr="00AD5F58" w:rsidRDefault="00AD5F58" w:rsidP="00AD5F58">
            <w:pPr>
              <w:spacing w:before="0" w:after="0"/>
              <w:ind w:left="22"/>
              <w:jc w:val="left"/>
              <w:rPr>
                <w:sz w:val="20"/>
                <w:szCs w:val="20"/>
              </w:rPr>
            </w:pPr>
            <w:r w:rsidRPr="00AD5F58">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32B766CA"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 xml:space="preserve">Volcado de información retributiva en la Herramienta oficial </w:t>
            </w:r>
          </w:p>
          <w:p w14:paraId="40EF22E2"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Identificación de brechas salariales por las agrupaciones profesionales estipuladas en el Acuerdo</w:t>
            </w:r>
          </w:p>
          <w:p w14:paraId="311A073A"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Justificación objetiva de la brecha salarial total cuando exceda el 25%</w:t>
            </w:r>
          </w:p>
          <w:p w14:paraId="4E940EB7"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Envío a la representación legal de las personas trabajadoras</w:t>
            </w:r>
          </w:p>
        </w:tc>
      </w:tr>
      <w:tr w:rsidR="00AD5F58" w:rsidRPr="00AD5F58" w14:paraId="1E7807E7" w14:textId="77777777" w:rsidTr="000F4CC1">
        <w:trPr>
          <w:trHeight w:val="1199"/>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67B6104F" w14:textId="77777777" w:rsidR="00AD5F58" w:rsidRPr="00AD5F58" w:rsidRDefault="00AD5F58" w:rsidP="00AD5F58">
            <w:pPr>
              <w:spacing w:before="0" w:after="0"/>
              <w:ind w:left="22"/>
              <w:jc w:val="left"/>
              <w:rPr>
                <w:sz w:val="20"/>
                <w:szCs w:val="20"/>
              </w:rPr>
            </w:pPr>
            <w:r w:rsidRPr="00AD5F58">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4E9C9DAF"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Normativa vinculante</w:t>
            </w:r>
          </w:p>
          <w:p w14:paraId="695A2D7F"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 xml:space="preserve">Herramienta oficial de Registro retributivo </w:t>
            </w:r>
          </w:p>
          <w:p w14:paraId="439042B2"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Datos retributivos del año natural anterior</w:t>
            </w:r>
          </w:p>
          <w:p w14:paraId="105B6D2D"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Acuerdo de aplicación</w:t>
            </w:r>
          </w:p>
        </w:tc>
      </w:tr>
      <w:tr w:rsidR="00AD5F58" w:rsidRPr="00AD5F58" w14:paraId="064311F8" w14:textId="77777777" w:rsidTr="000F4CC1">
        <w:trPr>
          <w:trHeight w:val="45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DD3F75D" w14:textId="77777777" w:rsidR="00AD5F58" w:rsidRPr="00AD5F58" w:rsidRDefault="00AD5F58" w:rsidP="00AD5F58">
            <w:pPr>
              <w:spacing w:before="0" w:after="0"/>
              <w:ind w:left="22"/>
              <w:jc w:val="left"/>
              <w:rPr>
                <w:sz w:val="20"/>
                <w:szCs w:val="20"/>
              </w:rPr>
            </w:pPr>
            <w:r w:rsidRPr="00AD5F58">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47C5B1CE" w14:textId="77777777" w:rsidR="00AD5F58" w:rsidRPr="00AD5F58" w:rsidRDefault="00AD5F58" w:rsidP="002F7442">
            <w:pPr>
              <w:spacing w:before="0" w:after="0"/>
              <w:ind w:left="152" w:hanging="21"/>
              <w:rPr>
                <w:szCs w:val="20"/>
              </w:rPr>
            </w:pPr>
            <w:r w:rsidRPr="00AD5F58">
              <w:rPr>
                <w:sz w:val="20"/>
                <w:szCs w:val="20"/>
              </w:rPr>
              <w:t>Órgano con competencias en materia de Función Pública</w:t>
            </w:r>
          </w:p>
        </w:tc>
      </w:tr>
      <w:tr w:rsidR="00AD5F58" w:rsidRPr="00AD5F58" w14:paraId="377E8474" w14:textId="77777777" w:rsidTr="000F4CC1">
        <w:trPr>
          <w:trHeight w:val="898"/>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614FA4F" w14:textId="77777777" w:rsidR="00AD5F58" w:rsidRPr="00AD5F58" w:rsidRDefault="00AD5F58" w:rsidP="00AD5F58">
            <w:pPr>
              <w:spacing w:before="0" w:after="0"/>
              <w:ind w:left="22"/>
              <w:jc w:val="left"/>
              <w:rPr>
                <w:sz w:val="20"/>
                <w:szCs w:val="20"/>
              </w:rPr>
            </w:pPr>
            <w:r w:rsidRPr="00AD5F58">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7DD390C5"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18"/>
              </w:rPr>
            </w:pPr>
            <w:r w:rsidRPr="00AD5F58">
              <w:rPr>
                <w:sz w:val="20"/>
                <w:szCs w:val="18"/>
              </w:rPr>
              <w:t>Herramienta oficial cumplimentada</w:t>
            </w:r>
          </w:p>
          <w:p w14:paraId="3865E13C" w14:textId="77777777" w:rsidR="00AD5F58" w:rsidRPr="00AD5F58" w:rsidRDefault="00AD5F58">
            <w:pPr>
              <w:numPr>
                <w:ilvl w:val="0"/>
                <w:numId w:val="8"/>
              </w:numPr>
              <w:tabs>
                <w:tab w:val="left" w:pos="5698"/>
              </w:tabs>
              <w:spacing w:before="0" w:after="0" w:line="259" w:lineRule="auto"/>
              <w:ind w:left="294" w:right="12" w:hanging="197"/>
              <w:contextualSpacing/>
              <w:jc w:val="left"/>
              <w:rPr>
                <w:sz w:val="20"/>
                <w:szCs w:val="20"/>
              </w:rPr>
            </w:pPr>
            <w:r w:rsidRPr="00AD5F58">
              <w:rPr>
                <w:sz w:val="20"/>
                <w:szCs w:val="18"/>
              </w:rPr>
              <w:t>% de las desviaciones retributivas entre mujeres y hombres y agrupación profesional</w:t>
            </w:r>
          </w:p>
        </w:tc>
      </w:tr>
      <w:tr w:rsidR="00AD5F58" w:rsidRPr="00AD5F58" w14:paraId="2DBACEFD" w14:textId="77777777" w:rsidTr="000F4CC1">
        <w:trPr>
          <w:trHeight w:val="54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BAC1ED3" w14:textId="77777777" w:rsidR="00AD5F58" w:rsidRPr="00AD5F58" w:rsidRDefault="00AD5F58" w:rsidP="00AD5F58">
            <w:pPr>
              <w:spacing w:before="0" w:after="0"/>
              <w:ind w:left="22"/>
              <w:jc w:val="left"/>
              <w:rPr>
                <w:sz w:val="20"/>
                <w:szCs w:val="20"/>
              </w:rPr>
            </w:pPr>
            <w:r w:rsidRPr="00AD5F58">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65273F78" w14:textId="77777777" w:rsidR="00AD5F58" w:rsidRPr="00AD5F58" w:rsidRDefault="00AD5F58" w:rsidP="002F7442">
            <w:pPr>
              <w:spacing w:before="0" w:after="0"/>
              <w:ind w:left="152"/>
              <w:jc w:val="left"/>
              <w:rPr>
                <w:sz w:val="20"/>
                <w:szCs w:val="20"/>
              </w:rPr>
            </w:pPr>
            <w:r w:rsidRPr="00AD5F58">
              <w:rPr>
                <w:sz w:val="20"/>
                <w:szCs w:val="20"/>
              </w:rPr>
              <w:t>Anual desde el inicio del Plan de Igualdad</w:t>
            </w:r>
          </w:p>
        </w:tc>
      </w:tr>
      <w:tr w:rsidR="00AD5F58" w:rsidRPr="00AD5F58" w14:paraId="0E7C8422" w14:textId="77777777" w:rsidTr="00EA35D6">
        <w:trPr>
          <w:trHeight w:val="1441"/>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72A38511" w14:textId="77777777" w:rsidR="00AD5F58" w:rsidRPr="00AD5F58" w:rsidRDefault="00AD5F58" w:rsidP="00EA35D6">
            <w:pPr>
              <w:spacing w:before="0" w:after="0"/>
              <w:jc w:val="left"/>
              <w:rPr>
                <w:b/>
                <w:bCs/>
                <w:sz w:val="18"/>
                <w:szCs w:val="18"/>
              </w:rPr>
            </w:pPr>
            <w:r w:rsidRPr="00AD5F58">
              <w:rPr>
                <w:b/>
                <w:bCs/>
                <w:sz w:val="18"/>
                <w:szCs w:val="18"/>
              </w:rPr>
              <w:t>Observaciones</w:t>
            </w:r>
          </w:p>
          <w:p w14:paraId="0634D01F" w14:textId="77777777" w:rsidR="00AD5F58" w:rsidRPr="00AD5F58" w:rsidRDefault="00AD5F58" w:rsidP="00EA35D6">
            <w:pPr>
              <w:spacing w:before="0" w:after="0"/>
              <w:jc w:val="left"/>
              <w:rPr>
                <w:sz w:val="18"/>
                <w:szCs w:val="18"/>
              </w:rPr>
            </w:pPr>
          </w:p>
          <w:p w14:paraId="3320DAF4" w14:textId="77777777" w:rsidR="00AD5F58" w:rsidRPr="00AD5F58" w:rsidRDefault="00AD5F58" w:rsidP="00EA35D6">
            <w:pPr>
              <w:spacing w:before="0" w:after="0"/>
              <w:jc w:val="left"/>
              <w:rPr>
                <w:sz w:val="18"/>
                <w:szCs w:val="18"/>
              </w:rPr>
            </w:pPr>
            <w:r w:rsidRPr="00AD5F58">
              <w:rPr>
                <w:sz w:val="18"/>
                <w:szCs w:val="18"/>
              </w:rPr>
              <w:t xml:space="preserve">Para la cumplimentación de este Registro se seguirá la misma lógica de clasificación profesional que se ha seguido para el Registro del Personal Laboral en el Diagnóstico de situación. </w:t>
            </w:r>
          </w:p>
        </w:tc>
      </w:tr>
    </w:tbl>
    <w:p w14:paraId="59E5B663" w14:textId="77777777" w:rsidR="00AD5F58" w:rsidRPr="00AD5F58" w:rsidRDefault="00AD5F58" w:rsidP="00AD5F58">
      <w:pPr>
        <w:spacing w:before="0" w:after="160" w:line="259" w:lineRule="auto"/>
        <w:jc w:val="left"/>
        <w:rPr>
          <w:rFonts w:eastAsiaTheme="majorEastAsia" w:cstheme="majorBidi"/>
          <w:b/>
          <w:bCs/>
          <w:snapToGrid w:val="0"/>
          <w:color w:val="78BE20"/>
          <w:kern w:val="32"/>
          <w:sz w:val="32"/>
          <w:szCs w:val="32"/>
        </w:rPr>
      </w:pPr>
      <w:r w:rsidRPr="00AD5F58">
        <w:br w:type="page"/>
      </w:r>
    </w:p>
    <w:p w14:paraId="69E45ABE" w14:textId="656B5544" w:rsidR="005121F6" w:rsidRDefault="009A2F04" w:rsidP="00024B4E">
      <w:pPr>
        <w:pStyle w:val="Ttulo2"/>
      </w:pPr>
      <w:bookmarkStart w:id="42" w:name="_Toc122080804"/>
      <w:r w:rsidRPr="009A2F04">
        <w:rPr>
          <w:lang w:val="es-ES"/>
        </w:rPr>
        <w:t xml:space="preserve">Ámbito </w:t>
      </w:r>
      <w:r w:rsidR="005121F6">
        <w:t>6.</w:t>
      </w:r>
      <w:r w:rsidR="005121F6" w:rsidRPr="005121F6">
        <w:t xml:space="preserve"> Ordenación del tiempo de trabajo y corresponsabilidad</w:t>
      </w:r>
      <w:bookmarkEnd w:id="42"/>
    </w:p>
    <w:p w14:paraId="56B60B1E" w14:textId="1F722E12" w:rsidR="005121F6" w:rsidRDefault="005121F6" w:rsidP="005121F6">
      <w:r w:rsidRPr="00EA35D6">
        <w:rPr>
          <w:b/>
          <w:bCs/>
        </w:rPr>
        <w:t xml:space="preserve">Con </w:t>
      </w:r>
      <w:r w:rsidR="00AD5F58" w:rsidRPr="00EA35D6">
        <w:rPr>
          <w:b/>
          <w:bCs/>
        </w:rPr>
        <w:t>las</w:t>
      </w:r>
      <w:r w:rsidR="00475105">
        <w:rPr>
          <w:b/>
          <w:bCs/>
        </w:rPr>
        <w:t xml:space="preserve"> 2</w:t>
      </w:r>
      <w:r w:rsidR="00AD5F58" w:rsidRPr="00EA35D6">
        <w:rPr>
          <w:b/>
          <w:bCs/>
        </w:rPr>
        <w:t xml:space="preserve"> medidas de este ámbito</w:t>
      </w:r>
      <w:r w:rsidRPr="00EA35D6">
        <w:rPr>
          <w:b/>
          <w:bCs/>
        </w:rPr>
        <w:t xml:space="preserve"> se sigue facilitando una ordenación flexible del trabajo </w:t>
      </w:r>
      <w:r w:rsidR="00AD5F58" w:rsidRPr="00EA35D6">
        <w:rPr>
          <w:b/>
          <w:bCs/>
        </w:rPr>
        <w:t>mientras se fortalece</w:t>
      </w:r>
      <w:r w:rsidR="00AD5F58">
        <w:t xml:space="preserve"> el avance hacia un mayor grado de corresponsabilidad en los cuidados</w:t>
      </w:r>
      <w:r w:rsidRPr="005121F6">
        <w:t>:</w:t>
      </w:r>
    </w:p>
    <w:p w14:paraId="0ED2B43C" w14:textId="77777777" w:rsidR="00AD5F58" w:rsidRDefault="00AD5F58" w:rsidP="005121F6"/>
    <w:tbl>
      <w:tblPr>
        <w:tblStyle w:val="Tablaconcuadrcula"/>
        <w:tblW w:w="0" w:type="auto"/>
        <w:tblLook w:val="04A0" w:firstRow="1" w:lastRow="0" w:firstColumn="1" w:lastColumn="0" w:noHBand="0" w:noVBand="1"/>
      </w:tblPr>
      <w:tblGrid>
        <w:gridCol w:w="1101"/>
        <w:gridCol w:w="7543"/>
      </w:tblGrid>
      <w:tr w:rsidR="00AD5F58" w14:paraId="01BBFA24" w14:textId="77777777" w:rsidTr="001F7269">
        <w:tc>
          <w:tcPr>
            <w:tcW w:w="8644" w:type="dxa"/>
            <w:gridSpan w:val="2"/>
            <w:tcBorders>
              <w:top w:val="single" w:sz="4" w:space="0" w:color="78BE20"/>
              <w:left w:val="single" w:sz="4" w:space="0" w:color="78BE20"/>
              <w:bottom w:val="single" w:sz="4" w:space="0" w:color="FFFFFF"/>
              <w:right w:val="single" w:sz="4" w:space="0" w:color="78BE20"/>
            </w:tcBorders>
            <w:vAlign w:val="center"/>
          </w:tcPr>
          <w:p w14:paraId="0B7BFF97" w14:textId="77777777" w:rsidR="0064207C" w:rsidRDefault="0064207C" w:rsidP="000F4CC1">
            <w:pPr>
              <w:spacing w:before="0" w:after="0" w:line="259" w:lineRule="auto"/>
              <w:rPr>
                <w:b/>
                <w:bCs/>
                <w:color w:val="78BE20"/>
                <w:sz w:val="20"/>
                <w:szCs w:val="20"/>
              </w:rPr>
            </w:pPr>
          </w:p>
          <w:p w14:paraId="27CE33B8" w14:textId="69A21E94" w:rsidR="00AD5F58" w:rsidRDefault="00AD5F58" w:rsidP="000F4CC1">
            <w:pPr>
              <w:spacing w:before="0" w:after="0" w:line="259" w:lineRule="auto"/>
              <w:rPr>
                <w:sz w:val="20"/>
                <w:szCs w:val="20"/>
              </w:rPr>
            </w:pPr>
            <w:r w:rsidRPr="000A25DD">
              <w:rPr>
                <w:b/>
                <w:bCs/>
                <w:color w:val="78BE20"/>
                <w:sz w:val="20"/>
                <w:szCs w:val="20"/>
              </w:rPr>
              <w:t>OBJETIVO.</w:t>
            </w:r>
            <w:r>
              <w:rPr>
                <w:sz w:val="20"/>
                <w:szCs w:val="20"/>
              </w:rPr>
              <w:t xml:space="preserve"> </w:t>
            </w:r>
            <w:r w:rsidRPr="00AD5F58">
              <w:rPr>
                <w:b/>
                <w:bCs/>
                <w:sz w:val="20"/>
                <w:szCs w:val="20"/>
              </w:rPr>
              <w:t>Ampliar las facilidades del personal público para la corresponsabilidad en las tareas de cuidado y la conciliación entre la vida familiar, personal y profesion</w:t>
            </w:r>
            <w:r>
              <w:rPr>
                <w:b/>
                <w:bCs/>
                <w:sz w:val="20"/>
                <w:szCs w:val="20"/>
              </w:rPr>
              <w:t>al.</w:t>
            </w:r>
          </w:p>
          <w:p w14:paraId="2CA2EF1D" w14:textId="77777777" w:rsidR="00AD5F58" w:rsidRDefault="00AD5F58" w:rsidP="000F4CC1">
            <w:pPr>
              <w:spacing w:before="0" w:after="0" w:line="259" w:lineRule="auto"/>
            </w:pPr>
          </w:p>
        </w:tc>
      </w:tr>
      <w:tr w:rsidR="00AD5F58" w14:paraId="42756F10" w14:textId="77777777" w:rsidTr="001F7269">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2377D8F3" w14:textId="096766D4" w:rsidR="00AD5F58" w:rsidRPr="000A25DD" w:rsidRDefault="002F7442" w:rsidP="00F51A0B">
            <w:pPr>
              <w:spacing w:before="0" w:after="0" w:line="259" w:lineRule="auto"/>
              <w:jc w:val="right"/>
              <w:rPr>
                <w:b/>
                <w:bCs/>
                <w:color w:val="FFFFFF" w:themeColor="background1"/>
              </w:rPr>
            </w:pPr>
            <w:r w:rsidRPr="002F7442">
              <w:rPr>
                <w:b/>
                <w:bCs/>
                <w:color w:val="FFFFFF" w:themeColor="background1"/>
                <w:sz w:val="20"/>
                <w:szCs w:val="20"/>
              </w:rPr>
              <w:t xml:space="preserve">Medida </w:t>
            </w:r>
            <w:r w:rsidR="00F51A0B">
              <w:rPr>
                <w:b/>
                <w:bCs/>
                <w:color w:val="FFFFFF" w:themeColor="background1"/>
                <w:sz w:val="32"/>
                <w:szCs w:val="32"/>
              </w:rPr>
              <w:t>27</w:t>
            </w:r>
            <w:r w:rsidR="00AD5F58" w:rsidRPr="000A25DD">
              <w:rPr>
                <w:b/>
                <w:bCs/>
                <w:color w:val="FFFFFF" w:themeColor="background1"/>
                <w:sz w:val="20"/>
                <w:szCs w:val="20"/>
              </w:rPr>
              <w:t xml:space="preserve"> </w:t>
            </w:r>
          </w:p>
        </w:tc>
        <w:tc>
          <w:tcPr>
            <w:tcW w:w="7543" w:type="dxa"/>
            <w:tcBorders>
              <w:top w:val="single" w:sz="4" w:space="0" w:color="FFFFFF"/>
              <w:left w:val="single" w:sz="4" w:space="0" w:color="FFFFFF"/>
              <w:bottom w:val="single" w:sz="4" w:space="0" w:color="78BE20"/>
              <w:right w:val="single" w:sz="4" w:space="0" w:color="78BE20"/>
            </w:tcBorders>
            <w:vAlign w:val="center"/>
          </w:tcPr>
          <w:p w14:paraId="47CA99A7" w14:textId="29CC7FD9" w:rsidR="00AD5F58" w:rsidRPr="00F51A0B" w:rsidRDefault="00F51A0B" w:rsidP="000F4CC1">
            <w:pPr>
              <w:spacing w:before="0" w:after="0" w:line="259" w:lineRule="auto"/>
            </w:pPr>
            <w:r w:rsidRPr="00F51A0B">
              <w:rPr>
                <w:sz w:val="20"/>
                <w:szCs w:val="20"/>
              </w:rPr>
              <w:t xml:space="preserve">Ampliación del rango horario en la formación </w:t>
            </w:r>
            <w:r w:rsidRPr="00F51A0B">
              <w:rPr>
                <w:i/>
                <w:iCs/>
                <w:sz w:val="20"/>
                <w:szCs w:val="20"/>
              </w:rPr>
              <w:t xml:space="preserve">online, </w:t>
            </w:r>
            <w:r w:rsidRPr="00F51A0B">
              <w:rPr>
                <w:sz w:val="20"/>
                <w:szCs w:val="20"/>
              </w:rPr>
              <w:t>haciéndolo extensible a las 24 horas al día.</w:t>
            </w:r>
          </w:p>
        </w:tc>
      </w:tr>
      <w:tr w:rsidR="00AD5F58" w14:paraId="3466BC67" w14:textId="77777777" w:rsidTr="001F7269">
        <w:tc>
          <w:tcPr>
            <w:tcW w:w="8644" w:type="dxa"/>
            <w:gridSpan w:val="2"/>
            <w:tcBorders>
              <w:top w:val="single" w:sz="4" w:space="0" w:color="78BE20"/>
              <w:left w:val="single" w:sz="4" w:space="0" w:color="78BE20"/>
              <w:bottom w:val="single" w:sz="4" w:space="0" w:color="FFFFFF"/>
              <w:right w:val="single" w:sz="4" w:space="0" w:color="78BE20"/>
            </w:tcBorders>
            <w:vAlign w:val="center"/>
          </w:tcPr>
          <w:p w14:paraId="2E329906" w14:textId="77777777" w:rsidR="00AD5F58" w:rsidRDefault="00AD5F58" w:rsidP="000F4CC1">
            <w:pPr>
              <w:spacing w:before="0" w:after="0" w:line="259" w:lineRule="auto"/>
              <w:rPr>
                <w:b/>
                <w:bCs/>
                <w:color w:val="78BE20"/>
                <w:sz w:val="20"/>
                <w:szCs w:val="20"/>
              </w:rPr>
            </w:pPr>
          </w:p>
          <w:p w14:paraId="66253758" w14:textId="77777777" w:rsidR="00AD5F58" w:rsidRDefault="00AD5F58" w:rsidP="000F4CC1">
            <w:pPr>
              <w:spacing w:before="0" w:after="0" w:line="259" w:lineRule="auto"/>
              <w:rPr>
                <w:b/>
                <w:bCs/>
                <w:color w:val="78BE20"/>
                <w:sz w:val="20"/>
                <w:szCs w:val="20"/>
              </w:rPr>
            </w:pPr>
          </w:p>
          <w:p w14:paraId="3CC925B4" w14:textId="6AD8D906" w:rsidR="00AD5F58" w:rsidRDefault="00AD5F58" w:rsidP="000F4CC1">
            <w:pPr>
              <w:spacing w:before="0" w:after="0" w:line="259" w:lineRule="auto"/>
              <w:rPr>
                <w:sz w:val="20"/>
                <w:szCs w:val="20"/>
              </w:rPr>
            </w:pPr>
            <w:r w:rsidRPr="000A25DD">
              <w:rPr>
                <w:b/>
                <w:bCs/>
                <w:color w:val="78BE20"/>
                <w:sz w:val="20"/>
                <w:szCs w:val="20"/>
              </w:rPr>
              <w:t>OBJETIVO.</w:t>
            </w:r>
            <w:r>
              <w:rPr>
                <w:sz w:val="20"/>
                <w:szCs w:val="20"/>
              </w:rPr>
              <w:t xml:space="preserve"> </w:t>
            </w:r>
            <w:r w:rsidRPr="00AD5F58">
              <w:rPr>
                <w:b/>
                <w:bCs/>
                <w:sz w:val="20"/>
                <w:szCs w:val="20"/>
              </w:rPr>
              <w:t>Comunicar de manera efectiva y desde la perspectiva de la corresponsabilidad las medidas de conciliación existentes en la Administración General</w:t>
            </w:r>
            <w:r>
              <w:rPr>
                <w:b/>
                <w:bCs/>
                <w:sz w:val="20"/>
                <w:szCs w:val="20"/>
              </w:rPr>
              <w:t>.</w:t>
            </w:r>
          </w:p>
          <w:p w14:paraId="0BB8321A" w14:textId="77777777" w:rsidR="00AD5F58" w:rsidRPr="000A25DD" w:rsidRDefault="00AD5F58" w:rsidP="000F4CC1">
            <w:pPr>
              <w:spacing w:before="0" w:after="0" w:line="259" w:lineRule="auto"/>
              <w:rPr>
                <w:sz w:val="20"/>
                <w:szCs w:val="20"/>
              </w:rPr>
            </w:pPr>
          </w:p>
        </w:tc>
      </w:tr>
      <w:tr w:rsidR="00AD5F58" w14:paraId="3E0C2892" w14:textId="77777777" w:rsidTr="001F7269">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645694A8" w14:textId="5EE08883" w:rsidR="00AD5F58" w:rsidRDefault="002F7442" w:rsidP="00F51A0B">
            <w:pPr>
              <w:spacing w:before="0" w:after="0" w:line="259" w:lineRule="auto"/>
              <w:jc w:val="right"/>
            </w:pPr>
            <w:r w:rsidRPr="002F7442">
              <w:rPr>
                <w:b/>
                <w:bCs/>
                <w:color w:val="FFFFFF" w:themeColor="background1"/>
                <w:sz w:val="20"/>
                <w:szCs w:val="20"/>
              </w:rPr>
              <w:t xml:space="preserve">Medida </w:t>
            </w:r>
            <w:r w:rsidR="00F51A0B">
              <w:rPr>
                <w:b/>
                <w:bCs/>
                <w:color w:val="FFFFFF" w:themeColor="background1"/>
                <w:sz w:val="32"/>
                <w:szCs w:val="32"/>
              </w:rPr>
              <w:t>28</w:t>
            </w:r>
          </w:p>
        </w:tc>
        <w:tc>
          <w:tcPr>
            <w:tcW w:w="7543" w:type="dxa"/>
            <w:tcBorders>
              <w:top w:val="single" w:sz="4" w:space="0" w:color="FFFFFF"/>
              <w:left w:val="single" w:sz="4" w:space="0" w:color="FFFFFF"/>
              <w:bottom w:val="single" w:sz="4" w:space="0" w:color="78BE20"/>
              <w:right w:val="single" w:sz="4" w:space="0" w:color="78BE20"/>
            </w:tcBorders>
            <w:vAlign w:val="center"/>
          </w:tcPr>
          <w:p w14:paraId="6891D7AE" w14:textId="240F0ED1" w:rsidR="00AD5F58" w:rsidRPr="00F51A0B" w:rsidRDefault="00F51A0B" w:rsidP="000F4CC1">
            <w:pPr>
              <w:spacing w:before="0" w:after="0" w:line="259" w:lineRule="auto"/>
            </w:pPr>
            <w:r w:rsidRPr="00F51A0B">
              <w:rPr>
                <w:sz w:val="20"/>
                <w:szCs w:val="20"/>
              </w:rPr>
              <w:t>Elaboración de un folleto informativo sobre las medidas de conciliación disponibles para el personal de la Administración General</w:t>
            </w:r>
            <w:r>
              <w:rPr>
                <w:sz w:val="20"/>
                <w:szCs w:val="20"/>
              </w:rPr>
              <w:t>.</w:t>
            </w:r>
          </w:p>
        </w:tc>
      </w:tr>
    </w:tbl>
    <w:p w14:paraId="5F56EF04" w14:textId="77777777" w:rsidR="005121F6" w:rsidRPr="005121F6" w:rsidRDefault="005121F6" w:rsidP="005121F6"/>
    <w:p w14:paraId="6326D756" w14:textId="77777777" w:rsidR="009A2F04" w:rsidRDefault="009A2F04">
      <w:pPr>
        <w:spacing w:before="0" w:after="160" w:line="259" w:lineRule="auto"/>
        <w:jc w:val="left"/>
        <w:rPr>
          <w:rFonts w:eastAsiaTheme="majorEastAsia" w:cstheme="majorBidi"/>
          <w:b/>
          <w:bCs/>
          <w:snapToGrid w:val="0"/>
          <w:color w:val="78BE20"/>
          <w:kern w:val="32"/>
          <w:sz w:val="32"/>
          <w:szCs w:val="32"/>
        </w:rPr>
      </w:pPr>
      <w:r>
        <w:br w:type="page"/>
      </w:r>
    </w:p>
    <w:p w14:paraId="56786674" w14:textId="77777777" w:rsidR="009A2F04" w:rsidRPr="009A2F04" w:rsidRDefault="009A2F04" w:rsidP="009A2F04">
      <w:pPr>
        <w:spacing w:before="0" w:after="160" w:line="259" w:lineRule="auto"/>
      </w:pPr>
      <w:r w:rsidRPr="009A2F04">
        <w:rPr>
          <w:rFonts w:eastAsiaTheme="majorEastAsia" w:cstheme="majorBidi"/>
          <w:b/>
          <w:bCs/>
          <w:iCs/>
          <w:snapToGrid w:val="0"/>
          <w:color w:val="78BE20"/>
          <w:sz w:val="24"/>
          <w:szCs w:val="24"/>
        </w:rPr>
        <w:t xml:space="preserve">OBJETIVO. </w:t>
      </w:r>
      <w:bookmarkStart w:id="43" w:name="_Hlk120539963"/>
      <w:r w:rsidRPr="009A2F04">
        <w:rPr>
          <w:b/>
          <w:bCs/>
        </w:rPr>
        <w:t>Ampliar las facilidades del personal público para la corresponsabilidad en las tareas de cuidado y la conciliación entre la vida familiar, personal y profesional.</w:t>
      </w:r>
      <w:bookmarkEnd w:id="43"/>
    </w:p>
    <w:p w14:paraId="63FF5285" w14:textId="29DDE6B6" w:rsidR="009A2F04" w:rsidRPr="009A2F04" w:rsidRDefault="009A2F04" w:rsidP="009A2F04">
      <w:pPr>
        <w:pStyle w:val="Ttulo3"/>
      </w:pPr>
      <w:r>
        <w:t>Medida</w:t>
      </w:r>
      <w:r w:rsidRPr="009A2F04">
        <w:t xml:space="preserve"> 27</w:t>
      </w:r>
    </w:p>
    <w:tbl>
      <w:tblPr>
        <w:tblStyle w:val="Tablaconcuadrcula"/>
        <w:tblW w:w="0" w:type="auto"/>
        <w:tblLook w:val="04A0" w:firstRow="1" w:lastRow="0" w:firstColumn="1" w:lastColumn="0" w:noHBand="0" w:noVBand="1"/>
      </w:tblPr>
      <w:tblGrid>
        <w:gridCol w:w="2402"/>
        <w:gridCol w:w="6072"/>
      </w:tblGrid>
      <w:tr w:rsidR="009A2F04" w:rsidRPr="009A2F04" w14:paraId="0784197D" w14:textId="77777777" w:rsidTr="000F4CC1">
        <w:trPr>
          <w:trHeight w:val="990"/>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550DA51C" w14:textId="77777777" w:rsidR="009A2F04" w:rsidRPr="009A2F04" w:rsidRDefault="009A2F04" w:rsidP="009A2F04">
            <w:pPr>
              <w:spacing w:before="0" w:after="0"/>
              <w:ind w:left="22"/>
              <w:jc w:val="left"/>
            </w:pPr>
            <w:r w:rsidRPr="009A2F04">
              <w:rPr>
                <w:b/>
                <w:bCs/>
                <w:color w:val="FFFFFF" w:themeColor="background1"/>
              </w:rPr>
              <w:t xml:space="preserve">Ampliación del rango horario en la formación </w:t>
            </w:r>
            <w:r w:rsidRPr="009A2F04">
              <w:rPr>
                <w:b/>
                <w:bCs/>
                <w:i/>
                <w:iCs/>
                <w:color w:val="FFFFFF" w:themeColor="background1"/>
              </w:rPr>
              <w:t xml:space="preserve">online, </w:t>
            </w:r>
            <w:r w:rsidRPr="009A2F04">
              <w:rPr>
                <w:b/>
                <w:bCs/>
                <w:color w:val="FFFFFF" w:themeColor="background1"/>
              </w:rPr>
              <w:t>haciéndolo extensible a las 24 horas al día.</w:t>
            </w:r>
          </w:p>
        </w:tc>
      </w:tr>
      <w:tr w:rsidR="009A2F04" w:rsidRPr="009A2F04" w14:paraId="1E84A33D" w14:textId="77777777" w:rsidTr="002F7442">
        <w:trPr>
          <w:trHeight w:val="969"/>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71D27C9D" w14:textId="77777777" w:rsidR="009A2F04" w:rsidRPr="009A2F04" w:rsidRDefault="009A2F04" w:rsidP="009A2F04">
            <w:pPr>
              <w:spacing w:before="0" w:after="0"/>
              <w:ind w:left="22"/>
              <w:jc w:val="left"/>
              <w:rPr>
                <w:sz w:val="20"/>
                <w:szCs w:val="20"/>
              </w:rPr>
            </w:pPr>
            <w:r w:rsidRPr="009A2F04">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330399AF"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Personal de la Administración General. </w:t>
            </w:r>
          </w:p>
          <w:p w14:paraId="2C2B91C9"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Personal que por Acuerdo Convenio participe en el Plan de Formación </w:t>
            </w:r>
          </w:p>
        </w:tc>
      </w:tr>
      <w:tr w:rsidR="009A2F04" w:rsidRPr="009A2F04" w14:paraId="30DC0825" w14:textId="77777777" w:rsidTr="000F4CC1">
        <w:trPr>
          <w:trHeight w:val="3102"/>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61771F1E" w14:textId="77777777" w:rsidR="009A2F04" w:rsidRPr="009A2F04" w:rsidRDefault="009A2F04" w:rsidP="009A2F04">
            <w:pPr>
              <w:spacing w:before="0" w:after="0"/>
              <w:ind w:left="22"/>
              <w:jc w:val="left"/>
              <w:rPr>
                <w:sz w:val="20"/>
                <w:szCs w:val="20"/>
              </w:rPr>
            </w:pPr>
            <w:r w:rsidRPr="009A2F04">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31F1B870"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Adaptar la plataforma virtual al nuevo horario extendido sin franjas horarias delimitadas</w:t>
            </w:r>
          </w:p>
          <w:p w14:paraId="213D61CD"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Programar un sistema de control horario y de registro de horas de conexión</w:t>
            </w:r>
          </w:p>
          <w:p w14:paraId="4ADDC964"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Incluir estas nuevas condiciones en el pliego de prescripciones técnicas del contrato de adjudicación de los lotes de los cursos online.</w:t>
            </w:r>
          </w:p>
          <w:p w14:paraId="3983EBF4"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Publicación de la mejora en los espacios de comunicación de la ERAP</w:t>
            </w:r>
          </w:p>
          <w:p w14:paraId="14FFB554"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Recordatorio de la mejora en la difusión de las convocatorias de formación online. </w:t>
            </w:r>
          </w:p>
        </w:tc>
      </w:tr>
      <w:tr w:rsidR="009A2F04" w:rsidRPr="009A2F04" w14:paraId="3F458232" w14:textId="77777777" w:rsidTr="000F4CC1">
        <w:trPr>
          <w:trHeight w:val="1249"/>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43148DD" w14:textId="77777777" w:rsidR="009A2F04" w:rsidRPr="009A2F04" w:rsidRDefault="009A2F04" w:rsidP="009A2F04">
            <w:pPr>
              <w:spacing w:before="0" w:after="0"/>
              <w:ind w:left="22"/>
              <w:jc w:val="left"/>
              <w:rPr>
                <w:sz w:val="20"/>
                <w:szCs w:val="20"/>
              </w:rPr>
            </w:pPr>
            <w:r w:rsidRPr="009A2F04">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71C4FC75"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Registro de control horario y conexión</w:t>
            </w:r>
          </w:p>
          <w:p w14:paraId="2D15FADC"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Evolución del índice de distribución en la participación de empleadas y empleados en la formación online, y reducción de la brecha de género. </w:t>
            </w:r>
          </w:p>
        </w:tc>
      </w:tr>
      <w:tr w:rsidR="009A2F04" w:rsidRPr="009A2F04" w14:paraId="52A66B92" w14:textId="77777777" w:rsidTr="000F4CC1">
        <w:trPr>
          <w:trHeight w:val="70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68A07B73" w14:textId="77777777" w:rsidR="009A2F04" w:rsidRPr="009A2F04" w:rsidRDefault="009A2F04" w:rsidP="009A2F04">
            <w:pPr>
              <w:spacing w:before="0" w:after="0"/>
              <w:ind w:left="22"/>
              <w:jc w:val="left"/>
              <w:rPr>
                <w:sz w:val="20"/>
                <w:szCs w:val="20"/>
              </w:rPr>
            </w:pPr>
            <w:r w:rsidRPr="009A2F04">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FACC8F6" w14:textId="77777777" w:rsidR="009A2F04" w:rsidRPr="009A2F04" w:rsidRDefault="009A2F04" w:rsidP="009A2F04">
            <w:pPr>
              <w:spacing w:before="0" w:after="0"/>
              <w:ind w:left="315" w:hanging="218"/>
            </w:pPr>
            <w:r w:rsidRPr="009A2F04">
              <w:rPr>
                <w:sz w:val="20"/>
                <w:szCs w:val="20"/>
              </w:rPr>
              <w:t>ERAP</w:t>
            </w:r>
          </w:p>
        </w:tc>
      </w:tr>
      <w:tr w:rsidR="009A2F04" w:rsidRPr="009A2F04" w14:paraId="725654E8" w14:textId="77777777" w:rsidTr="000F4CC1">
        <w:trPr>
          <w:trHeight w:val="1689"/>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5799096" w14:textId="77777777" w:rsidR="009A2F04" w:rsidRPr="009A2F04" w:rsidRDefault="009A2F04" w:rsidP="009A2F04">
            <w:pPr>
              <w:spacing w:before="0" w:after="0"/>
              <w:ind w:left="22"/>
              <w:jc w:val="left"/>
              <w:rPr>
                <w:sz w:val="20"/>
                <w:szCs w:val="20"/>
              </w:rPr>
            </w:pPr>
            <w:r w:rsidRPr="009A2F04">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33ACAE73"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Plataforma adaptada</w:t>
            </w:r>
          </w:p>
          <w:p w14:paraId="02AD3119"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Mejora difundida</w:t>
            </w:r>
          </w:p>
          <w:p w14:paraId="49412BDA"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Valoraciones sobre la mejora recibidas por parte del grupo destinatario </w:t>
            </w:r>
          </w:p>
          <w:p w14:paraId="643C24A2"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de personas que se conectan según franja horaria, sexo y Grupo profesional</w:t>
            </w:r>
          </w:p>
        </w:tc>
      </w:tr>
      <w:tr w:rsidR="009A2F04" w:rsidRPr="009A2F04" w14:paraId="2F184253" w14:textId="77777777" w:rsidTr="000F4CC1">
        <w:trPr>
          <w:trHeight w:val="55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504445C" w14:textId="77777777" w:rsidR="009A2F04" w:rsidRPr="009A2F04" w:rsidRDefault="009A2F04" w:rsidP="009A2F04">
            <w:pPr>
              <w:spacing w:before="0" w:after="0"/>
              <w:ind w:left="22"/>
              <w:jc w:val="left"/>
              <w:rPr>
                <w:sz w:val="20"/>
                <w:szCs w:val="20"/>
              </w:rPr>
            </w:pPr>
            <w:r w:rsidRPr="009A2F04">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3FBF75D5" w14:textId="77777777" w:rsidR="009A2F04" w:rsidRPr="009A2F04" w:rsidRDefault="009A2F04" w:rsidP="002F7442">
            <w:pPr>
              <w:spacing w:before="0" w:after="0"/>
              <w:ind w:left="152"/>
              <w:jc w:val="left"/>
              <w:rPr>
                <w:sz w:val="20"/>
                <w:szCs w:val="20"/>
              </w:rPr>
            </w:pPr>
            <w:r w:rsidRPr="009A2F04">
              <w:rPr>
                <w:sz w:val="20"/>
                <w:szCs w:val="20"/>
              </w:rPr>
              <w:t>Permanente desde el inicio del Plan de Igualdad</w:t>
            </w:r>
          </w:p>
        </w:tc>
      </w:tr>
      <w:tr w:rsidR="009A2F04" w:rsidRPr="009A2F04" w14:paraId="21BA6B3B" w14:textId="77777777" w:rsidTr="00EA35D6">
        <w:trPr>
          <w:trHeight w:val="1293"/>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50B52ABD" w14:textId="77777777" w:rsidR="009A2F04" w:rsidRPr="009A2F04" w:rsidRDefault="009A2F04" w:rsidP="00EA35D6">
            <w:pPr>
              <w:spacing w:before="0" w:after="0"/>
              <w:jc w:val="left"/>
              <w:rPr>
                <w:b/>
                <w:bCs/>
                <w:sz w:val="18"/>
                <w:szCs w:val="18"/>
              </w:rPr>
            </w:pPr>
            <w:r w:rsidRPr="009A2F04">
              <w:rPr>
                <w:b/>
                <w:bCs/>
                <w:sz w:val="18"/>
                <w:szCs w:val="18"/>
              </w:rPr>
              <w:t>Observaciones</w:t>
            </w:r>
          </w:p>
          <w:p w14:paraId="51358487" w14:textId="77777777" w:rsidR="009A2F04" w:rsidRPr="009A2F04" w:rsidRDefault="009A2F04" w:rsidP="00EA35D6">
            <w:pPr>
              <w:spacing w:before="0" w:after="0"/>
              <w:jc w:val="left"/>
              <w:rPr>
                <w:sz w:val="18"/>
                <w:szCs w:val="18"/>
              </w:rPr>
            </w:pPr>
          </w:p>
          <w:p w14:paraId="0D2A1027" w14:textId="77777777" w:rsidR="009A2F04" w:rsidRPr="009A2F04" w:rsidRDefault="009A2F04" w:rsidP="00EA35D6">
            <w:pPr>
              <w:spacing w:before="0" w:after="0"/>
              <w:jc w:val="left"/>
              <w:rPr>
                <w:b/>
                <w:bCs/>
                <w:sz w:val="18"/>
                <w:szCs w:val="18"/>
              </w:rPr>
            </w:pPr>
            <w:r w:rsidRPr="009A2F04">
              <w:rPr>
                <w:sz w:val="18"/>
                <w:szCs w:val="18"/>
              </w:rPr>
              <w:t>Aplicación prioritaria: la adaptación de la plataforma virtual para la ampliación del rango horario se pondrá en marcha inmediatamente al comienzo de la vigencia de Plan.</w:t>
            </w:r>
          </w:p>
        </w:tc>
      </w:tr>
    </w:tbl>
    <w:p w14:paraId="07B07FB8" w14:textId="77777777" w:rsidR="009A2F04" w:rsidRPr="009A2F04" w:rsidRDefault="009A2F04" w:rsidP="009A2F04">
      <w:pPr>
        <w:spacing w:before="0" w:after="160"/>
        <w:rPr>
          <w:rFonts w:eastAsiaTheme="majorEastAsia" w:cstheme="majorBidi"/>
          <w:b/>
          <w:bCs/>
          <w:iCs/>
          <w:snapToGrid w:val="0"/>
          <w:color w:val="78BE20"/>
          <w:sz w:val="24"/>
          <w:szCs w:val="24"/>
        </w:rPr>
      </w:pPr>
    </w:p>
    <w:p w14:paraId="71A3E617" w14:textId="77777777" w:rsidR="002F7442" w:rsidRDefault="002F7442" w:rsidP="009A2F04">
      <w:pPr>
        <w:spacing w:before="0" w:after="160"/>
        <w:rPr>
          <w:rFonts w:eastAsiaTheme="majorEastAsia" w:cstheme="majorBidi"/>
          <w:b/>
          <w:bCs/>
          <w:iCs/>
          <w:snapToGrid w:val="0"/>
          <w:color w:val="78BE20"/>
          <w:sz w:val="24"/>
          <w:szCs w:val="24"/>
        </w:rPr>
      </w:pPr>
      <w:r>
        <w:rPr>
          <w:rFonts w:eastAsiaTheme="majorEastAsia" w:cstheme="majorBidi"/>
          <w:b/>
          <w:bCs/>
          <w:iCs/>
          <w:snapToGrid w:val="0"/>
          <w:color w:val="78BE20"/>
          <w:sz w:val="24"/>
          <w:szCs w:val="24"/>
        </w:rPr>
        <w:br w:type="page"/>
      </w:r>
    </w:p>
    <w:p w14:paraId="19205BAF" w14:textId="220D41D9" w:rsidR="009A2F04" w:rsidRPr="009A2F04" w:rsidRDefault="009A2F04" w:rsidP="009A2F04">
      <w:pPr>
        <w:spacing w:before="0" w:after="160"/>
        <w:rPr>
          <w:b/>
          <w:bCs/>
        </w:rPr>
      </w:pPr>
      <w:r w:rsidRPr="009A2F04">
        <w:rPr>
          <w:rFonts w:eastAsiaTheme="majorEastAsia" w:cstheme="majorBidi"/>
          <w:b/>
          <w:bCs/>
          <w:iCs/>
          <w:snapToGrid w:val="0"/>
          <w:color w:val="78BE20"/>
          <w:sz w:val="24"/>
          <w:szCs w:val="24"/>
        </w:rPr>
        <w:t xml:space="preserve">OBJETIVO. </w:t>
      </w:r>
      <w:bookmarkStart w:id="44" w:name="_Hlk120539972"/>
      <w:r w:rsidRPr="009A2F04">
        <w:rPr>
          <w:b/>
          <w:bCs/>
        </w:rPr>
        <w:t>Comunicar de manera efectiva y desde la perspectiva de la corresponsabilidad las medidas de conciliación existentes en la Administración General.</w:t>
      </w:r>
    </w:p>
    <w:bookmarkEnd w:id="44"/>
    <w:p w14:paraId="096A1800" w14:textId="054BC307" w:rsidR="009A2F04" w:rsidRPr="009A2F04" w:rsidRDefault="009A2F04" w:rsidP="009A2F04">
      <w:pPr>
        <w:pStyle w:val="Ttulo3"/>
      </w:pPr>
      <w:r>
        <w:t>Medida</w:t>
      </w:r>
      <w:r w:rsidRPr="009A2F04">
        <w:t xml:space="preserve"> 28</w:t>
      </w:r>
    </w:p>
    <w:tbl>
      <w:tblPr>
        <w:tblStyle w:val="Tablaconcuadrcula"/>
        <w:tblW w:w="0" w:type="auto"/>
        <w:tblLook w:val="04A0" w:firstRow="1" w:lastRow="0" w:firstColumn="1" w:lastColumn="0" w:noHBand="0" w:noVBand="1"/>
      </w:tblPr>
      <w:tblGrid>
        <w:gridCol w:w="2402"/>
        <w:gridCol w:w="6072"/>
      </w:tblGrid>
      <w:tr w:rsidR="009A2F04" w:rsidRPr="009A2F04" w14:paraId="746C554C" w14:textId="77777777" w:rsidTr="000F4CC1">
        <w:trPr>
          <w:trHeight w:val="1199"/>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46278028" w14:textId="77777777" w:rsidR="009A2F04" w:rsidRPr="009A2F04" w:rsidRDefault="009A2F04" w:rsidP="009A2F04">
            <w:pPr>
              <w:spacing w:before="0" w:after="0"/>
              <w:ind w:left="22"/>
              <w:jc w:val="left"/>
            </w:pPr>
            <w:r w:rsidRPr="009A2F04">
              <w:rPr>
                <w:b/>
                <w:bCs/>
                <w:color w:val="FFFFFF" w:themeColor="background1"/>
              </w:rPr>
              <w:t>Elaboración de un folleto informativo sobre las medidas de conciliación disponibles para el personal de la Administración General</w:t>
            </w:r>
          </w:p>
        </w:tc>
      </w:tr>
      <w:tr w:rsidR="009A2F04" w:rsidRPr="009A2F04" w14:paraId="046C3517" w14:textId="77777777" w:rsidTr="000F4CC1">
        <w:trPr>
          <w:trHeight w:val="796"/>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7B112B7C" w14:textId="77777777" w:rsidR="009A2F04" w:rsidRPr="009A2F04" w:rsidRDefault="009A2F04" w:rsidP="009A2F04">
            <w:pPr>
              <w:spacing w:before="0" w:after="0"/>
              <w:ind w:left="22"/>
              <w:jc w:val="left"/>
              <w:rPr>
                <w:sz w:val="20"/>
                <w:szCs w:val="20"/>
              </w:rPr>
            </w:pPr>
            <w:r w:rsidRPr="009A2F04">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5CBE1D05" w14:textId="77777777" w:rsidR="009A2F04" w:rsidRPr="009A2F04" w:rsidRDefault="009A2F04" w:rsidP="002F7442">
            <w:pPr>
              <w:spacing w:before="0" w:after="0"/>
              <w:ind w:left="152" w:right="158"/>
              <w:rPr>
                <w:sz w:val="20"/>
                <w:szCs w:val="20"/>
              </w:rPr>
            </w:pPr>
            <w:r w:rsidRPr="009A2F04">
              <w:rPr>
                <w:sz w:val="20"/>
                <w:szCs w:val="20"/>
              </w:rPr>
              <w:t>Personal de la Administración General.</w:t>
            </w:r>
          </w:p>
        </w:tc>
      </w:tr>
      <w:tr w:rsidR="009A2F04" w:rsidRPr="009A2F04" w14:paraId="275FB586" w14:textId="77777777" w:rsidTr="000F4CC1">
        <w:trPr>
          <w:trHeight w:val="2197"/>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463D78E4" w14:textId="77777777" w:rsidR="009A2F04" w:rsidRPr="009A2F04" w:rsidRDefault="009A2F04" w:rsidP="009A2F04">
            <w:pPr>
              <w:spacing w:before="0" w:after="0"/>
              <w:ind w:left="22"/>
              <w:jc w:val="left"/>
              <w:rPr>
                <w:sz w:val="20"/>
                <w:szCs w:val="20"/>
              </w:rPr>
            </w:pPr>
            <w:r w:rsidRPr="009A2F04">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3F538BE2"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Identificación de la tipología de derechos a la conciliación establecidos en el TREBEP, ET y en el Acuerdo Convenio colectivos de aplicación. </w:t>
            </w:r>
          </w:p>
          <w:p w14:paraId="032A3AC4"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Publicación del folleto en el portal web del Gobierno de La Rioja, tanto en la sección de “empleados públicos” como en el tablón virtual de anuncios.</w:t>
            </w:r>
          </w:p>
          <w:p w14:paraId="061D26A2"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Envío masivo por correo-e del enlace al folleto ubicado en el portal web. </w:t>
            </w:r>
          </w:p>
        </w:tc>
      </w:tr>
      <w:tr w:rsidR="009A2F04" w:rsidRPr="009A2F04" w14:paraId="719FAD86" w14:textId="77777777" w:rsidTr="000F4CC1">
        <w:trPr>
          <w:trHeight w:val="512"/>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DC3A7A5" w14:textId="77777777" w:rsidR="009A2F04" w:rsidRPr="009A2F04" w:rsidRDefault="009A2F04" w:rsidP="009A2F04">
            <w:pPr>
              <w:spacing w:before="0" w:after="0"/>
              <w:ind w:left="22"/>
              <w:jc w:val="left"/>
              <w:rPr>
                <w:sz w:val="20"/>
                <w:szCs w:val="20"/>
              </w:rPr>
            </w:pPr>
            <w:r w:rsidRPr="009A2F04">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76032497" w14:textId="77777777" w:rsidR="009A2F04" w:rsidRPr="009A2F04" w:rsidRDefault="009A2F04" w:rsidP="002F7442">
            <w:pPr>
              <w:tabs>
                <w:tab w:val="left" w:pos="5698"/>
              </w:tabs>
              <w:spacing w:before="0" w:after="0" w:line="259" w:lineRule="auto"/>
              <w:ind w:left="152" w:right="12"/>
              <w:contextualSpacing/>
              <w:jc w:val="left"/>
              <w:rPr>
                <w:sz w:val="20"/>
                <w:szCs w:val="18"/>
              </w:rPr>
            </w:pPr>
            <w:r w:rsidRPr="009A2F04">
              <w:rPr>
                <w:sz w:val="20"/>
                <w:szCs w:val="18"/>
              </w:rPr>
              <w:t>Normativa vigente</w:t>
            </w:r>
          </w:p>
        </w:tc>
      </w:tr>
      <w:tr w:rsidR="009A2F04" w:rsidRPr="009A2F04" w14:paraId="5D137F38" w14:textId="77777777" w:rsidTr="000F4CC1">
        <w:trPr>
          <w:trHeight w:val="45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5D0EF3C" w14:textId="77777777" w:rsidR="009A2F04" w:rsidRPr="009A2F04" w:rsidRDefault="009A2F04" w:rsidP="009A2F04">
            <w:pPr>
              <w:spacing w:before="0" w:after="0"/>
              <w:ind w:left="22"/>
              <w:jc w:val="left"/>
              <w:rPr>
                <w:sz w:val="20"/>
                <w:szCs w:val="20"/>
              </w:rPr>
            </w:pPr>
            <w:r w:rsidRPr="009A2F04">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0B768686" w14:textId="77777777" w:rsidR="009A2F04" w:rsidRPr="009A2F04" w:rsidRDefault="009A2F04" w:rsidP="002F7442">
            <w:pPr>
              <w:tabs>
                <w:tab w:val="left" w:pos="5698"/>
              </w:tabs>
              <w:spacing w:before="0" w:after="0" w:line="259" w:lineRule="auto"/>
              <w:ind w:left="152" w:right="12"/>
              <w:contextualSpacing/>
              <w:jc w:val="left"/>
              <w:rPr>
                <w:sz w:val="20"/>
                <w:szCs w:val="18"/>
              </w:rPr>
            </w:pPr>
            <w:r w:rsidRPr="009A2F04">
              <w:rPr>
                <w:sz w:val="20"/>
                <w:szCs w:val="18"/>
              </w:rPr>
              <w:t>Órgano con competencias en materia de Función Pública</w:t>
            </w:r>
          </w:p>
        </w:tc>
      </w:tr>
      <w:tr w:rsidR="009A2F04" w:rsidRPr="009A2F04" w14:paraId="3ED4B619" w14:textId="77777777" w:rsidTr="002F7442">
        <w:trPr>
          <w:trHeight w:val="380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0047E8E" w14:textId="77777777" w:rsidR="009A2F04" w:rsidRPr="009A2F04" w:rsidRDefault="009A2F04" w:rsidP="009A2F04">
            <w:pPr>
              <w:spacing w:before="0" w:after="0"/>
              <w:ind w:left="22"/>
              <w:jc w:val="left"/>
              <w:rPr>
                <w:sz w:val="20"/>
                <w:szCs w:val="20"/>
              </w:rPr>
            </w:pPr>
            <w:r w:rsidRPr="009A2F04">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777E70D"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Folleto elaborado y publicado en el portal web</w:t>
            </w:r>
          </w:p>
          <w:p w14:paraId="2DE7B2EB"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Enlace al folleto enviado masivamente por correo-e</w:t>
            </w:r>
          </w:p>
          <w:p w14:paraId="2CC7A901"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Evolución del índice de distribución en el acogimiento a excedencias motivadas por necesidades de cuidados, y reducción de la brecha de género. </w:t>
            </w:r>
          </w:p>
          <w:p w14:paraId="02AB57B8"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Evolución del índice de distribución de mujeres y hombres en la fórmula de teletrabajo, y reducción de la brecha de género.</w:t>
            </w:r>
          </w:p>
          <w:p w14:paraId="0250E4D8"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Evolución del índice de distribución en el acogimiento a la flexibilidad horaria, y reducción de la brecha de género. </w:t>
            </w:r>
          </w:p>
          <w:p w14:paraId="7467F262"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Evolución del índice de distribución en las reducciones de jornada, y reducción de la brecha de género.</w:t>
            </w:r>
          </w:p>
          <w:p w14:paraId="52CA881E"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Evolución del índice de distribución en la participación de empleadas y empleados en la formación online, y reducción de la brecha de género.</w:t>
            </w:r>
          </w:p>
        </w:tc>
      </w:tr>
      <w:tr w:rsidR="009A2F04" w:rsidRPr="009A2F04" w14:paraId="2A5B2A80" w14:textId="77777777" w:rsidTr="002F7442">
        <w:trPr>
          <w:trHeight w:val="553"/>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15AB6B3" w14:textId="77777777" w:rsidR="009A2F04" w:rsidRPr="009A2F04" w:rsidRDefault="009A2F04" w:rsidP="009A2F04">
            <w:pPr>
              <w:spacing w:before="0" w:after="0"/>
              <w:ind w:left="22"/>
              <w:jc w:val="left"/>
              <w:rPr>
                <w:sz w:val="20"/>
                <w:szCs w:val="20"/>
              </w:rPr>
            </w:pPr>
            <w:r w:rsidRPr="009A2F04">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101FADCC" w14:textId="77777777" w:rsidR="009A2F04" w:rsidRPr="009A2F04" w:rsidRDefault="009A2F04" w:rsidP="009A2F04">
            <w:pPr>
              <w:spacing w:before="0" w:after="0"/>
              <w:jc w:val="left"/>
              <w:rPr>
                <w:sz w:val="20"/>
                <w:szCs w:val="20"/>
              </w:rPr>
            </w:pPr>
            <w:r w:rsidRPr="009A2F04">
              <w:rPr>
                <w:sz w:val="20"/>
                <w:szCs w:val="20"/>
              </w:rPr>
              <w:t>Año 1 desde el inicio del Plan de Igualdad</w:t>
            </w:r>
          </w:p>
        </w:tc>
      </w:tr>
      <w:tr w:rsidR="009A2F04" w:rsidRPr="009A2F04" w14:paraId="4F161F19" w14:textId="77777777" w:rsidTr="00EA35D6">
        <w:trPr>
          <w:trHeight w:val="1142"/>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067A491B" w14:textId="77777777" w:rsidR="009A2F04" w:rsidRPr="009A2F04" w:rsidRDefault="009A2F04" w:rsidP="00EA35D6">
            <w:pPr>
              <w:spacing w:before="0" w:after="0"/>
              <w:jc w:val="left"/>
              <w:rPr>
                <w:b/>
                <w:bCs/>
                <w:sz w:val="18"/>
                <w:szCs w:val="18"/>
              </w:rPr>
            </w:pPr>
            <w:r w:rsidRPr="009A2F04">
              <w:rPr>
                <w:b/>
                <w:bCs/>
                <w:sz w:val="18"/>
                <w:szCs w:val="18"/>
              </w:rPr>
              <w:t>Observaciones</w:t>
            </w:r>
          </w:p>
          <w:p w14:paraId="1C534F6A" w14:textId="77777777" w:rsidR="009A2F04" w:rsidRPr="009A2F04" w:rsidRDefault="009A2F04" w:rsidP="00EA35D6">
            <w:pPr>
              <w:spacing w:before="0" w:after="0"/>
              <w:jc w:val="left"/>
              <w:rPr>
                <w:b/>
                <w:bCs/>
                <w:sz w:val="18"/>
                <w:szCs w:val="18"/>
              </w:rPr>
            </w:pPr>
          </w:p>
          <w:p w14:paraId="431A52FD" w14:textId="77777777" w:rsidR="009A2F04" w:rsidRPr="009A2F04" w:rsidRDefault="009A2F04" w:rsidP="00EA35D6">
            <w:pPr>
              <w:spacing w:before="0" w:after="0"/>
              <w:jc w:val="left"/>
              <w:rPr>
                <w:sz w:val="18"/>
                <w:szCs w:val="18"/>
              </w:rPr>
            </w:pPr>
            <w:r w:rsidRPr="009A2F04">
              <w:rPr>
                <w:sz w:val="18"/>
                <w:szCs w:val="18"/>
              </w:rPr>
              <w:t xml:space="preserve">Los centros de trabajo facilitarán el acceso al folleto a todas las personas que lo soliciten. </w:t>
            </w:r>
          </w:p>
          <w:p w14:paraId="63EE7BF4" w14:textId="77777777" w:rsidR="009A2F04" w:rsidRPr="009A2F04" w:rsidRDefault="009A2F04" w:rsidP="00EA35D6">
            <w:pPr>
              <w:spacing w:before="0" w:after="0"/>
              <w:jc w:val="left"/>
              <w:rPr>
                <w:b/>
                <w:bCs/>
                <w:sz w:val="18"/>
                <w:szCs w:val="18"/>
              </w:rPr>
            </w:pPr>
          </w:p>
        </w:tc>
      </w:tr>
    </w:tbl>
    <w:p w14:paraId="1EB3EBA9" w14:textId="77777777" w:rsidR="009A2F04" w:rsidRPr="009A2F04" w:rsidRDefault="009A2F04" w:rsidP="009A2F04">
      <w:pPr>
        <w:spacing w:before="0" w:after="160" w:line="259" w:lineRule="auto"/>
        <w:jc w:val="left"/>
      </w:pPr>
      <w:r w:rsidRPr="009A2F04">
        <w:br w:type="page"/>
      </w:r>
    </w:p>
    <w:p w14:paraId="251C57D4" w14:textId="64FF6AEC" w:rsidR="005121F6" w:rsidRDefault="009A2F04" w:rsidP="00024B4E">
      <w:pPr>
        <w:pStyle w:val="Ttulo2"/>
      </w:pPr>
      <w:bookmarkStart w:id="45" w:name="_Toc122080805"/>
      <w:r w:rsidRPr="009A2F04">
        <w:rPr>
          <w:lang w:val="es-ES"/>
        </w:rPr>
        <w:t xml:space="preserve">Ámbito </w:t>
      </w:r>
      <w:r w:rsidR="005121F6">
        <w:t>7.</w:t>
      </w:r>
      <w:r w:rsidR="005121F6" w:rsidRPr="005121F6">
        <w:t xml:space="preserve"> Prevención del acoso sexual y por razón de sexo y de las violencias machistas</w:t>
      </w:r>
      <w:bookmarkEnd w:id="45"/>
    </w:p>
    <w:p w14:paraId="0CABA5CD" w14:textId="66F3A250" w:rsidR="005121F6" w:rsidRDefault="005121F6" w:rsidP="005121F6">
      <w:r w:rsidRPr="00EA35D6">
        <w:rPr>
          <w:b/>
          <w:bCs/>
        </w:rPr>
        <w:t xml:space="preserve">El </w:t>
      </w:r>
      <w:r w:rsidR="009A2F04" w:rsidRPr="00EA35D6">
        <w:rPr>
          <w:b/>
          <w:bCs/>
        </w:rPr>
        <w:t>ámbito</w:t>
      </w:r>
      <w:r w:rsidRPr="00EA35D6">
        <w:rPr>
          <w:b/>
          <w:bCs/>
        </w:rPr>
        <w:t xml:space="preserve"> pers</w:t>
      </w:r>
      <w:r w:rsidR="009A2F04" w:rsidRPr="00EA35D6">
        <w:rPr>
          <w:b/>
          <w:bCs/>
        </w:rPr>
        <w:t>i</w:t>
      </w:r>
      <w:r w:rsidRPr="00EA35D6">
        <w:rPr>
          <w:b/>
          <w:bCs/>
        </w:rPr>
        <w:t>gue dos objetivos fundamentales, por medio de</w:t>
      </w:r>
      <w:r w:rsidR="00475105">
        <w:rPr>
          <w:b/>
          <w:bCs/>
        </w:rPr>
        <w:t xml:space="preserve"> 3 medidas que</w:t>
      </w:r>
      <w:r w:rsidRPr="00EA35D6">
        <w:rPr>
          <w:b/>
          <w:bCs/>
        </w:rPr>
        <w:t xml:space="preserve"> contribuye</w:t>
      </w:r>
      <w:r w:rsidR="00475105">
        <w:rPr>
          <w:b/>
          <w:bCs/>
        </w:rPr>
        <w:t>n</w:t>
      </w:r>
      <w:r w:rsidRPr="00EA35D6">
        <w:rPr>
          <w:b/>
          <w:bCs/>
        </w:rPr>
        <w:t xml:space="preserve"> a erradicar cualquier forma de violencia machista</w:t>
      </w:r>
      <w:r>
        <w:t xml:space="preserve"> en la Administración General o que afecte a las empleadas públicas de La Rioja. </w:t>
      </w:r>
    </w:p>
    <w:p w14:paraId="5296BB46" w14:textId="77777777" w:rsidR="005121F6" w:rsidRPr="005121F6" w:rsidRDefault="005121F6" w:rsidP="005121F6"/>
    <w:tbl>
      <w:tblPr>
        <w:tblStyle w:val="Tablaconcuadrcula"/>
        <w:tblW w:w="0" w:type="auto"/>
        <w:tblLook w:val="04A0" w:firstRow="1" w:lastRow="0" w:firstColumn="1" w:lastColumn="0" w:noHBand="0" w:noVBand="1"/>
      </w:tblPr>
      <w:tblGrid>
        <w:gridCol w:w="1101"/>
        <w:gridCol w:w="7543"/>
      </w:tblGrid>
      <w:tr w:rsidR="009A2F04" w14:paraId="31DD5914" w14:textId="77777777" w:rsidTr="001F7269">
        <w:tc>
          <w:tcPr>
            <w:tcW w:w="8644" w:type="dxa"/>
            <w:gridSpan w:val="2"/>
            <w:tcBorders>
              <w:top w:val="single" w:sz="4" w:space="0" w:color="78BE20"/>
              <w:left w:val="single" w:sz="4" w:space="0" w:color="78BE20"/>
              <w:bottom w:val="single" w:sz="4" w:space="0" w:color="FFFFFF"/>
              <w:right w:val="single" w:sz="4" w:space="0" w:color="78BE20"/>
            </w:tcBorders>
            <w:vAlign w:val="center"/>
          </w:tcPr>
          <w:p w14:paraId="6C2885CE" w14:textId="77777777" w:rsidR="0064207C" w:rsidRDefault="0064207C" w:rsidP="000F4CC1">
            <w:pPr>
              <w:spacing w:before="0" w:after="0" w:line="259" w:lineRule="auto"/>
              <w:rPr>
                <w:b/>
                <w:bCs/>
                <w:color w:val="78BE20"/>
                <w:sz w:val="20"/>
                <w:szCs w:val="20"/>
              </w:rPr>
            </w:pPr>
          </w:p>
          <w:p w14:paraId="7C31D71B" w14:textId="0797F898" w:rsidR="009A2F04" w:rsidRDefault="009A2F04" w:rsidP="000F4CC1">
            <w:pPr>
              <w:spacing w:before="0" w:after="0" w:line="259" w:lineRule="auto"/>
              <w:rPr>
                <w:sz w:val="20"/>
                <w:szCs w:val="20"/>
              </w:rPr>
            </w:pPr>
            <w:r w:rsidRPr="000A25DD">
              <w:rPr>
                <w:b/>
                <w:bCs/>
                <w:color w:val="78BE20"/>
                <w:sz w:val="20"/>
                <w:szCs w:val="20"/>
              </w:rPr>
              <w:t>OBJETIVO.</w:t>
            </w:r>
            <w:r>
              <w:rPr>
                <w:sz w:val="20"/>
                <w:szCs w:val="20"/>
              </w:rPr>
              <w:t xml:space="preserve"> </w:t>
            </w:r>
            <w:r w:rsidRPr="009A2F04">
              <w:rPr>
                <w:b/>
                <w:bCs/>
                <w:sz w:val="20"/>
                <w:szCs w:val="20"/>
              </w:rPr>
              <w:t>Hacer efectivo el posicionamiento y compromiso de la Administración General con un entorno libre de violencia laboral</w:t>
            </w:r>
            <w:r>
              <w:rPr>
                <w:b/>
                <w:bCs/>
                <w:sz w:val="20"/>
                <w:szCs w:val="20"/>
              </w:rPr>
              <w:t>.</w:t>
            </w:r>
          </w:p>
          <w:p w14:paraId="1F163433" w14:textId="77777777" w:rsidR="009A2F04" w:rsidRDefault="009A2F04" w:rsidP="000F4CC1">
            <w:pPr>
              <w:spacing w:before="0" w:after="0" w:line="259" w:lineRule="auto"/>
            </w:pPr>
          </w:p>
        </w:tc>
      </w:tr>
      <w:tr w:rsidR="009A2F04" w14:paraId="26DCBE4B" w14:textId="77777777" w:rsidTr="001F7269">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13AF11DC" w14:textId="66E1FDF4" w:rsidR="009A2F04" w:rsidRPr="000A25DD" w:rsidRDefault="002F7442" w:rsidP="00D841D0">
            <w:pPr>
              <w:spacing w:before="0" w:after="0" w:line="259" w:lineRule="auto"/>
              <w:jc w:val="right"/>
              <w:rPr>
                <w:b/>
                <w:bCs/>
                <w:color w:val="FFFFFF" w:themeColor="background1"/>
              </w:rPr>
            </w:pPr>
            <w:r w:rsidRPr="002F7442">
              <w:rPr>
                <w:b/>
                <w:bCs/>
                <w:color w:val="FFFFFF" w:themeColor="background1"/>
                <w:sz w:val="20"/>
                <w:szCs w:val="20"/>
              </w:rPr>
              <w:t xml:space="preserve">Medida </w:t>
            </w:r>
            <w:r w:rsidR="00D841D0">
              <w:rPr>
                <w:b/>
                <w:bCs/>
                <w:color w:val="FFFFFF" w:themeColor="background1"/>
                <w:sz w:val="32"/>
                <w:szCs w:val="32"/>
              </w:rPr>
              <w:t>29</w:t>
            </w:r>
          </w:p>
        </w:tc>
        <w:tc>
          <w:tcPr>
            <w:tcW w:w="7543" w:type="dxa"/>
            <w:tcBorders>
              <w:top w:val="single" w:sz="4" w:space="0" w:color="FFFFFF"/>
              <w:left w:val="single" w:sz="4" w:space="0" w:color="FFFFFF"/>
              <w:bottom w:val="single" w:sz="4" w:space="0" w:color="78BE20"/>
              <w:right w:val="single" w:sz="4" w:space="0" w:color="78BE20"/>
            </w:tcBorders>
            <w:vAlign w:val="center"/>
          </w:tcPr>
          <w:p w14:paraId="3E4CE43D" w14:textId="523F0DE2" w:rsidR="009A2F04" w:rsidRPr="003B2499" w:rsidRDefault="003B2499" w:rsidP="000F4CC1">
            <w:pPr>
              <w:spacing w:before="0" w:after="0" w:line="259" w:lineRule="auto"/>
            </w:pPr>
            <w:r w:rsidRPr="003B2499">
              <w:rPr>
                <w:sz w:val="20"/>
                <w:szCs w:val="20"/>
              </w:rPr>
              <w:t>Creación de la Comisión Instructora del Procedimiento de prevención y actuación frente al acoso sexual y por razón de sexo.</w:t>
            </w:r>
          </w:p>
        </w:tc>
      </w:tr>
      <w:tr w:rsidR="009A2F04" w14:paraId="39807665" w14:textId="77777777" w:rsidTr="001F7269">
        <w:tc>
          <w:tcPr>
            <w:tcW w:w="8644" w:type="dxa"/>
            <w:gridSpan w:val="2"/>
            <w:tcBorders>
              <w:top w:val="single" w:sz="4" w:space="0" w:color="78BE20"/>
              <w:left w:val="single" w:sz="4" w:space="0" w:color="78BE20"/>
              <w:bottom w:val="single" w:sz="4" w:space="0" w:color="FFFFFF"/>
              <w:right w:val="single" w:sz="4" w:space="0" w:color="78BE20"/>
            </w:tcBorders>
            <w:vAlign w:val="center"/>
          </w:tcPr>
          <w:p w14:paraId="7D7D1DAE" w14:textId="77777777" w:rsidR="009A2F04" w:rsidRDefault="009A2F04" w:rsidP="000F4CC1">
            <w:pPr>
              <w:spacing w:before="0" w:after="0" w:line="259" w:lineRule="auto"/>
              <w:rPr>
                <w:b/>
                <w:bCs/>
                <w:color w:val="78BE20"/>
                <w:sz w:val="20"/>
                <w:szCs w:val="20"/>
              </w:rPr>
            </w:pPr>
          </w:p>
          <w:p w14:paraId="43E8A5A1" w14:textId="77777777" w:rsidR="009A2F04" w:rsidRDefault="009A2F04" w:rsidP="000F4CC1">
            <w:pPr>
              <w:spacing w:before="0" w:after="0" w:line="259" w:lineRule="auto"/>
              <w:rPr>
                <w:b/>
                <w:bCs/>
                <w:color w:val="78BE20"/>
                <w:sz w:val="20"/>
                <w:szCs w:val="20"/>
              </w:rPr>
            </w:pPr>
          </w:p>
          <w:p w14:paraId="248883C8" w14:textId="77777777" w:rsidR="009A2F04" w:rsidRDefault="009A2F04" w:rsidP="00475105">
            <w:pPr>
              <w:spacing w:before="0" w:after="0" w:line="259" w:lineRule="auto"/>
              <w:rPr>
                <w:b/>
                <w:bCs/>
                <w:sz w:val="20"/>
                <w:szCs w:val="20"/>
              </w:rPr>
            </w:pPr>
            <w:r w:rsidRPr="000A25DD">
              <w:rPr>
                <w:b/>
                <w:bCs/>
                <w:color w:val="78BE20"/>
                <w:sz w:val="20"/>
                <w:szCs w:val="20"/>
              </w:rPr>
              <w:t>OBJETIVO.</w:t>
            </w:r>
            <w:r>
              <w:rPr>
                <w:sz w:val="20"/>
                <w:szCs w:val="20"/>
              </w:rPr>
              <w:t xml:space="preserve"> </w:t>
            </w:r>
            <w:r w:rsidR="00475105" w:rsidRPr="009A2F04">
              <w:rPr>
                <w:b/>
                <w:bCs/>
                <w:sz w:val="20"/>
                <w:szCs w:val="20"/>
              </w:rPr>
              <w:t>Hacer efectivo el posicionamiento y compromiso de la Administración General con un entorno libre de violencia laboral</w:t>
            </w:r>
            <w:r w:rsidR="00475105">
              <w:rPr>
                <w:b/>
                <w:bCs/>
                <w:sz w:val="20"/>
                <w:szCs w:val="20"/>
              </w:rPr>
              <w:t>.</w:t>
            </w:r>
          </w:p>
          <w:p w14:paraId="23E23E65" w14:textId="131194DC" w:rsidR="00475105" w:rsidRPr="000A25DD" w:rsidRDefault="00475105" w:rsidP="00475105">
            <w:pPr>
              <w:spacing w:before="0" w:after="0" w:line="259" w:lineRule="auto"/>
              <w:rPr>
                <w:sz w:val="20"/>
                <w:szCs w:val="20"/>
              </w:rPr>
            </w:pPr>
          </w:p>
        </w:tc>
      </w:tr>
      <w:tr w:rsidR="009A2F04" w14:paraId="3B774769" w14:textId="77777777" w:rsidTr="001F7269">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104AC208" w14:textId="06D856DB" w:rsidR="009A2F04" w:rsidRDefault="002F7442" w:rsidP="003B2499">
            <w:pPr>
              <w:spacing w:before="0" w:after="0" w:line="259" w:lineRule="auto"/>
              <w:jc w:val="right"/>
            </w:pPr>
            <w:r w:rsidRPr="002F7442">
              <w:rPr>
                <w:b/>
                <w:bCs/>
                <w:color w:val="FFFFFF" w:themeColor="background1"/>
                <w:sz w:val="20"/>
                <w:szCs w:val="20"/>
              </w:rPr>
              <w:t xml:space="preserve">Medida </w:t>
            </w:r>
            <w:r w:rsidR="003B2499" w:rsidRPr="003B2499">
              <w:rPr>
                <w:b/>
                <w:bCs/>
                <w:color w:val="FFFFFF" w:themeColor="background1"/>
                <w:sz w:val="32"/>
                <w:szCs w:val="32"/>
              </w:rPr>
              <w:t>30</w:t>
            </w:r>
          </w:p>
        </w:tc>
        <w:tc>
          <w:tcPr>
            <w:tcW w:w="7543" w:type="dxa"/>
            <w:tcBorders>
              <w:top w:val="single" w:sz="4" w:space="0" w:color="FFFFFF"/>
              <w:left w:val="single" w:sz="4" w:space="0" w:color="FFFFFF"/>
              <w:bottom w:val="single" w:sz="4" w:space="0" w:color="78BE20"/>
              <w:right w:val="single" w:sz="4" w:space="0" w:color="78BE20"/>
            </w:tcBorders>
            <w:vAlign w:val="center"/>
          </w:tcPr>
          <w:p w14:paraId="1F026F5F" w14:textId="44486356" w:rsidR="009A2F04" w:rsidRPr="003B2499" w:rsidRDefault="003B2499" w:rsidP="000F4CC1">
            <w:pPr>
              <w:spacing w:before="0" w:after="0" w:line="259" w:lineRule="auto"/>
            </w:pPr>
            <w:r w:rsidRPr="003B2499">
              <w:rPr>
                <w:sz w:val="20"/>
                <w:szCs w:val="20"/>
              </w:rPr>
              <w:t>Aprobación del Protocolo de prevención y actuación frente al acoso por razón de sexo, acoso sexual y otras conductas contra la integridad sexual como referencia homogénea que regule la actuación de la Administración General.</w:t>
            </w:r>
          </w:p>
        </w:tc>
      </w:tr>
      <w:tr w:rsidR="009A2F04" w14:paraId="747E30B5" w14:textId="77777777" w:rsidTr="001F7269">
        <w:tc>
          <w:tcPr>
            <w:tcW w:w="8644" w:type="dxa"/>
            <w:gridSpan w:val="2"/>
            <w:tcBorders>
              <w:top w:val="single" w:sz="4" w:space="0" w:color="78BE20"/>
              <w:left w:val="single" w:sz="4" w:space="0" w:color="78BE20"/>
              <w:bottom w:val="single" w:sz="4" w:space="0" w:color="FFFFFF"/>
              <w:right w:val="single" w:sz="4" w:space="0" w:color="78BE20"/>
            </w:tcBorders>
            <w:shd w:val="clear" w:color="auto" w:fill="auto"/>
            <w:vAlign w:val="center"/>
          </w:tcPr>
          <w:p w14:paraId="69FB4DF3" w14:textId="77777777" w:rsidR="009A2F04" w:rsidRDefault="009A2F04" w:rsidP="000F4CC1">
            <w:pPr>
              <w:spacing w:before="0" w:after="0" w:line="259" w:lineRule="auto"/>
              <w:rPr>
                <w:b/>
                <w:bCs/>
                <w:color w:val="78BE20"/>
                <w:sz w:val="20"/>
                <w:szCs w:val="20"/>
              </w:rPr>
            </w:pPr>
          </w:p>
          <w:p w14:paraId="68EA5611" w14:textId="77777777" w:rsidR="009A2F04" w:rsidRDefault="009A2F04" w:rsidP="000F4CC1">
            <w:pPr>
              <w:spacing w:before="0" w:after="0" w:line="259" w:lineRule="auto"/>
              <w:rPr>
                <w:b/>
                <w:bCs/>
                <w:color w:val="78BE20"/>
                <w:sz w:val="20"/>
                <w:szCs w:val="20"/>
              </w:rPr>
            </w:pPr>
          </w:p>
          <w:p w14:paraId="122CA0F2" w14:textId="77777777" w:rsidR="009A2F04" w:rsidRDefault="009A2F04" w:rsidP="00475105">
            <w:pPr>
              <w:spacing w:before="0" w:after="0" w:line="259" w:lineRule="auto"/>
              <w:rPr>
                <w:b/>
                <w:bCs/>
                <w:sz w:val="20"/>
                <w:szCs w:val="20"/>
              </w:rPr>
            </w:pPr>
            <w:r w:rsidRPr="000A25DD">
              <w:rPr>
                <w:b/>
                <w:bCs/>
                <w:color w:val="78BE20"/>
                <w:sz w:val="20"/>
                <w:szCs w:val="20"/>
              </w:rPr>
              <w:t>OBJETIVO.</w:t>
            </w:r>
            <w:r>
              <w:rPr>
                <w:sz w:val="20"/>
                <w:szCs w:val="20"/>
              </w:rPr>
              <w:t xml:space="preserve"> </w:t>
            </w:r>
            <w:r w:rsidR="00475105" w:rsidRPr="009A2F04">
              <w:rPr>
                <w:b/>
                <w:bCs/>
                <w:sz w:val="20"/>
                <w:szCs w:val="20"/>
              </w:rPr>
              <w:t>Pautar la actuación de la Administración General para contribuir a la reparación integral de la empleada víctima de violencia de género</w:t>
            </w:r>
            <w:r w:rsidR="00475105">
              <w:rPr>
                <w:b/>
                <w:bCs/>
                <w:sz w:val="20"/>
                <w:szCs w:val="20"/>
              </w:rPr>
              <w:t>.</w:t>
            </w:r>
          </w:p>
          <w:p w14:paraId="45D76D05" w14:textId="5517EEAF" w:rsidR="00475105" w:rsidRDefault="00475105" w:rsidP="00475105">
            <w:pPr>
              <w:spacing w:before="0" w:after="0" w:line="259" w:lineRule="auto"/>
            </w:pPr>
          </w:p>
        </w:tc>
      </w:tr>
      <w:tr w:rsidR="009A2F04" w14:paraId="67077CC0" w14:textId="77777777" w:rsidTr="001F7269">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281F7788" w14:textId="3488C189" w:rsidR="009A2F04" w:rsidRPr="000A25DD" w:rsidRDefault="002F7442" w:rsidP="003B2499">
            <w:pPr>
              <w:spacing w:before="0" w:after="0" w:line="259" w:lineRule="auto"/>
              <w:jc w:val="right"/>
              <w:rPr>
                <w:b/>
                <w:bCs/>
                <w:color w:val="FFFFFF" w:themeColor="background1"/>
                <w:sz w:val="20"/>
                <w:szCs w:val="20"/>
              </w:rPr>
            </w:pPr>
            <w:r w:rsidRPr="002F7442">
              <w:rPr>
                <w:b/>
                <w:bCs/>
                <w:color w:val="FFFFFF" w:themeColor="background1"/>
                <w:sz w:val="20"/>
                <w:szCs w:val="20"/>
              </w:rPr>
              <w:t xml:space="preserve">Medida </w:t>
            </w:r>
            <w:r w:rsidR="003B2499" w:rsidRPr="003B2499">
              <w:rPr>
                <w:b/>
                <w:bCs/>
                <w:color w:val="FFFFFF" w:themeColor="background1"/>
                <w:sz w:val="32"/>
                <w:szCs w:val="32"/>
              </w:rPr>
              <w:t>31</w:t>
            </w:r>
          </w:p>
        </w:tc>
        <w:tc>
          <w:tcPr>
            <w:tcW w:w="7543" w:type="dxa"/>
            <w:tcBorders>
              <w:top w:val="single" w:sz="4" w:space="0" w:color="FFFFFF"/>
              <w:left w:val="single" w:sz="4" w:space="0" w:color="FFFFFF"/>
              <w:bottom w:val="single" w:sz="4" w:space="0" w:color="78BE20"/>
              <w:right w:val="single" w:sz="4" w:space="0" w:color="78BE20"/>
            </w:tcBorders>
            <w:vAlign w:val="center"/>
          </w:tcPr>
          <w:p w14:paraId="5A3965E9" w14:textId="76EA12CA" w:rsidR="009A2F04" w:rsidRPr="003B2499" w:rsidRDefault="003B2499" w:rsidP="000F4CC1">
            <w:pPr>
              <w:spacing w:before="0" w:after="0" w:line="259" w:lineRule="auto"/>
            </w:pPr>
            <w:r w:rsidRPr="003B2499">
              <w:rPr>
                <w:sz w:val="20"/>
                <w:szCs w:val="20"/>
              </w:rPr>
              <w:t>Elaboración de un Procedimiento para la protección a las empleadas públicas víctimas de violencia de género.</w:t>
            </w:r>
          </w:p>
        </w:tc>
      </w:tr>
    </w:tbl>
    <w:p w14:paraId="03ABC9AD" w14:textId="77777777" w:rsidR="009A2F04" w:rsidRDefault="009A2F04">
      <w:pPr>
        <w:spacing w:before="0" w:after="160" w:line="259" w:lineRule="auto"/>
        <w:jc w:val="left"/>
      </w:pPr>
    </w:p>
    <w:p w14:paraId="61F31E21" w14:textId="77777777" w:rsidR="009A2F04" w:rsidRDefault="009A2F04">
      <w:pPr>
        <w:spacing w:before="0" w:after="160" w:line="259" w:lineRule="auto"/>
        <w:jc w:val="left"/>
      </w:pPr>
      <w:r>
        <w:br w:type="page"/>
      </w:r>
    </w:p>
    <w:p w14:paraId="66037041" w14:textId="77777777" w:rsidR="009A2F04" w:rsidRPr="009A2F04" w:rsidRDefault="009A2F04" w:rsidP="009A2F04">
      <w:pPr>
        <w:spacing w:before="0" w:after="160" w:line="259" w:lineRule="auto"/>
      </w:pPr>
      <w:r w:rsidRPr="009A2F04">
        <w:rPr>
          <w:rFonts w:eastAsiaTheme="majorEastAsia" w:cstheme="majorBidi"/>
          <w:b/>
          <w:bCs/>
          <w:iCs/>
          <w:snapToGrid w:val="0"/>
          <w:color w:val="78BE20"/>
          <w:sz w:val="24"/>
          <w:szCs w:val="24"/>
        </w:rPr>
        <w:t xml:space="preserve">OBJETIVO. </w:t>
      </w:r>
      <w:bookmarkStart w:id="46" w:name="_Hlk120539991"/>
      <w:r w:rsidRPr="009A2F04">
        <w:rPr>
          <w:b/>
          <w:bCs/>
        </w:rPr>
        <w:t>Hacer efectivo el posicionamiento y compromiso de la Administración General con un entorno libre de violencia laboral.</w:t>
      </w:r>
    </w:p>
    <w:bookmarkEnd w:id="46"/>
    <w:p w14:paraId="2CF654CB" w14:textId="50FF177D" w:rsidR="009A2F04" w:rsidRPr="009A2F04" w:rsidRDefault="009A2F04" w:rsidP="009A2F04">
      <w:pPr>
        <w:pStyle w:val="Ttulo3"/>
      </w:pPr>
      <w:r>
        <w:t>Medida</w:t>
      </w:r>
      <w:r w:rsidRPr="009A2F04">
        <w:t xml:space="preserve"> 29</w:t>
      </w:r>
    </w:p>
    <w:tbl>
      <w:tblPr>
        <w:tblStyle w:val="Tablaconcuadrcula"/>
        <w:tblW w:w="0" w:type="auto"/>
        <w:tblLook w:val="04A0" w:firstRow="1" w:lastRow="0" w:firstColumn="1" w:lastColumn="0" w:noHBand="0" w:noVBand="1"/>
      </w:tblPr>
      <w:tblGrid>
        <w:gridCol w:w="2402"/>
        <w:gridCol w:w="6072"/>
      </w:tblGrid>
      <w:tr w:rsidR="009A2F04" w:rsidRPr="009A2F04" w14:paraId="3674EB7E" w14:textId="77777777" w:rsidTr="000F4CC1">
        <w:trPr>
          <w:trHeight w:val="1274"/>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011FA7CC" w14:textId="77777777" w:rsidR="009A2F04" w:rsidRPr="009A2F04" w:rsidRDefault="009A2F04" w:rsidP="009A2F04">
            <w:pPr>
              <w:spacing w:before="0" w:after="0"/>
              <w:ind w:left="22"/>
              <w:jc w:val="left"/>
            </w:pPr>
            <w:r w:rsidRPr="009A2F04">
              <w:rPr>
                <w:b/>
                <w:bCs/>
                <w:color w:val="FFFFFF" w:themeColor="background1"/>
              </w:rPr>
              <w:t>Creación de la Comisión Instructora del Procedimiento de prevención y actuación frente al acoso sexual y por razón de sexo.</w:t>
            </w:r>
          </w:p>
        </w:tc>
      </w:tr>
      <w:tr w:rsidR="009A2F04" w:rsidRPr="009A2F04" w14:paraId="35B52757" w14:textId="77777777" w:rsidTr="000F4CC1">
        <w:trPr>
          <w:trHeight w:val="796"/>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3E7B04F6" w14:textId="77777777" w:rsidR="009A2F04" w:rsidRPr="009A2F04" w:rsidRDefault="009A2F04" w:rsidP="009A2F04">
            <w:pPr>
              <w:spacing w:before="0" w:after="0"/>
              <w:ind w:left="22"/>
              <w:jc w:val="left"/>
              <w:rPr>
                <w:sz w:val="20"/>
                <w:szCs w:val="20"/>
              </w:rPr>
            </w:pPr>
            <w:r w:rsidRPr="009A2F04">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107A1B8D"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Personal de la Administración General.  </w:t>
            </w:r>
          </w:p>
          <w:p w14:paraId="377F9CF5"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Personas que activen el procedimiento</w:t>
            </w:r>
          </w:p>
        </w:tc>
      </w:tr>
      <w:tr w:rsidR="009A2F04" w:rsidRPr="009A2F04" w14:paraId="3A715F1F" w14:textId="77777777" w:rsidTr="000F4CC1">
        <w:trPr>
          <w:trHeight w:val="2094"/>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1B30143" w14:textId="77777777" w:rsidR="009A2F04" w:rsidRPr="009A2F04" w:rsidRDefault="009A2F04" w:rsidP="009A2F04">
            <w:pPr>
              <w:spacing w:before="0" w:after="0"/>
              <w:ind w:left="22"/>
              <w:jc w:val="left"/>
              <w:rPr>
                <w:sz w:val="20"/>
                <w:szCs w:val="20"/>
              </w:rPr>
            </w:pPr>
            <w:r w:rsidRPr="009A2F04">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4B4413D9"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Identificación de las personas idóneas y adecuadamente formadas, considerando particularmente las áreas de Igualdad, Función Pública, PRL y a las personas que representan legalmente a la plantilla. </w:t>
            </w:r>
          </w:p>
          <w:p w14:paraId="0DBA41A1"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Constitución de la Comisión y definición de su rol en las fases del Procedimiento. </w:t>
            </w:r>
          </w:p>
          <w:p w14:paraId="3D748725"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Difusión de sus nombres entre la plantilla </w:t>
            </w:r>
          </w:p>
        </w:tc>
      </w:tr>
      <w:tr w:rsidR="009A2F04" w:rsidRPr="009A2F04" w14:paraId="7A3D49FA" w14:textId="77777777" w:rsidTr="000F4CC1">
        <w:trPr>
          <w:trHeight w:val="97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A5B0972" w14:textId="77777777" w:rsidR="009A2F04" w:rsidRPr="009A2F04" w:rsidRDefault="009A2F04" w:rsidP="009A2F04">
            <w:pPr>
              <w:spacing w:before="0" w:after="0"/>
              <w:ind w:left="22"/>
              <w:jc w:val="left"/>
              <w:rPr>
                <w:sz w:val="20"/>
                <w:szCs w:val="20"/>
              </w:rPr>
            </w:pPr>
            <w:r w:rsidRPr="009A2F04">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01862473"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Protocolo de prevención y actuación frente al acoso sexual y por razón de sexo </w:t>
            </w:r>
          </w:p>
          <w:p w14:paraId="1230EE93"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Literatura especializada</w:t>
            </w:r>
          </w:p>
        </w:tc>
      </w:tr>
      <w:tr w:rsidR="009A2F04" w:rsidRPr="009A2F04" w14:paraId="4E0A9A68" w14:textId="77777777" w:rsidTr="000F4CC1">
        <w:trPr>
          <w:trHeight w:val="1186"/>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C4BF997" w14:textId="77777777" w:rsidR="009A2F04" w:rsidRPr="009A2F04" w:rsidRDefault="009A2F04" w:rsidP="009A2F04">
            <w:pPr>
              <w:spacing w:before="0" w:after="0"/>
              <w:ind w:left="22"/>
              <w:jc w:val="left"/>
              <w:rPr>
                <w:sz w:val="20"/>
                <w:szCs w:val="20"/>
              </w:rPr>
            </w:pPr>
            <w:r w:rsidRPr="009A2F04">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29B2D82B" w14:textId="305395E8"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Órgano con competencias en materia de Igualdad</w:t>
            </w:r>
            <w:r w:rsidR="00D34430">
              <w:rPr>
                <w:sz w:val="20"/>
                <w:szCs w:val="18"/>
              </w:rPr>
              <w:t xml:space="preserve"> y Violencia de género</w:t>
            </w:r>
          </w:p>
          <w:p w14:paraId="4D1BB9F2"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Órgano con competencias en materia de PRL</w:t>
            </w:r>
          </w:p>
          <w:p w14:paraId="3BB947F7"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Representación legal de la plantilla</w:t>
            </w:r>
          </w:p>
        </w:tc>
      </w:tr>
      <w:tr w:rsidR="009A2F04" w:rsidRPr="009A2F04" w14:paraId="015C4151" w14:textId="77777777" w:rsidTr="000F4CC1">
        <w:trPr>
          <w:trHeight w:val="702"/>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7D27328" w14:textId="77777777" w:rsidR="009A2F04" w:rsidRPr="009A2F04" w:rsidRDefault="009A2F04" w:rsidP="009A2F04">
            <w:pPr>
              <w:spacing w:before="0" w:after="0"/>
              <w:ind w:left="22"/>
              <w:jc w:val="left"/>
              <w:rPr>
                <w:sz w:val="20"/>
                <w:szCs w:val="20"/>
              </w:rPr>
            </w:pPr>
            <w:r w:rsidRPr="009A2F04">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09136022"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Nº y puesto de integrantes, según sexo</w:t>
            </w:r>
          </w:p>
          <w:p w14:paraId="22C1D6DA" w14:textId="2B7267D3"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Formación recibida</w:t>
            </w:r>
          </w:p>
        </w:tc>
      </w:tr>
      <w:tr w:rsidR="009A2F04" w:rsidRPr="009A2F04" w14:paraId="51E96993" w14:textId="77777777" w:rsidTr="000F4CC1">
        <w:trPr>
          <w:trHeight w:val="698"/>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4B4264EA" w14:textId="77777777" w:rsidR="009A2F04" w:rsidRPr="009A2F04" w:rsidRDefault="009A2F04" w:rsidP="009A2F04">
            <w:pPr>
              <w:spacing w:before="0" w:after="0"/>
              <w:ind w:left="22"/>
              <w:jc w:val="left"/>
              <w:rPr>
                <w:sz w:val="20"/>
                <w:szCs w:val="20"/>
              </w:rPr>
            </w:pPr>
            <w:r w:rsidRPr="009A2F04">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4D265075" w14:textId="77777777" w:rsidR="009A2F04" w:rsidRPr="009A2F04" w:rsidRDefault="009A2F04" w:rsidP="002F7442">
            <w:pPr>
              <w:spacing w:before="0" w:after="0"/>
              <w:ind w:left="152"/>
              <w:jc w:val="left"/>
              <w:rPr>
                <w:sz w:val="20"/>
                <w:szCs w:val="20"/>
              </w:rPr>
            </w:pPr>
            <w:r w:rsidRPr="009A2F04">
              <w:rPr>
                <w:sz w:val="20"/>
                <w:szCs w:val="20"/>
              </w:rPr>
              <w:t>Año 1 desde el inicio del Plan de Igualdad</w:t>
            </w:r>
          </w:p>
        </w:tc>
      </w:tr>
      <w:tr w:rsidR="009A2F04" w:rsidRPr="009A2F04" w14:paraId="1C69B960" w14:textId="77777777" w:rsidTr="00EA35D6">
        <w:trPr>
          <w:trHeight w:val="1361"/>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02841AC7" w14:textId="77777777" w:rsidR="009A2F04" w:rsidRPr="009A2F04" w:rsidRDefault="009A2F04" w:rsidP="00EA35D6">
            <w:pPr>
              <w:spacing w:before="0" w:after="0"/>
              <w:jc w:val="left"/>
              <w:rPr>
                <w:b/>
                <w:bCs/>
                <w:sz w:val="18"/>
                <w:szCs w:val="18"/>
              </w:rPr>
            </w:pPr>
            <w:r w:rsidRPr="009A2F04">
              <w:rPr>
                <w:b/>
                <w:bCs/>
                <w:sz w:val="18"/>
                <w:szCs w:val="18"/>
              </w:rPr>
              <w:t>Observaciones</w:t>
            </w:r>
          </w:p>
          <w:p w14:paraId="2103E6C3" w14:textId="77777777" w:rsidR="009A2F04" w:rsidRPr="009A2F04" w:rsidRDefault="009A2F04" w:rsidP="00EA35D6">
            <w:pPr>
              <w:spacing w:before="0" w:after="0"/>
              <w:jc w:val="left"/>
              <w:rPr>
                <w:b/>
                <w:bCs/>
                <w:sz w:val="18"/>
                <w:szCs w:val="18"/>
              </w:rPr>
            </w:pPr>
          </w:p>
          <w:p w14:paraId="2DB88F99" w14:textId="77777777" w:rsidR="009A2F04" w:rsidRPr="009A2F04" w:rsidRDefault="009A2F04" w:rsidP="00EA35D6">
            <w:pPr>
              <w:spacing w:before="0" w:after="0"/>
              <w:jc w:val="left"/>
              <w:rPr>
                <w:b/>
                <w:bCs/>
                <w:sz w:val="18"/>
                <w:szCs w:val="18"/>
              </w:rPr>
            </w:pPr>
            <w:r w:rsidRPr="009A2F04">
              <w:rPr>
                <w:sz w:val="18"/>
                <w:szCs w:val="18"/>
              </w:rPr>
              <w:t xml:space="preserve">Aplicación prioritaria: la creación de la Comisión Instructora será inmediata a la publicación del Protocolo. </w:t>
            </w:r>
          </w:p>
        </w:tc>
      </w:tr>
    </w:tbl>
    <w:p w14:paraId="1EF954B8" w14:textId="77777777" w:rsidR="009A2F04" w:rsidRPr="009A2F04" w:rsidRDefault="009A2F04" w:rsidP="009A2F04">
      <w:pPr>
        <w:spacing w:before="0" w:after="160" w:line="259" w:lineRule="auto"/>
        <w:jc w:val="left"/>
      </w:pPr>
      <w:r w:rsidRPr="009A2F04">
        <w:br w:type="page"/>
      </w:r>
    </w:p>
    <w:p w14:paraId="2B48A9B3" w14:textId="50773425" w:rsidR="00E24B44" w:rsidRPr="00E24B44" w:rsidRDefault="00E24B44" w:rsidP="009A2F04">
      <w:pPr>
        <w:spacing w:before="0" w:after="160"/>
        <w:rPr>
          <w:b/>
          <w:bCs/>
        </w:rPr>
      </w:pPr>
      <w:bookmarkStart w:id="47" w:name="_Hlk120540000"/>
      <w:r>
        <w:rPr>
          <w:rFonts w:eastAsiaTheme="majorEastAsia" w:cstheme="majorBidi"/>
          <w:b/>
          <w:bCs/>
          <w:iCs/>
          <w:snapToGrid w:val="0"/>
          <w:color w:val="78BE20"/>
          <w:sz w:val="24"/>
          <w:szCs w:val="24"/>
        </w:rPr>
        <w:t>OBJETIVO.</w:t>
      </w:r>
      <w:r>
        <w:rPr>
          <w:b/>
          <w:bCs/>
        </w:rPr>
        <w:t xml:space="preserve"> </w:t>
      </w:r>
      <w:r w:rsidRPr="009A2F04">
        <w:rPr>
          <w:b/>
          <w:bCs/>
        </w:rPr>
        <w:t>Hacer efectivo el posicionamiento y compromiso de la Administración General con un entorno libre de violencia laboral.</w:t>
      </w:r>
    </w:p>
    <w:bookmarkEnd w:id="47"/>
    <w:p w14:paraId="06B9DCE0" w14:textId="50354F1B" w:rsidR="009A2F04" w:rsidRPr="009A2F04" w:rsidRDefault="009A2F04" w:rsidP="009A2F04">
      <w:pPr>
        <w:pStyle w:val="Ttulo3"/>
      </w:pPr>
      <w:r>
        <w:t>Medida</w:t>
      </w:r>
      <w:r w:rsidRPr="009A2F04">
        <w:t xml:space="preserve"> 30 </w:t>
      </w:r>
    </w:p>
    <w:tbl>
      <w:tblPr>
        <w:tblStyle w:val="Tablaconcuadrcula"/>
        <w:tblW w:w="0" w:type="auto"/>
        <w:tblLook w:val="04A0" w:firstRow="1" w:lastRow="0" w:firstColumn="1" w:lastColumn="0" w:noHBand="0" w:noVBand="1"/>
      </w:tblPr>
      <w:tblGrid>
        <w:gridCol w:w="2402"/>
        <w:gridCol w:w="6072"/>
      </w:tblGrid>
      <w:tr w:rsidR="009A2F04" w:rsidRPr="009A2F04" w14:paraId="7BF5324C" w14:textId="77777777" w:rsidTr="000F4CC1">
        <w:trPr>
          <w:trHeight w:val="1274"/>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235B2DB5" w14:textId="77777777" w:rsidR="009A2F04" w:rsidRPr="009A2F04" w:rsidRDefault="009A2F04" w:rsidP="009A2F04">
            <w:pPr>
              <w:spacing w:before="0" w:after="0"/>
              <w:ind w:left="22"/>
              <w:jc w:val="left"/>
            </w:pPr>
            <w:r w:rsidRPr="009A2F04">
              <w:rPr>
                <w:b/>
                <w:bCs/>
                <w:color w:val="FFFFFF" w:themeColor="background1"/>
              </w:rPr>
              <w:t xml:space="preserve">Aprobación del Protocolo de prevención y actuación frente al acoso por razón de sexo, acoso sexual y otras conductas contra la integridad sexual como referencia homogénea que regule la actuación de la Administración General. </w:t>
            </w:r>
          </w:p>
        </w:tc>
      </w:tr>
      <w:tr w:rsidR="009A2F04" w:rsidRPr="009A2F04" w14:paraId="104E710D" w14:textId="77777777" w:rsidTr="000F4CC1">
        <w:trPr>
          <w:trHeight w:val="670"/>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08977AA2" w14:textId="77777777" w:rsidR="009A2F04" w:rsidRPr="009A2F04" w:rsidRDefault="009A2F04" w:rsidP="009A2F04">
            <w:pPr>
              <w:spacing w:before="0" w:after="0"/>
              <w:ind w:left="22"/>
              <w:jc w:val="left"/>
              <w:rPr>
                <w:sz w:val="20"/>
                <w:szCs w:val="20"/>
              </w:rPr>
            </w:pPr>
            <w:r w:rsidRPr="009A2F04">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3648576B" w14:textId="77777777" w:rsidR="009A2F04" w:rsidRPr="009A2F04" w:rsidRDefault="009A2F04" w:rsidP="002F7442">
            <w:pPr>
              <w:spacing w:before="0" w:after="0"/>
              <w:ind w:left="152" w:right="158"/>
              <w:jc w:val="left"/>
              <w:rPr>
                <w:sz w:val="20"/>
                <w:szCs w:val="20"/>
              </w:rPr>
            </w:pPr>
            <w:r w:rsidRPr="009A2F04">
              <w:rPr>
                <w:sz w:val="20"/>
                <w:szCs w:val="20"/>
              </w:rPr>
              <w:t>Personal de la Administración General.</w:t>
            </w:r>
          </w:p>
        </w:tc>
      </w:tr>
      <w:tr w:rsidR="009A2F04" w:rsidRPr="009A2F04" w14:paraId="208214A9" w14:textId="77777777" w:rsidTr="000F4CC1">
        <w:trPr>
          <w:trHeight w:val="2275"/>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C53B6A6" w14:textId="77777777" w:rsidR="009A2F04" w:rsidRPr="009A2F04" w:rsidRDefault="009A2F04" w:rsidP="009A2F04">
            <w:pPr>
              <w:spacing w:before="0" w:after="0"/>
              <w:ind w:left="22"/>
              <w:jc w:val="left"/>
              <w:rPr>
                <w:sz w:val="20"/>
                <w:szCs w:val="20"/>
              </w:rPr>
            </w:pPr>
            <w:r w:rsidRPr="009A2F04">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2292B741"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Revisión del borrador en contraste con la nueva normativa de aplicación </w:t>
            </w:r>
          </w:p>
          <w:p w14:paraId="718CEDE2"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Diseño gráfico de un resumen del procedimiento (infografía)</w:t>
            </w:r>
          </w:p>
          <w:p w14:paraId="468EFCEC"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Publicación del Protocolo y de la infografía en el portal web del Gobierno de La Rioja, tanto en la sección de “empleados públicos” como en el tablón virtual de anuncios.</w:t>
            </w:r>
          </w:p>
          <w:p w14:paraId="7689D375"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Envío masivo por correo-e del enlace al Protocolo e infografía ubicados en el portal web.</w:t>
            </w:r>
          </w:p>
        </w:tc>
      </w:tr>
      <w:tr w:rsidR="009A2F04" w:rsidRPr="009A2F04" w14:paraId="67FE6115" w14:textId="77777777" w:rsidTr="000F4CC1">
        <w:trPr>
          <w:trHeight w:val="97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395F5343" w14:textId="77777777" w:rsidR="009A2F04" w:rsidRPr="009A2F04" w:rsidRDefault="009A2F04" w:rsidP="009A2F04">
            <w:pPr>
              <w:spacing w:before="0" w:after="0"/>
              <w:ind w:left="22"/>
              <w:jc w:val="left"/>
              <w:rPr>
                <w:sz w:val="20"/>
                <w:szCs w:val="20"/>
              </w:rPr>
            </w:pPr>
            <w:r w:rsidRPr="009A2F04">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190A1034"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Normativa vinculante</w:t>
            </w:r>
          </w:p>
          <w:p w14:paraId="321C4CB8"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Literatura especializada</w:t>
            </w:r>
          </w:p>
          <w:p w14:paraId="02B800AB"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Buenas prácticas administrativas en la materia </w:t>
            </w:r>
          </w:p>
        </w:tc>
      </w:tr>
      <w:tr w:rsidR="009A2F04" w:rsidRPr="009A2F04" w14:paraId="59C18876" w14:textId="77777777" w:rsidTr="002F7442">
        <w:trPr>
          <w:trHeight w:val="679"/>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4DF4EFB" w14:textId="77777777" w:rsidR="009A2F04" w:rsidRPr="009A2F04" w:rsidRDefault="009A2F04" w:rsidP="009A2F04">
            <w:pPr>
              <w:spacing w:before="0" w:after="0"/>
              <w:ind w:left="22"/>
              <w:jc w:val="left"/>
              <w:rPr>
                <w:sz w:val="20"/>
                <w:szCs w:val="20"/>
              </w:rPr>
            </w:pPr>
            <w:r w:rsidRPr="009A2F04">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25E5B054"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Órgano con competencias en PRL</w:t>
            </w:r>
          </w:p>
          <w:p w14:paraId="77AA4261"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Comisión Instructora del Protocolo</w:t>
            </w:r>
          </w:p>
        </w:tc>
      </w:tr>
      <w:tr w:rsidR="009A2F04" w:rsidRPr="009A2F04" w14:paraId="4E0D1ED9" w14:textId="77777777" w:rsidTr="000F4CC1">
        <w:trPr>
          <w:trHeight w:val="1700"/>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09CEF34" w14:textId="77777777" w:rsidR="009A2F04" w:rsidRPr="009A2F04" w:rsidRDefault="009A2F04" w:rsidP="009A2F04">
            <w:pPr>
              <w:spacing w:before="0" w:after="0"/>
              <w:ind w:left="22"/>
              <w:jc w:val="left"/>
              <w:rPr>
                <w:sz w:val="20"/>
                <w:szCs w:val="20"/>
              </w:rPr>
            </w:pPr>
            <w:r w:rsidRPr="009A2F04">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4F91A403"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Documento elaborado y publicado en el portal web</w:t>
            </w:r>
          </w:p>
          <w:p w14:paraId="214DE653"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Enlace de Protocolo e infografía enviados masivamente por correo-e</w:t>
            </w:r>
          </w:p>
          <w:p w14:paraId="4489D2D2"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Nº de veces que se activa el Protocolo, por año</w:t>
            </w:r>
          </w:p>
          <w:p w14:paraId="7669A5DE"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Nº de casos de acoso acreditado, según sexo, rango de la víctima y personas perpetradoras, y año</w:t>
            </w:r>
          </w:p>
        </w:tc>
      </w:tr>
      <w:tr w:rsidR="009A2F04" w:rsidRPr="009A2F04" w14:paraId="54AB6A9C" w14:textId="77777777" w:rsidTr="00EA35D6">
        <w:trPr>
          <w:trHeight w:val="543"/>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68654591" w14:textId="77777777" w:rsidR="009A2F04" w:rsidRPr="009A2F04" w:rsidRDefault="009A2F04" w:rsidP="009A2F04">
            <w:pPr>
              <w:spacing w:before="0" w:after="0"/>
              <w:ind w:left="22"/>
              <w:jc w:val="left"/>
              <w:rPr>
                <w:sz w:val="20"/>
                <w:szCs w:val="20"/>
              </w:rPr>
            </w:pPr>
            <w:r w:rsidRPr="009A2F04">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102ACA9C" w14:textId="77777777" w:rsidR="009A2F04" w:rsidRPr="009A2F04" w:rsidRDefault="009A2F04" w:rsidP="002F7442">
            <w:pPr>
              <w:spacing w:before="0" w:after="0"/>
              <w:ind w:left="152"/>
              <w:jc w:val="left"/>
              <w:rPr>
                <w:sz w:val="20"/>
                <w:szCs w:val="20"/>
              </w:rPr>
            </w:pPr>
            <w:r w:rsidRPr="009A2F04">
              <w:rPr>
                <w:sz w:val="20"/>
                <w:szCs w:val="20"/>
              </w:rPr>
              <w:t>Año 1 desde el inicio del Plan de Igualdad</w:t>
            </w:r>
          </w:p>
        </w:tc>
      </w:tr>
      <w:tr w:rsidR="009A2F04" w:rsidRPr="009A2F04" w14:paraId="41ED07A5" w14:textId="77777777" w:rsidTr="00EA35D6">
        <w:trPr>
          <w:trHeight w:val="3811"/>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4F25B564" w14:textId="77777777" w:rsidR="009A2F04" w:rsidRPr="009A2F04" w:rsidRDefault="009A2F04" w:rsidP="00EA35D6">
            <w:pPr>
              <w:spacing w:before="0" w:after="0"/>
              <w:jc w:val="left"/>
              <w:rPr>
                <w:b/>
                <w:bCs/>
                <w:sz w:val="18"/>
                <w:szCs w:val="18"/>
              </w:rPr>
            </w:pPr>
            <w:r w:rsidRPr="009A2F04">
              <w:rPr>
                <w:b/>
                <w:bCs/>
                <w:sz w:val="18"/>
                <w:szCs w:val="18"/>
              </w:rPr>
              <w:t>Observaciones</w:t>
            </w:r>
          </w:p>
          <w:p w14:paraId="74ACAB8B" w14:textId="77777777" w:rsidR="009A2F04" w:rsidRPr="009A2F04" w:rsidRDefault="009A2F04" w:rsidP="00EA35D6">
            <w:pPr>
              <w:spacing w:before="0" w:after="0"/>
              <w:jc w:val="left"/>
              <w:rPr>
                <w:sz w:val="18"/>
                <w:szCs w:val="18"/>
              </w:rPr>
            </w:pPr>
          </w:p>
          <w:p w14:paraId="1F3DFB1E" w14:textId="77777777" w:rsidR="009A2F04" w:rsidRPr="009A2F04" w:rsidRDefault="009A2F04" w:rsidP="00EA35D6">
            <w:pPr>
              <w:spacing w:before="0" w:after="0"/>
              <w:jc w:val="left"/>
              <w:rPr>
                <w:sz w:val="18"/>
                <w:szCs w:val="18"/>
              </w:rPr>
            </w:pPr>
            <w:r w:rsidRPr="009A2F04">
              <w:rPr>
                <w:sz w:val="18"/>
                <w:szCs w:val="18"/>
              </w:rPr>
              <w:t>Aplicación prioritaria: la aprobación del Protocolo será inmediata al comienzo de la vigencia de Plan.</w:t>
            </w:r>
          </w:p>
          <w:p w14:paraId="27D77F0C" w14:textId="77777777" w:rsidR="009A2F04" w:rsidRPr="009A2F04" w:rsidRDefault="009A2F04" w:rsidP="00EA35D6">
            <w:pPr>
              <w:spacing w:before="0" w:after="0"/>
              <w:jc w:val="left"/>
              <w:rPr>
                <w:sz w:val="18"/>
                <w:szCs w:val="18"/>
              </w:rPr>
            </w:pPr>
          </w:p>
          <w:p w14:paraId="1131BE56" w14:textId="77777777" w:rsidR="009A2F04" w:rsidRPr="009A2F04" w:rsidRDefault="009A2F04" w:rsidP="00EA35D6">
            <w:pPr>
              <w:spacing w:before="0" w:after="0"/>
              <w:jc w:val="left"/>
              <w:rPr>
                <w:sz w:val="18"/>
                <w:szCs w:val="18"/>
              </w:rPr>
            </w:pPr>
            <w:r w:rsidRPr="009A2F04">
              <w:rPr>
                <w:sz w:val="18"/>
                <w:szCs w:val="18"/>
              </w:rPr>
              <w:t xml:space="preserve">El documento responderá a la normativa de referencia en esta materia, en concreto, a las indicaciones establecidas en el Anexo de disposiciones aplicables para la elaboración del diagnóstico del </w:t>
            </w:r>
            <w:r w:rsidRPr="009A2F04">
              <w:rPr>
                <w:i/>
                <w:iCs/>
                <w:sz w:val="18"/>
                <w:szCs w:val="18"/>
              </w:rPr>
              <w:t>RD 901/2020, de 13 de octubre</w:t>
            </w:r>
            <w:r w:rsidRPr="009A2F04">
              <w:rPr>
                <w:sz w:val="18"/>
                <w:szCs w:val="18"/>
              </w:rPr>
              <w:t xml:space="preserve">. Además, se acogerá a las prácticas recomendadas por la OIT en el </w:t>
            </w:r>
            <w:r w:rsidRPr="009A2F04">
              <w:rPr>
                <w:i/>
                <w:iCs/>
                <w:sz w:val="18"/>
                <w:szCs w:val="18"/>
              </w:rPr>
              <w:t xml:space="preserve">Convenio 190 </w:t>
            </w:r>
            <w:r w:rsidRPr="009A2F04">
              <w:rPr>
                <w:sz w:val="18"/>
                <w:szCs w:val="18"/>
              </w:rPr>
              <w:t xml:space="preserve">y por el Ministerio de Igualdad en su literatura especializada. Entre todas ellas se destaca la creación de un Órgano instructor para la resolución de casos. </w:t>
            </w:r>
          </w:p>
          <w:p w14:paraId="3C5FADF4" w14:textId="77777777" w:rsidR="009A2F04" w:rsidRPr="009A2F04" w:rsidRDefault="009A2F04" w:rsidP="00EA35D6">
            <w:pPr>
              <w:spacing w:before="0" w:after="0"/>
              <w:jc w:val="left"/>
              <w:rPr>
                <w:sz w:val="18"/>
                <w:szCs w:val="18"/>
              </w:rPr>
            </w:pPr>
          </w:p>
          <w:p w14:paraId="3DA132C5" w14:textId="77777777" w:rsidR="009A2F04" w:rsidRPr="009A2F04" w:rsidRDefault="009A2F04" w:rsidP="00EA35D6">
            <w:pPr>
              <w:spacing w:before="0" w:after="0"/>
              <w:jc w:val="left"/>
              <w:rPr>
                <w:sz w:val="18"/>
                <w:szCs w:val="18"/>
              </w:rPr>
            </w:pPr>
            <w:r w:rsidRPr="009A2F04">
              <w:rPr>
                <w:sz w:val="18"/>
                <w:szCs w:val="18"/>
              </w:rPr>
              <w:t xml:space="preserve">La aprobación definitiva del Protocolo contará con el visto bueno de la Comisión Seguimiento del Plan de Igualdad. </w:t>
            </w:r>
          </w:p>
          <w:p w14:paraId="6C259431" w14:textId="77777777" w:rsidR="009A2F04" w:rsidRPr="009A2F04" w:rsidRDefault="009A2F04" w:rsidP="00EA35D6">
            <w:pPr>
              <w:spacing w:before="0" w:after="0"/>
              <w:jc w:val="left"/>
              <w:rPr>
                <w:sz w:val="16"/>
                <w:szCs w:val="16"/>
              </w:rPr>
            </w:pPr>
          </w:p>
          <w:p w14:paraId="78B319D4" w14:textId="77777777" w:rsidR="009A2F04" w:rsidRPr="009A2F04" w:rsidRDefault="009A2F04" w:rsidP="00EA35D6">
            <w:pPr>
              <w:spacing w:before="0" w:after="0"/>
              <w:jc w:val="left"/>
              <w:rPr>
                <w:sz w:val="18"/>
                <w:szCs w:val="18"/>
              </w:rPr>
            </w:pPr>
            <w:r w:rsidRPr="009A2F04">
              <w:rPr>
                <w:sz w:val="18"/>
                <w:szCs w:val="18"/>
              </w:rPr>
              <w:t xml:space="preserve">Los centros de trabajo facilitarán el acceso al Protocolo a todas las personas que lo soliciten. </w:t>
            </w:r>
          </w:p>
          <w:p w14:paraId="09F2C7F0" w14:textId="77777777" w:rsidR="009A2F04" w:rsidRPr="009A2F04" w:rsidRDefault="009A2F04" w:rsidP="00EA35D6">
            <w:pPr>
              <w:spacing w:before="0" w:after="0"/>
              <w:jc w:val="left"/>
              <w:rPr>
                <w:b/>
                <w:bCs/>
                <w:sz w:val="20"/>
                <w:szCs w:val="20"/>
              </w:rPr>
            </w:pPr>
          </w:p>
        </w:tc>
      </w:tr>
    </w:tbl>
    <w:p w14:paraId="0819371D" w14:textId="0818422A" w:rsidR="009A2F04" w:rsidRPr="009A2F04" w:rsidRDefault="009A2F04" w:rsidP="009A2F04">
      <w:pPr>
        <w:spacing w:before="0" w:after="160"/>
      </w:pPr>
      <w:r w:rsidRPr="009A2F04">
        <w:rPr>
          <w:b/>
          <w:bCs/>
          <w:iCs/>
          <w:color w:val="78BE20"/>
        </w:rPr>
        <w:t xml:space="preserve">OBJETIVO. </w:t>
      </w:r>
      <w:bookmarkStart w:id="48" w:name="_Hlk120540011"/>
      <w:r w:rsidR="00E24B44" w:rsidRPr="009A2F04">
        <w:rPr>
          <w:b/>
          <w:bCs/>
        </w:rPr>
        <w:t>Pautar la actuación de la Administración General para contribuir a la reparación integral de la empleada víctima de violencia de género.</w:t>
      </w:r>
    </w:p>
    <w:bookmarkEnd w:id="48"/>
    <w:p w14:paraId="4A640896" w14:textId="7C06F950" w:rsidR="009A2F04" w:rsidRPr="009A2F04" w:rsidRDefault="009A2F04" w:rsidP="009A2F04">
      <w:pPr>
        <w:pStyle w:val="Ttulo3"/>
      </w:pPr>
      <w:r>
        <w:t>Medida</w:t>
      </w:r>
      <w:r w:rsidRPr="009A2F04">
        <w:t xml:space="preserve"> 31</w:t>
      </w:r>
    </w:p>
    <w:tbl>
      <w:tblPr>
        <w:tblStyle w:val="Tablaconcuadrcula"/>
        <w:tblW w:w="0" w:type="auto"/>
        <w:tblLook w:val="04A0" w:firstRow="1" w:lastRow="0" w:firstColumn="1" w:lastColumn="0" w:noHBand="0" w:noVBand="1"/>
      </w:tblPr>
      <w:tblGrid>
        <w:gridCol w:w="2402"/>
        <w:gridCol w:w="6072"/>
      </w:tblGrid>
      <w:tr w:rsidR="009A2F04" w:rsidRPr="009A2F04" w14:paraId="6D8EF4EE" w14:textId="77777777" w:rsidTr="000F4CC1">
        <w:trPr>
          <w:trHeight w:val="1274"/>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7AAA2D0B" w14:textId="77777777" w:rsidR="009A2F04" w:rsidRPr="009A2F04" w:rsidRDefault="009A2F04" w:rsidP="009A2F04">
            <w:pPr>
              <w:spacing w:before="0" w:after="0"/>
              <w:ind w:left="22"/>
              <w:jc w:val="left"/>
            </w:pPr>
            <w:r w:rsidRPr="009A2F04">
              <w:rPr>
                <w:b/>
                <w:bCs/>
                <w:color w:val="FFFFFF" w:themeColor="background1"/>
              </w:rPr>
              <w:t>Elaboración de un Procedimiento para la protección a las empleadas públicas víctimas de violencia de género.</w:t>
            </w:r>
          </w:p>
        </w:tc>
      </w:tr>
      <w:tr w:rsidR="009A2F04" w:rsidRPr="009A2F04" w14:paraId="0519D779" w14:textId="77777777" w:rsidTr="000F4CC1">
        <w:trPr>
          <w:trHeight w:val="796"/>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20574B12" w14:textId="77777777" w:rsidR="009A2F04" w:rsidRPr="009A2F04" w:rsidRDefault="009A2F04" w:rsidP="009A2F04">
            <w:pPr>
              <w:spacing w:before="0" w:after="0"/>
              <w:ind w:left="22"/>
              <w:jc w:val="left"/>
              <w:rPr>
                <w:sz w:val="20"/>
                <w:szCs w:val="20"/>
              </w:rPr>
            </w:pPr>
            <w:r w:rsidRPr="009A2F04">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4FE7A7B6" w14:textId="77777777" w:rsidR="009A2F04" w:rsidRPr="009A2F04" w:rsidRDefault="009A2F04" w:rsidP="002F7442">
            <w:pPr>
              <w:spacing w:before="0" w:after="0"/>
              <w:ind w:left="152" w:right="158"/>
              <w:rPr>
                <w:sz w:val="20"/>
                <w:szCs w:val="20"/>
              </w:rPr>
            </w:pPr>
            <w:r w:rsidRPr="009A2F04">
              <w:rPr>
                <w:sz w:val="20"/>
                <w:szCs w:val="20"/>
              </w:rPr>
              <w:t xml:space="preserve">Empleadas víctimas de violencia de género que acrediten estar en dicha situación.  </w:t>
            </w:r>
          </w:p>
        </w:tc>
      </w:tr>
      <w:tr w:rsidR="009A2F04" w:rsidRPr="009A2F04" w14:paraId="18114F6F" w14:textId="77777777" w:rsidTr="000F4CC1">
        <w:trPr>
          <w:trHeight w:val="1782"/>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4B6BF514" w14:textId="77777777" w:rsidR="009A2F04" w:rsidRPr="009A2F04" w:rsidRDefault="009A2F04" w:rsidP="009A2F04">
            <w:pPr>
              <w:spacing w:before="0" w:after="0"/>
              <w:ind w:left="22"/>
              <w:jc w:val="left"/>
              <w:rPr>
                <w:sz w:val="20"/>
                <w:szCs w:val="20"/>
              </w:rPr>
            </w:pPr>
            <w:r w:rsidRPr="009A2F04">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07A5DBFB"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Contraste de los procedimientos de otras Administraciones Públicas</w:t>
            </w:r>
          </w:p>
          <w:p w14:paraId="00F4EC40"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Enumeración de derechos de las empleadas públicas víctimas de violencia de género </w:t>
            </w:r>
          </w:p>
          <w:p w14:paraId="4F181257"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Diseño gráfico de un resumen del procedimiento (infografía)</w:t>
            </w:r>
          </w:p>
          <w:p w14:paraId="69846B32"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Difusión de la infografía por medio de los canales habituales</w:t>
            </w:r>
          </w:p>
        </w:tc>
      </w:tr>
      <w:tr w:rsidR="009A2F04" w:rsidRPr="009A2F04" w14:paraId="0DE11A32" w14:textId="77777777" w:rsidTr="000F4CC1">
        <w:trPr>
          <w:trHeight w:val="141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6B2108DF" w14:textId="77777777" w:rsidR="009A2F04" w:rsidRPr="009A2F04" w:rsidRDefault="009A2F04" w:rsidP="009A2F04">
            <w:pPr>
              <w:spacing w:before="0" w:after="0"/>
              <w:ind w:left="22"/>
              <w:jc w:val="left"/>
              <w:rPr>
                <w:sz w:val="20"/>
                <w:szCs w:val="20"/>
              </w:rPr>
            </w:pPr>
            <w:r w:rsidRPr="009A2F04">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D5E5203"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Normativa vinculante en materia de igualdad y violencia de género, incluyendo el Acuerdo para favorecer la movilidad interadministrativa </w:t>
            </w:r>
          </w:p>
          <w:p w14:paraId="567D38CC"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Literatura especializada</w:t>
            </w:r>
          </w:p>
          <w:p w14:paraId="1CF8BFC1"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Buenas prácticas administrativas en la materia </w:t>
            </w:r>
          </w:p>
        </w:tc>
      </w:tr>
      <w:tr w:rsidR="009A2F04" w:rsidRPr="009A2F04" w14:paraId="6B5B2E48" w14:textId="77777777" w:rsidTr="000F4CC1">
        <w:trPr>
          <w:trHeight w:val="84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FB6A3CB" w14:textId="77777777" w:rsidR="009A2F04" w:rsidRPr="009A2F04" w:rsidRDefault="009A2F04" w:rsidP="009A2F04">
            <w:pPr>
              <w:spacing w:before="0" w:after="0"/>
              <w:ind w:left="22"/>
              <w:jc w:val="left"/>
              <w:rPr>
                <w:sz w:val="20"/>
                <w:szCs w:val="20"/>
              </w:rPr>
            </w:pPr>
            <w:r w:rsidRPr="009A2F04">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CB65BFD"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Órgano con competencias en materia de Función Pública</w:t>
            </w:r>
          </w:p>
          <w:p w14:paraId="2AF3F06C" w14:textId="094F6E14"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Órgano con competencias en materia de </w:t>
            </w:r>
            <w:r w:rsidR="00D34430">
              <w:rPr>
                <w:sz w:val="20"/>
                <w:szCs w:val="18"/>
              </w:rPr>
              <w:t>Servicios Sociales</w:t>
            </w:r>
          </w:p>
        </w:tc>
      </w:tr>
      <w:tr w:rsidR="009A2F04" w:rsidRPr="009A2F04" w14:paraId="3B83F9DA" w14:textId="77777777" w:rsidTr="000F4CC1">
        <w:trPr>
          <w:trHeight w:val="1401"/>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40B7233" w14:textId="77777777" w:rsidR="009A2F04" w:rsidRPr="009A2F04" w:rsidRDefault="009A2F04" w:rsidP="009A2F04">
            <w:pPr>
              <w:spacing w:before="0" w:after="0"/>
              <w:ind w:left="22"/>
              <w:jc w:val="left"/>
              <w:rPr>
                <w:sz w:val="20"/>
                <w:szCs w:val="20"/>
              </w:rPr>
            </w:pPr>
            <w:r w:rsidRPr="009A2F04">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6628D3AF"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Nº de empleadas víctimas de violencia de género acreditadas</w:t>
            </w:r>
          </w:p>
          <w:p w14:paraId="474DD384"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Ratio sobre el total de empleadas</w:t>
            </w:r>
          </w:p>
          <w:p w14:paraId="0FB83ADC"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Nº y tipo de actuaciones de protección implementadas</w:t>
            </w:r>
          </w:p>
          <w:p w14:paraId="29B6BD79"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Procedimiento elaborado</w:t>
            </w:r>
          </w:p>
          <w:p w14:paraId="628FA398" w14:textId="77777777" w:rsidR="009A2F04" w:rsidRPr="009A2F04" w:rsidRDefault="009A2F04">
            <w:pPr>
              <w:numPr>
                <w:ilvl w:val="0"/>
                <w:numId w:val="8"/>
              </w:numPr>
              <w:tabs>
                <w:tab w:val="left" w:pos="5698"/>
              </w:tabs>
              <w:spacing w:before="0" w:after="0" w:line="259" w:lineRule="auto"/>
              <w:ind w:left="294" w:right="12" w:hanging="197"/>
              <w:contextualSpacing/>
              <w:jc w:val="left"/>
              <w:rPr>
                <w:sz w:val="20"/>
                <w:szCs w:val="18"/>
              </w:rPr>
            </w:pPr>
            <w:r w:rsidRPr="009A2F04">
              <w:rPr>
                <w:sz w:val="20"/>
                <w:szCs w:val="18"/>
              </w:rPr>
              <w:t xml:space="preserve">Infografía difundida </w:t>
            </w:r>
          </w:p>
        </w:tc>
      </w:tr>
      <w:tr w:rsidR="009A2F04" w:rsidRPr="009A2F04" w14:paraId="185A7758" w14:textId="77777777" w:rsidTr="000F4CC1">
        <w:trPr>
          <w:trHeight w:val="698"/>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114EECB" w14:textId="77777777" w:rsidR="009A2F04" w:rsidRPr="009A2F04" w:rsidRDefault="009A2F04" w:rsidP="009A2F04">
            <w:pPr>
              <w:spacing w:before="0" w:after="0"/>
              <w:ind w:left="22"/>
              <w:jc w:val="left"/>
              <w:rPr>
                <w:sz w:val="20"/>
                <w:szCs w:val="20"/>
              </w:rPr>
            </w:pPr>
            <w:r w:rsidRPr="009A2F04">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2B19D058" w14:textId="77777777" w:rsidR="009A2F04" w:rsidRPr="009A2F04" w:rsidRDefault="009A2F04" w:rsidP="002F7442">
            <w:pPr>
              <w:spacing w:before="0" w:after="0"/>
              <w:ind w:left="152"/>
              <w:jc w:val="left"/>
              <w:rPr>
                <w:sz w:val="20"/>
                <w:szCs w:val="20"/>
              </w:rPr>
            </w:pPr>
            <w:r w:rsidRPr="009A2F04">
              <w:rPr>
                <w:sz w:val="20"/>
                <w:szCs w:val="20"/>
              </w:rPr>
              <w:t>Año 3 desde el inicio del Plan de Igualdad</w:t>
            </w:r>
          </w:p>
        </w:tc>
      </w:tr>
      <w:tr w:rsidR="009A2F04" w:rsidRPr="009A2F04" w14:paraId="5CE5F669" w14:textId="77777777" w:rsidTr="00D34430">
        <w:trPr>
          <w:trHeight w:val="1337"/>
        </w:trPr>
        <w:tc>
          <w:tcPr>
            <w:tcW w:w="8474" w:type="dxa"/>
            <w:gridSpan w:val="2"/>
            <w:tcBorders>
              <w:top w:val="single" w:sz="4" w:space="0" w:color="253746"/>
              <w:left w:val="double" w:sz="4" w:space="0" w:color="253746"/>
              <w:bottom w:val="double" w:sz="4" w:space="0" w:color="253746"/>
              <w:right w:val="double" w:sz="4" w:space="0" w:color="253746"/>
            </w:tcBorders>
          </w:tcPr>
          <w:p w14:paraId="61A1275C" w14:textId="77777777" w:rsidR="009A2F04" w:rsidRPr="009A2F04" w:rsidRDefault="009A2F04" w:rsidP="00D34430">
            <w:pPr>
              <w:spacing w:before="0" w:after="0"/>
              <w:jc w:val="left"/>
              <w:rPr>
                <w:b/>
                <w:bCs/>
                <w:sz w:val="18"/>
                <w:szCs w:val="18"/>
              </w:rPr>
            </w:pPr>
            <w:r w:rsidRPr="009A2F04">
              <w:rPr>
                <w:b/>
                <w:bCs/>
                <w:sz w:val="18"/>
                <w:szCs w:val="18"/>
              </w:rPr>
              <w:t>Observaciones</w:t>
            </w:r>
          </w:p>
          <w:p w14:paraId="7E6FDDB1" w14:textId="77777777" w:rsidR="009A2F04" w:rsidRPr="009A2F04" w:rsidRDefault="009A2F04" w:rsidP="00D34430">
            <w:pPr>
              <w:spacing w:before="0" w:after="0"/>
              <w:jc w:val="left"/>
              <w:rPr>
                <w:sz w:val="18"/>
                <w:szCs w:val="18"/>
              </w:rPr>
            </w:pPr>
          </w:p>
          <w:p w14:paraId="742224AD" w14:textId="600EF9CC" w:rsidR="009A2F04" w:rsidRPr="009A2F04" w:rsidRDefault="009A2F04" w:rsidP="00D34430">
            <w:pPr>
              <w:spacing w:before="0" w:after="0"/>
              <w:jc w:val="left"/>
              <w:rPr>
                <w:sz w:val="18"/>
                <w:szCs w:val="18"/>
              </w:rPr>
            </w:pPr>
            <w:r w:rsidRPr="009A2F04">
              <w:rPr>
                <w:sz w:val="18"/>
                <w:szCs w:val="18"/>
              </w:rPr>
              <w:t xml:space="preserve">El Procedimiento tendrá una durabilidad permanente, hasta su revisión cuando así lo requiera la normativa vinculante u otras circunstancias de relevancia.  </w:t>
            </w:r>
          </w:p>
        </w:tc>
      </w:tr>
    </w:tbl>
    <w:p w14:paraId="7D2AF3D5" w14:textId="77777777" w:rsidR="009A2F04" w:rsidRPr="009A2F04" w:rsidRDefault="009A2F04" w:rsidP="009A2F04">
      <w:pPr>
        <w:spacing w:before="0" w:after="160" w:line="259" w:lineRule="auto"/>
        <w:jc w:val="left"/>
      </w:pPr>
      <w:r w:rsidRPr="009A2F04">
        <w:br w:type="page"/>
      </w:r>
    </w:p>
    <w:p w14:paraId="7B9B448B" w14:textId="57870BBC" w:rsidR="005121F6" w:rsidRDefault="009A2F04" w:rsidP="00024B4E">
      <w:pPr>
        <w:pStyle w:val="Ttulo2"/>
      </w:pPr>
      <w:bookmarkStart w:id="49" w:name="_Toc122080806"/>
      <w:r w:rsidRPr="009A2F04">
        <w:rPr>
          <w:lang w:val="es-ES"/>
        </w:rPr>
        <w:t xml:space="preserve">Ámbito </w:t>
      </w:r>
      <w:r w:rsidR="005121F6">
        <w:t xml:space="preserve">8. </w:t>
      </w:r>
      <w:r w:rsidR="005121F6" w:rsidRPr="005121F6">
        <w:t>Prevención y salud laboral</w:t>
      </w:r>
      <w:bookmarkEnd w:id="49"/>
    </w:p>
    <w:p w14:paraId="72DA0C7A" w14:textId="38781614" w:rsidR="009A2F04" w:rsidRDefault="009A2F04" w:rsidP="009A2F04">
      <w:pPr>
        <w:rPr>
          <w:lang w:val="es-ES_tradnl"/>
        </w:rPr>
      </w:pPr>
      <w:r w:rsidRPr="0009042A">
        <w:rPr>
          <w:b/>
          <w:bCs/>
          <w:lang w:val="es-ES_tradnl"/>
        </w:rPr>
        <w:t xml:space="preserve">El último ámbito del Plan de Igualdad aborda el refuerzo a la incorporación </w:t>
      </w:r>
      <w:r w:rsidR="00501EE3">
        <w:rPr>
          <w:b/>
          <w:bCs/>
          <w:lang w:val="es-ES_tradnl"/>
        </w:rPr>
        <w:t>d</w:t>
      </w:r>
      <w:r w:rsidRPr="0009042A">
        <w:rPr>
          <w:b/>
          <w:bCs/>
          <w:lang w:val="es-ES_tradnl"/>
        </w:rPr>
        <w:t>e la perspectiva de género</w:t>
      </w:r>
      <w:r>
        <w:rPr>
          <w:lang w:val="es-ES_tradnl"/>
        </w:rPr>
        <w:t xml:space="preserve"> por medio de dos objetivos paralelos y sus </w:t>
      </w:r>
      <w:r w:rsidR="00475105">
        <w:rPr>
          <w:lang w:val="es-ES_tradnl"/>
        </w:rPr>
        <w:t xml:space="preserve">2 </w:t>
      </w:r>
      <w:r>
        <w:rPr>
          <w:lang w:val="es-ES_tradnl"/>
        </w:rPr>
        <w:t>respectivas medidas:</w:t>
      </w:r>
    </w:p>
    <w:p w14:paraId="61E52A88" w14:textId="77777777" w:rsidR="009A2F04" w:rsidRPr="009A2F04" w:rsidRDefault="009A2F04" w:rsidP="009A2F04">
      <w:pPr>
        <w:rPr>
          <w:lang w:val="es-ES_tradnl"/>
        </w:rPr>
      </w:pPr>
    </w:p>
    <w:tbl>
      <w:tblPr>
        <w:tblStyle w:val="Tablaconcuadrcula"/>
        <w:tblW w:w="0" w:type="auto"/>
        <w:tblLook w:val="04A0" w:firstRow="1" w:lastRow="0" w:firstColumn="1" w:lastColumn="0" w:noHBand="0" w:noVBand="1"/>
      </w:tblPr>
      <w:tblGrid>
        <w:gridCol w:w="1101"/>
        <w:gridCol w:w="7543"/>
      </w:tblGrid>
      <w:tr w:rsidR="009A2F04" w14:paraId="6D842B4A" w14:textId="77777777" w:rsidTr="001F7269">
        <w:tc>
          <w:tcPr>
            <w:tcW w:w="8644" w:type="dxa"/>
            <w:gridSpan w:val="2"/>
            <w:tcBorders>
              <w:top w:val="single" w:sz="4" w:space="0" w:color="78BE20"/>
              <w:left w:val="single" w:sz="4" w:space="0" w:color="78BE20"/>
              <w:bottom w:val="single" w:sz="4" w:space="0" w:color="FFFFFF"/>
              <w:right w:val="single" w:sz="4" w:space="0" w:color="78BE20"/>
            </w:tcBorders>
            <w:vAlign w:val="center"/>
          </w:tcPr>
          <w:p w14:paraId="15179F1E" w14:textId="77777777" w:rsidR="0064207C" w:rsidRDefault="0064207C" w:rsidP="000F4CC1">
            <w:pPr>
              <w:spacing w:before="0" w:after="0" w:line="259" w:lineRule="auto"/>
              <w:rPr>
                <w:b/>
                <w:bCs/>
                <w:color w:val="78BE20"/>
                <w:sz w:val="20"/>
                <w:szCs w:val="20"/>
              </w:rPr>
            </w:pPr>
          </w:p>
          <w:p w14:paraId="1D324A95" w14:textId="62774825" w:rsidR="009A2F04" w:rsidRDefault="009A2F04" w:rsidP="000F4CC1">
            <w:pPr>
              <w:spacing w:before="0" w:after="0" w:line="259" w:lineRule="auto"/>
              <w:rPr>
                <w:sz w:val="20"/>
                <w:szCs w:val="20"/>
              </w:rPr>
            </w:pPr>
            <w:r w:rsidRPr="000A25DD">
              <w:rPr>
                <w:b/>
                <w:bCs/>
                <w:color w:val="78BE20"/>
                <w:sz w:val="20"/>
                <w:szCs w:val="20"/>
              </w:rPr>
              <w:t>OBJETIVO.</w:t>
            </w:r>
            <w:r>
              <w:rPr>
                <w:sz w:val="20"/>
                <w:szCs w:val="20"/>
              </w:rPr>
              <w:t xml:space="preserve"> </w:t>
            </w:r>
            <w:r w:rsidRPr="009A2F04">
              <w:rPr>
                <w:b/>
                <w:bCs/>
                <w:sz w:val="20"/>
                <w:szCs w:val="20"/>
              </w:rPr>
              <w:t>Contribuir a la recogida y sistematización de datos desagregados por sexo y otros factores relevantes en el funcionamiento de la Administración General de La Rioja</w:t>
            </w:r>
            <w:r>
              <w:rPr>
                <w:b/>
                <w:bCs/>
                <w:sz w:val="20"/>
                <w:szCs w:val="20"/>
              </w:rPr>
              <w:t>.</w:t>
            </w:r>
          </w:p>
          <w:p w14:paraId="2D63ECE7" w14:textId="77777777" w:rsidR="009A2F04" w:rsidRDefault="009A2F04" w:rsidP="000F4CC1">
            <w:pPr>
              <w:spacing w:before="0" w:after="0" w:line="259" w:lineRule="auto"/>
            </w:pPr>
          </w:p>
        </w:tc>
      </w:tr>
      <w:tr w:rsidR="009A2F04" w14:paraId="0E6B475A" w14:textId="77777777" w:rsidTr="001F7269">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027D99C4" w14:textId="7D758486" w:rsidR="009A2F04" w:rsidRPr="000A25DD" w:rsidRDefault="002F7442" w:rsidP="00C50BC9">
            <w:pPr>
              <w:spacing w:before="0" w:after="0" w:line="259" w:lineRule="auto"/>
              <w:jc w:val="right"/>
              <w:rPr>
                <w:b/>
                <w:bCs/>
                <w:color w:val="FFFFFF" w:themeColor="background1"/>
              </w:rPr>
            </w:pPr>
            <w:r w:rsidRPr="002F7442">
              <w:rPr>
                <w:b/>
                <w:bCs/>
                <w:color w:val="FFFFFF" w:themeColor="background1"/>
                <w:sz w:val="20"/>
                <w:szCs w:val="20"/>
              </w:rPr>
              <w:t xml:space="preserve">Medida </w:t>
            </w:r>
            <w:r w:rsidR="00C50BC9">
              <w:rPr>
                <w:b/>
                <w:bCs/>
                <w:color w:val="FFFFFF" w:themeColor="background1"/>
                <w:sz w:val="32"/>
                <w:szCs w:val="32"/>
              </w:rPr>
              <w:t>32</w:t>
            </w:r>
            <w:r w:rsidR="009A2F04" w:rsidRPr="000A25DD">
              <w:rPr>
                <w:b/>
                <w:bCs/>
                <w:color w:val="FFFFFF" w:themeColor="background1"/>
                <w:sz w:val="20"/>
                <w:szCs w:val="20"/>
              </w:rPr>
              <w:t xml:space="preserve"> </w:t>
            </w:r>
          </w:p>
        </w:tc>
        <w:tc>
          <w:tcPr>
            <w:tcW w:w="7543" w:type="dxa"/>
            <w:tcBorders>
              <w:top w:val="single" w:sz="4" w:space="0" w:color="FFFFFF"/>
              <w:left w:val="single" w:sz="4" w:space="0" w:color="FFFFFF"/>
              <w:bottom w:val="single" w:sz="4" w:space="0" w:color="78BE20"/>
              <w:right w:val="single" w:sz="4" w:space="0" w:color="78BE20"/>
            </w:tcBorders>
            <w:vAlign w:val="center"/>
          </w:tcPr>
          <w:p w14:paraId="2780ACA0" w14:textId="2361280B" w:rsidR="009A2F04" w:rsidRPr="00C50BC9" w:rsidRDefault="00C50BC9" w:rsidP="000F4CC1">
            <w:pPr>
              <w:spacing w:before="0" w:after="0" w:line="259" w:lineRule="auto"/>
            </w:pPr>
            <w:r w:rsidRPr="00C50BC9">
              <w:rPr>
                <w:sz w:val="20"/>
                <w:szCs w:val="20"/>
              </w:rPr>
              <w:t xml:space="preserve">Adaptación de los formularios, cuestionarios y demás instrumentos de recogida de información del Servicio de Prevención para que estén desagregados por la variable sexo y otras relevantes, en respuesta al marco normativo de aplicación.   </w:t>
            </w:r>
          </w:p>
        </w:tc>
      </w:tr>
      <w:tr w:rsidR="009A2F04" w14:paraId="034298B8" w14:textId="77777777" w:rsidTr="001F7269">
        <w:tc>
          <w:tcPr>
            <w:tcW w:w="8644" w:type="dxa"/>
            <w:gridSpan w:val="2"/>
            <w:tcBorders>
              <w:top w:val="single" w:sz="4" w:space="0" w:color="78BE20"/>
              <w:left w:val="single" w:sz="4" w:space="0" w:color="78BE20"/>
              <w:bottom w:val="single" w:sz="4" w:space="0" w:color="FFFFFF"/>
              <w:right w:val="single" w:sz="4" w:space="0" w:color="78BE20"/>
            </w:tcBorders>
            <w:vAlign w:val="center"/>
          </w:tcPr>
          <w:p w14:paraId="449D0E47" w14:textId="77777777" w:rsidR="009A2F04" w:rsidRDefault="009A2F04" w:rsidP="000F4CC1">
            <w:pPr>
              <w:spacing w:before="0" w:after="0" w:line="259" w:lineRule="auto"/>
              <w:rPr>
                <w:b/>
                <w:bCs/>
                <w:color w:val="78BE20"/>
                <w:sz w:val="20"/>
                <w:szCs w:val="20"/>
              </w:rPr>
            </w:pPr>
          </w:p>
          <w:p w14:paraId="583997AD" w14:textId="77777777" w:rsidR="009A2F04" w:rsidRDefault="009A2F04" w:rsidP="000F4CC1">
            <w:pPr>
              <w:spacing w:before="0" w:after="0" w:line="259" w:lineRule="auto"/>
              <w:rPr>
                <w:b/>
                <w:bCs/>
                <w:color w:val="78BE20"/>
                <w:sz w:val="20"/>
                <w:szCs w:val="20"/>
              </w:rPr>
            </w:pPr>
          </w:p>
          <w:p w14:paraId="347CB88A" w14:textId="62BE393E" w:rsidR="009A2F04" w:rsidRDefault="009A2F04" w:rsidP="000F4CC1">
            <w:pPr>
              <w:spacing w:before="0" w:after="0" w:line="259" w:lineRule="auto"/>
              <w:rPr>
                <w:sz w:val="20"/>
                <w:szCs w:val="20"/>
              </w:rPr>
            </w:pPr>
            <w:r w:rsidRPr="000A25DD">
              <w:rPr>
                <w:b/>
                <w:bCs/>
                <w:color w:val="78BE20"/>
                <w:sz w:val="20"/>
                <w:szCs w:val="20"/>
              </w:rPr>
              <w:t>OBJETIVO.</w:t>
            </w:r>
            <w:r>
              <w:rPr>
                <w:sz w:val="20"/>
                <w:szCs w:val="20"/>
              </w:rPr>
              <w:t xml:space="preserve"> </w:t>
            </w:r>
            <w:r w:rsidRPr="009A2F04">
              <w:rPr>
                <w:b/>
                <w:bCs/>
                <w:sz w:val="20"/>
                <w:szCs w:val="20"/>
              </w:rPr>
              <w:t>Favorecer la protección de la seguridad y salud en el trabajo desde la prevención de los riesgos psicosociales</w:t>
            </w:r>
            <w:r>
              <w:rPr>
                <w:b/>
                <w:bCs/>
                <w:sz w:val="20"/>
                <w:szCs w:val="20"/>
              </w:rPr>
              <w:t>.</w:t>
            </w:r>
          </w:p>
          <w:p w14:paraId="2FC0672B" w14:textId="77777777" w:rsidR="009A2F04" w:rsidRPr="000A25DD" w:rsidRDefault="009A2F04" w:rsidP="000F4CC1">
            <w:pPr>
              <w:spacing w:before="0" w:after="0" w:line="259" w:lineRule="auto"/>
              <w:rPr>
                <w:sz w:val="20"/>
                <w:szCs w:val="20"/>
              </w:rPr>
            </w:pPr>
          </w:p>
        </w:tc>
      </w:tr>
      <w:tr w:rsidR="009A2F04" w14:paraId="52F0B269" w14:textId="77777777" w:rsidTr="001F7269">
        <w:tc>
          <w:tcPr>
            <w:tcW w:w="1101" w:type="dxa"/>
            <w:tcBorders>
              <w:top w:val="single" w:sz="4" w:space="0" w:color="FFFFFF"/>
              <w:left w:val="single" w:sz="4" w:space="0" w:color="78BE20"/>
              <w:bottom w:val="single" w:sz="4" w:space="0" w:color="78BE20"/>
              <w:right w:val="single" w:sz="4" w:space="0" w:color="FFFFFF"/>
            </w:tcBorders>
            <w:shd w:val="clear" w:color="auto" w:fill="78BE20"/>
            <w:vAlign w:val="center"/>
          </w:tcPr>
          <w:p w14:paraId="2CE971E2" w14:textId="206A0E21" w:rsidR="009A2F04" w:rsidRDefault="002F7442" w:rsidP="00C50BC9">
            <w:pPr>
              <w:spacing w:before="0" w:after="0" w:line="259" w:lineRule="auto"/>
              <w:jc w:val="right"/>
            </w:pPr>
            <w:r w:rsidRPr="002F7442">
              <w:rPr>
                <w:b/>
                <w:bCs/>
                <w:color w:val="FFFFFF" w:themeColor="background1"/>
                <w:sz w:val="20"/>
                <w:szCs w:val="20"/>
              </w:rPr>
              <w:t xml:space="preserve">Medida </w:t>
            </w:r>
            <w:r w:rsidR="00C50BC9">
              <w:rPr>
                <w:b/>
                <w:bCs/>
                <w:color w:val="FFFFFF" w:themeColor="background1"/>
                <w:sz w:val="32"/>
                <w:szCs w:val="32"/>
              </w:rPr>
              <w:t>33</w:t>
            </w:r>
          </w:p>
        </w:tc>
        <w:tc>
          <w:tcPr>
            <w:tcW w:w="7543" w:type="dxa"/>
            <w:tcBorders>
              <w:top w:val="single" w:sz="4" w:space="0" w:color="FFFFFF"/>
              <w:left w:val="single" w:sz="4" w:space="0" w:color="FFFFFF"/>
              <w:bottom w:val="single" w:sz="4" w:space="0" w:color="78BE20"/>
              <w:right w:val="single" w:sz="4" w:space="0" w:color="78BE20"/>
            </w:tcBorders>
            <w:vAlign w:val="center"/>
          </w:tcPr>
          <w:p w14:paraId="12C2B6EF" w14:textId="69E062D3" w:rsidR="009A2F04" w:rsidRPr="00C50BC9" w:rsidRDefault="00C50BC9" w:rsidP="000F4CC1">
            <w:pPr>
              <w:spacing w:before="0" w:after="0" w:line="259" w:lineRule="auto"/>
            </w:pPr>
            <w:r w:rsidRPr="00C50BC9">
              <w:rPr>
                <w:sz w:val="20"/>
                <w:szCs w:val="20"/>
              </w:rPr>
              <w:t>Incorporación del Protocolo de prevención y actuación frente al acoso sexual y por razón de sexo en la información de PRL facilitada al personal de nuevo ingreso al inicio de la relación laboral</w:t>
            </w:r>
            <w:r>
              <w:rPr>
                <w:sz w:val="20"/>
                <w:szCs w:val="20"/>
              </w:rPr>
              <w:t>.</w:t>
            </w:r>
          </w:p>
        </w:tc>
      </w:tr>
    </w:tbl>
    <w:p w14:paraId="6A222E27" w14:textId="77777777" w:rsidR="005121F6" w:rsidRPr="005121F6" w:rsidRDefault="005121F6" w:rsidP="005121F6"/>
    <w:p w14:paraId="42F034A7" w14:textId="77777777" w:rsidR="005121F6" w:rsidRPr="005121F6" w:rsidRDefault="005121F6" w:rsidP="005121F6"/>
    <w:p w14:paraId="0C1C24AE" w14:textId="77777777" w:rsidR="00E338FB" w:rsidRDefault="00E338FB">
      <w:pPr>
        <w:spacing w:before="0" w:after="160" w:line="259" w:lineRule="auto"/>
        <w:jc w:val="left"/>
        <w:rPr>
          <w:rFonts w:eastAsiaTheme="majorEastAsia" w:cs="Arial"/>
          <w:b/>
          <w:bCs/>
          <w:snapToGrid w:val="0"/>
          <w:color w:val="78BE20"/>
          <w:kern w:val="32"/>
          <w:sz w:val="32"/>
          <w:szCs w:val="32"/>
          <w:lang w:val="es-ES_tradnl"/>
        </w:rPr>
      </w:pPr>
      <w:r>
        <w:rPr>
          <w:rFonts w:cs="Arial"/>
          <w:lang w:val="es-ES_tradnl"/>
        </w:rPr>
        <w:br w:type="page"/>
      </w:r>
    </w:p>
    <w:p w14:paraId="6908A3B2" w14:textId="77777777" w:rsidR="00E338FB" w:rsidRPr="00E338FB" w:rsidRDefault="00E338FB" w:rsidP="00E338FB">
      <w:pPr>
        <w:spacing w:before="0" w:after="160"/>
        <w:rPr>
          <w:b/>
          <w:bCs/>
        </w:rPr>
      </w:pPr>
      <w:r w:rsidRPr="00E338FB">
        <w:rPr>
          <w:b/>
          <w:bCs/>
          <w:iCs/>
          <w:color w:val="78BE20"/>
        </w:rPr>
        <w:t xml:space="preserve">OBJETIVO. </w:t>
      </w:r>
      <w:bookmarkStart w:id="50" w:name="_Hlk120540036"/>
      <w:r w:rsidRPr="00E338FB">
        <w:rPr>
          <w:b/>
          <w:bCs/>
        </w:rPr>
        <w:t>Contribuir a la recogida y sistematización de datos desagregados por sexo y otros factores relevantes en el funcionamiento de la Administración General de La Rioja.</w:t>
      </w:r>
      <w:bookmarkEnd w:id="50"/>
    </w:p>
    <w:p w14:paraId="0B7CE30C" w14:textId="77777777" w:rsidR="00E338FB" w:rsidRPr="00E338FB" w:rsidRDefault="00E338FB" w:rsidP="00E338FB">
      <w:pPr>
        <w:spacing w:before="0" w:after="160"/>
      </w:pPr>
    </w:p>
    <w:p w14:paraId="511EEEBE" w14:textId="7CB68ABF" w:rsidR="00E338FB" w:rsidRPr="00E338FB" w:rsidRDefault="00E338FB" w:rsidP="00E338FB">
      <w:pPr>
        <w:pStyle w:val="Ttulo3"/>
      </w:pPr>
      <w:r>
        <w:t>Medida</w:t>
      </w:r>
      <w:r w:rsidRPr="00E338FB">
        <w:t xml:space="preserve"> 32 </w:t>
      </w:r>
    </w:p>
    <w:tbl>
      <w:tblPr>
        <w:tblStyle w:val="Tablaconcuadrcula"/>
        <w:tblW w:w="0" w:type="auto"/>
        <w:tblLook w:val="04A0" w:firstRow="1" w:lastRow="0" w:firstColumn="1" w:lastColumn="0" w:noHBand="0" w:noVBand="1"/>
      </w:tblPr>
      <w:tblGrid>
        <w:gridCol w:w="2402"/>
        <w:gridCol w:w="6072"/>
      </w:tblGrid>
      <w:tr w:rsidR="00E338FB" w:rsidRPr="00E338FB" w14:paraId="3555ACB5" w14:textId="77777777" w:rsidTr="000F4CC1">
        <w:trPr>
          <w:trHeight w:val="1638"/>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2AB9CF62" w14:textId="77777777" w:rsidR="00E338FB" w:rsidRPr="00E338FB" w:rsidRDefault="00E338FB" w:rsidP="00E338FB">
            <w:pPr>
              <w:spacing w:before="0" w:after="0"/>
              <w:ind w:left="22"/>
              <w:jc w:val="left"/>
              <w:rPr>
                <w:sz w:val="20"/>
                <w:szCs w:val="20"/>
              </w:rPr>
            </w:pPr>
            <w:r w:rsidRPr="00E338FB">
              <w:rPr>
                <w:b/>
                <w:bCs/>
                <w:color w:val="FFFFFF" w:themeColor="background1"/>
              </w:rPr>
              <w:t xml:space="preserve">Adaptación de los formularios, cuestionarios y demás instrumentos de recogida de información del Servicio de Prevención para que estén desagregados por la variable sexo y otras relevantes, en respuesta al marco normativo de aplicación.   </w:t>
            </w:r>
          </w:p>
        </w:tc>
      </w:tr>
      <w:tr w:rsidR="00E338FB" w:rsidRPr="00E338FB" w14:paraId="449B673A" w14:textId="77777777" w:rsidTr="000F4CC1">
        <w:trPr>
          <w:trHeight w:val="734"/>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32CF67E2" w14:textId="77777777" w:rsidR="00E338FB" w:rsidRPr="00E338FB" w:rsidRDefault="00E338FB" w:rsidP="00E338FB">
            <w:pPr>
              <w:spacing w:before="0" w:after="0"/>
              <w:ind w:left="22"/>
              <w:jc w:val="left"/>
              <w:rPr>
                <w:sz w:val="20"/>
                <w:szCs w:val="20"/>
              </w:rPr>
            </w:pPr>
            <w:r w:rsidRPr="00E338FB">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vAlign w:val="center"/>
          </w:tcPr>
          <w:p w14:paraId="59D1118E" w14:textId="77777777" w:rsidR="00E338FB" w:rsidRPr="00E338FB" w:rsidRDefault="00E338FB" w:rsidP="00E338FB">
            <w:pPr>
              <w:spacing w:before="0" w:after="0"/>
              <w:ind w:left="315" w:hanging="218"/>
            </w:pPr>
            <w:r w:rsidRPr="00E338FB">
              <w:rPr>
                <w:sz w:val="20"/>
                <w:szCs w:val="20"/>
              </w:rPr>
              <w:t xml:space="preserve">Personal de la Administración General. </w:t>
            </w:r>
          </w:p>
        </w:tc>
      </w:tr>
      <w:tr w:rsidR="00E338FB" w:rsidRPr="00E338FB" w14:paraId="6DC3A7D2" w14:textId="77777777" w:rsidTr="000F4CC1">
        <w:trPr>
          <w:trHeight w:val="1224"/>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8D3F277" w14:textId="77777777" w:rsidR="00E338FB" w:rsidRPr="00E338FB" w:rsidRDefault="00E338FB" w:rsidP="00E338FB">
            <w:pPr>
              <w:spacing w:before="0" w:after="0"/>
              <w:ind w:left="22"/>
              <w:jc w:val="left"/>
              <w:rPr>
                <w:sz w:val="20"/>
                <w:szCs w:val="20"/>
              </w:rPr>
            </w:pPr>
            <w:r w:rsidRPr="00E338FB">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16098345" w14:textId="77777777" w:rsidR="00E338FB" w:rsidRPr="00E338FB" w:rsidRDefault="00E338FB">
            <w:pPr>
              <w:numPr>
                <w:ilvl w:val="0"/>
                <w:numId w:val="8"/>
              </w:numPr>
              <w:tabs>
                <w:tab w:val="left" w:pos="5698"/>
              </w:tabs>
              <w:spacing w:before="0" w:after="0" w:line="259" w:lineRule="auto"/>
              <w:ind w:left="294" w:right="12" w:hanging="197"/>
              <w:contextualSpacing/>
              <w:jc w:val="left"/>
              <w:rPr>
                <w:sz w:val="20"/>
                <w:szCs w:val="18"/>
              </w:rPr>
            </w:pPr>
            <w:r w:rsidRPr="00E338FB">
              <w:rPr>
                <w:sz w:val="20"/>
                <w:szCs w:val="18"/>
              </w:rPr>
              <w:t>Numeración de los instrumentos que deben ser adaptados para cumplir con el marco legal de igualdad.</w:t>
            </w:r>
          </w:p>
          <w:p w14:paraId="05FD9ED9" w14:textId="77777777" w:rsidR="00E338FB" w:rsidRPr="00E338FB" w:rsidRDefault="00E338FB">
            <w:pPr>
              <w:numPr>
                <w:ilvl w:val="0"/>
                <w:numId w:val="8"/>
              </w:numPr>
              <w:tabs>
                <w:tab w:val="left" w:pos="5698"/>
              </w:tabs>
              <w:spacing w:before="0" w:after="0" w:line="259" w:lineRule="auto"/>
              <w:ind w:left="294" w:right="12" w:hanging="197"/>
              <w:contextualSpacing/>
              <w:jc w:val="left"/>
              <w:rPr>
                <w:sz w:val="20"/>
                <w:szCs w:val="18"/>
              </w:rPr>
            </w:pPr>
            <w:r w:rsidRPr="00E338FB">
              <w:rPr>
                <w:sz w:val="20"/>
                <w:szCs w:val="18"/>
              </w:rPr>
              <w:t>Selección de las variables definitivas de mejora, y justificación.</w:t>
            </w:r>
          </w:p>
        </w:tc>
      </w:tr>
      <w:tr w:rsidR="00E338FB" w:rsidRPr="00E338FB" w14:paraId="3A710976" w14:textId="77777777" w:rsidTr="00FB3AE0">
        <w:trPr>
          <w:trHeight w:val="425"/>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60A1DF3" w14:textId="77777777" w:rsidR="00E338FB" w:rsidRPr="00E338FB" w:rsidRDefault="00E338FB" w:rsidP="00E338FB">
            <w:pPr>
              <w:spacing w:before="0" w:after="0"/>
              <w:ind w:left="22"/>
              <w:jc w:val="left"/>
              <w:rPr>
                <w:sz w:val="20"/>
                <w:szCs w:val="20"/>
              </w:rPr>
            </w:pPr>
            <w:r w:rsidRPr="00E338FB">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032B97F3" w14:textId="4E5F42FB" w:rsidR="00E338FB" w:rsidRPr="00E338FB" w:rsidRDefault="00E338FB" w:rsidP="00FB3AE0">
            <w:pPr>
              <w:tabs>
                <w:tab w:val="left" w:pos="5698"/>
              </w:tabs>
              <w:spacing w:before="0" w:after="0" w:line="259" w:lineRule="auto"/>
              <w:ind w:left="152" w:right="12"/>
              <w:contextualSpacing/>
              <w:jc w:val="left"/>
              <w:rPr>
                <w:sz w:val="20"/>
                <w:szCs w:val="18"/>
              </w:rPr>
            </w:pPr>
            <w:r w:rsidRPr="00E338FB">
              <w:rPr>
                <w:sz w:val="20"/>
                <w:szCs w:val="18"/>
              </w:rPr>
              <w:t xml:space="preserve">Normativa en materia de igualdad y otra vinculante. </w:t>
            </w:r>
          </w:p>
        </w:tc>
      </w:tr>
      <w:tr w:rsidR="00E338FB" w:rsidRPr="00E338FB" w14:paraId="32B834E2" w14:textId="77777777" w:rsidTr="000F4CC1">
        <w:trPr>
          <w:trHeight w:val="776"/>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D84D8F3" w14:textId="77777777" w:rsidR="00E338FB" w:rsidRPr="00E338FB" w:rsidRDefault="00E338FB" w:rsidP="00E338FB">
            <w:pPr>
              <w:spacing w:before="0" w:after="0"/>
              <w:ind w:left="22"/>
              <w:jc w:val="left"/>
              <w:rPr>
                <w:sz w:val="20"/>
                <w:szCs w:val="20"/>
              </w:rPr>
            </w:pPr>
            <w:r w:rsidRPr="00E338FB">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0C83AE09" w14:textId="77777777" w:rsidR="00E338FB" w:rsidRPr="00E338FB" w:rsidRDefault="00E338FB" w:rsidP="00FB3AE0">
            <w:pPr>
              <w:tabs>
                <w:tab w:val="left" w:pos="5698"/>
              </w:tabs>
              <w:spacing w:before="0" w:after="0" w:line="259" w:lineRule="auto"/>
              <w:ind w:left="152" w:right="12"/>
              <w:contextualSpacing/>
              <w:jc w:val="left"/>
              <w:rPr>
                <w:sz w:val="20"/>
                <w:szCs w:val="18"/>
              </w:rPr>
            </w:pPr>
            <w:r w:rsidRPr="00E338FB">
              <w:rPr>
                <w:sz w:val="20"/>
                <w:szCs w:val="18"/>
              </w:rPr>
              <w:t xml:space="preserve">Órgano con competencias en materia de PRL </w:t>
            </w:r>
          </w:p>
        </w:tc>
      </w:tr>
      <w:tr w:rsidR="00E338FB" w:rsidRPr="00E338FB" w14:paraId="4548E053" w14:textId="77777777" w:rsidTr="00FB3AE0">
        <w:trPr>
          <w:trHeight w:val="768"/>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5FD1A2FB" w14:textId="77777777" w:rsidR="00E338FB" w:rsidRPr="00E338FB" w:rsidRDefault="00E338FB" w:rsidP="00E338FB">
            <w:pPr>
              <w:spacing w:before="0" w:after="0"/>
              <w:ind w:left="22"/>
              <w:jc w:val="left"/>
              <w:rPr>
                <w:sz w:val="20"/>
                <w:szCs w:val="20"/>
              </w:rPr>
            </w:pPr>
            <w:r w:rsidRPr="00E338FB">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D32CBD1" w14:textId="77777777" w:rsidR="00E338FB" w:rsidRPr="00E338FB" w:rsidRDefault="00E338FB">
            <w:pPr>
              <w:numPr>
                <w:ilvl w:val="0"/>
                <w:numId w:val="8"/>
              </w:numPr>
              <w:tabs>
                <w:tab w:val="left" w:pos="5698"/>
              </w:tabs>
              <w:spacing w:before="0" w:after="0" w:line="259" w:lineRule="auto"/>
              <w:ind w:left="294" w:right="12" w:hanging="197"/>
              <w:contextualSpacing/>
              <w:jc w:val="left"/>
              <w:rPr>
                <w:sz w:val="20"/>
                <w:szCs w:val="18"/>
              </w:rPr>
            </w:pPr>
            <w:r w:rsidRPr="00E338FB">
              <w:rPr>
                <w:sz w:val="20"/>
                <w:szCs w:val="18"/>
              </w:rPr>
              <w:t>% de instrumentos adaptados, según tipo</w:t>
            </w:r>
          </w:p>
          <w:p w14:paraId="2DE1AA24" w14:textId="61BCAD6E" w:rsidR="00E338FB" w:rsidRPr="00E338FB" w:rsidRDefault="00E338FB">
            <w:pPr>
              <w:numPr>
                <w:ilvl w:val="0"/>
                <w:numId w:val="8"/>
              </w:numPr>
              <w:tabs>
                <w:tab w:val="left" w:pos="5698"/>
              </w:tabs>
              <w:spacing w:before="0" w:after="0" w:line="259" w:lineRule="auto"/>
              <w:ind w:left="294" w:right="12" w:hanging="197"/>
              <w:contextualSpacing/>
              <w:jc w:val="left"/>
              <w:rPr>
                <w:sz w:val="20"/>
                <w:szCs w:val="18"/>
              </w:rPr>
            </w:pPr>
            <w:r w:rsidRPr="00E338FB">
              <w:rPr>
                <w:sz w:val="20"/>
                <w:szCs w:val="18"/>
              </w:rPr>
              <w:t>Tipología de factores incorporados, según preponderancia</w:t>
            </w:r>
          </w:p>
        </w:tc>
      </w:tr>
      <w:tr w:rsidR="00E338FB" w:rsidRPr="00E338FB" w14:paraId="03907E25" w14:textId="77777777" w:rsidTr="000F4CC1">
        <w:trPr>
          <w:trHeight w:val="617"/>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7D2ACCE" w14:textId="77777777" w:rsidR="00E338FB" w:rsidRPr="00E338FB" w:rsidRDefault="00E338FB" w:rsidP="00E338FB">
            <w:pPr>
              <w:spacing w:before="0" w:after="0"/>
              <w:ind w:left="22"/>
              <w:jc w:val="left"/>
              <w:rPr>
                <w:sz w:val="20"/>
                <w:szCs w:val="20"/>
              </w:rPr>
            </w:pPr>
            <w:r w:rsidRPr="00E338FB">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083C1223" w14:textId="77777777" w:rsidR="00E338FB" w:rsidRPr="00E338FB" w:rsidRDefault="00E338FB" w:rsidP="00FB3AE0">
            <w:pPr>
              <w:spacing w:before="0" w:after="0"/>
              <w:ind w:left="152"/>
              <w:jc w:val="left"/>
              <w:rPr>
                <w:sz w:val="20"/>
                <w:szCs w:val="20"/>
              </w:rPr>
            </w:pPr>
            <w:r w:rsidRPr="00E338FB">
              <w:rPr>
                <w:sz w:val="20"/>
                <w:szCs w:val="20"/>
              </w:rPr>
              <w:t>Año 1 desde el inicio del Plan de Igualdad</w:t>
            </w:r>
          </w:p>
        </w:tc>
      </w:tr>
      <w:tr w:rsidR="00E338FB" w:rsidRPr="00E338FB" w14:paraId="1EABFD82" w14:textId="77777777" w:rsidTr="0009042A">
        <w:trPr>
          <w:trHeight w:val="916"/>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5943F21C" w14:textId="77777777" w:rsidR="00E338FB" w:rsidRPr="00E338FB" w:rsidRDefault="00E338FB" w:rsidP="0009042A">
            <w:pPr>
              <w:spacing w:before="0" w:after="0"/>
              <w:jc w:val="left"/>
              <w:rPr>
                <w:b/>
                <w:bCs/>
                <w:sz w:val="18"/>
                <w:szCs w:val="18"/>
              </w:rPr>
            </w:pPr>
            <w:r w:rsidRPr="00E338FB">
              <w:rPr>
                <w:b/>
                <w:bCs/>
                <w:sz w:val="18"/>
                <w:szCs w:val="18"/>
              </w:rPr>
              <w:t>Observaciones</w:t>
            </w:r>
          </w:p>
        </w:tc>
      </w:tr>
    </w:tbl>
    <w:p w14:paraId="472915D4" w14:textId="77777777" w:rsidR="00E338FB" w:rsidRPr="00E338FB" w:rsidRDefault="00E338FB" w:rsidP="00E338FB">
      <w:pPr>
        <w:spacing w:before="0" w:after="160" w:line="259" w:lineRule="auto"/>
        <w:jc w:val="left"/>
      </w:pPr>
    </w:p>
    <w:p w14:paraId="0E37494D" w14:textId="77777777" w:rsidR="00E338FB" w:rsidRPr="00E338FB" w:rsidRDefault="00E338FB" w:rsidP="00E338FB">
      <w:pPr>
        <w:spacing w:before="0" w:after="160" w:line="259" w:lineRule="auto"/>
        <w:jc w:val="left"/>
      </w:pPr>
      <w:r w:rsidRPr="00E338FB">
        <w:br w:type="page"/>
      </w:r>
    </w:p>
    <w:p w14:paraId="7A03B5EF" w14:textId="77777777" w:rsidR="00E338FB" w:rsidRPr="00E338FB" w:rsidRDefault="00E338FB" w:rsidP="00E338FB">
      <w:pPr>
        <w:spacing w:before="0" w:after="160"/>
        <w:rPr>
          <w:b/>
          <w:bCs/>
        </w:rPr>
      </w:pPr>
      <w:r w:rsidRPr="00E338FB">
        <w:rPr>
          <w:b/>
          <w:bCs/>
          <w:iCs/>
          <w:color w:val="78BE20"/>
        </w:rPr>
        <w:t xml:space="preserve">OBJETIVO. </w:t>
      </w:r>
      <w:bookmarkStart w:id="51" w:name="_Hlk120540045"/>
      <w:r w:rsidRPr="00E338FB">
        <w:rPr>
          <w:b/>
          <w:bCs/>
        </w:rPr>
        <w:t>Favorecer la protección de la seguridad y salud en el trabajo desde la prevención de los riesgos psicosociales.</w:t>
      </w:r>
      <w:bookmarkEnd w:id="51"/>
    </w:p>
    <w:p w14:paraId="7B677D0B" w14:textId="72222624" w:rsidR="00E338FB" w:rsidRPr="00E338FB" w:rsidRDefault="00E338FB" w:rsidP="00E338FB">
      <w:pPr>
        <w:pStyle w:val="Ttulo3"/>
      </w:pPr>
      <w:r>
        <w:t>Medida</w:t>
      </w:r>
      <w:r w:rsidRPr="00E338FB">
        <w:t xml:space="preserve"> 33</w:t>
      </w:r>
    </w:p>
    <w:tbl>
      <w:tblPr>
        <w:tblStyle w:val="Tablaconcuadrcula"/>
        <w:tblW w:w="0" w:type="auto"/>
        <w:tblLook w:val="04A0" w:firstRow="1" w:lastRow="0" w:firstColumn="1" w:lastColumn="0" w:noHBand="0" w:noVBand="1"/>
      </w:tblPr>
      <w:tblGrid>
        <w:gridCol w:w="2402"/>
        <w:gridCol w:w="6072"/>
      </w:tblGrid>
      <w:tr w:rsidR="00E338FB" w:rsidRPr="00E338FB" w14:paraId="2A2D6DEE" w14:textId="77777777" w:rsidTr="000F4CC1">
        <w:trPr>
          <w:trHeight w:val="1316"/>
        </w:trPr>
        <w:tc>
          <w:tcPr>
            <w:tcW w:w="8474" w:type="dxa"/>
            <w:gridSpan w:val="2"/>
            <w:tcBorders>
              <w:top w:val="double" w:sz="4" w:space="0" w:color="253746"/>
              <w:left w:val="double" w:sz="4" w:space="0" w:color="253746"/>
              <w:right w:val="double" w:sz="4" w:space="0" w:color="253746"/>
            </w:tcBorders>
            <w:shd w:val="clear" w:color="auto" w:fill="78BE20"/>
            <w:vAlign w:val="center"/>
          </w:tcPr>
          <w:p w14:paraId="4C350C80" w14:textId="77777777" w:rsidR="00E338FB" w:rsidRPr="00E338FB" w:rsidRDefault="00E338FB" w:rsidP="00E338FB">
            <w:pPr>
              <w:spacing w:before="0" w:after="0"/>
              <w:ind w:left="22"/>
              <w:jc w:val="left"/>
              <w:rPr>
                <w:sz w:val="20"/>
                <w:szCs w:val="20"/>
              </w:rPr>
            </w:pPr>
            <w:r w:rsidRPr="00E338FB">
              <w:rPr>
                <w:b/>
                <w:bCs/>
                <w:color w:val="FFFFFF" w:themeColor="background1"/>
              </w:rPr>
              <w:t xml:space="preserve">Incorporación del Protocolo de prevención y actuación frente al acoso sexual y por razón de sexo en la información de PRL facilitada al personal de nuevo ingreso al inicio de la relación laboral </w:t>
            </w:r>
          </w:p>
        </w:tc>
      </w:tr>
      <w:tr w:rsidR="00E338FB" w:rsidRPr="00E338FB" w14:paraId="0D514342" w14:textId="77777777" w:rsidTr="000F4CC1">
        <w:trPr>
          <w:trHeight w:val="734"/>
        </w:trPr>
        <w:tc>
          <w:tcPr>
            <w:tcW w:w="2402" w:type="dxa"/>
            <w:tcBorders>
              <w:top w:val="double" w:sz="4" w:space="0" w:color="253746"/>
              <w:left w:val="double" w:sz="4" w:space="0" w:color="253746"/>
              <w:bottom w:val="single" w:sz="4" w:space="0" w:color="253746"/>
              <w:right w:val="dashSmallGap" w:sz="4" w:space="0" w:color="253746"/>
            </w:tcBorders>
            <w:shd w:val="clear" w:color="auto" w:fill="auto"/>
            <w:vAlign w:val="center"/>
          </w:tcPr>
          <w:p w14:paraId="2BDF1EBA" w14:textId="77777777" w:rsidR="00E338FB" w:rsidRPr="00E338FB" w:rsidRDefault="00E338FB" w:rsidP="00E338FB">
            <w:pPr>
              <w:spacing w:before="0" w:after="0"/>
              <w:ind w:left="22"/>
              <w:jc w:val="left"/>
              <w:rPr>
                <w:sz w:val="20"/>
                <w:szCs w:val="20"/>
              </w:rPr>
            </w:pPr>
            <w:r w:rsidRPr="00E338FB">
              <w:rPr>
                <w:b/>
                <w:bCs/>
                <w:sz w:val="20"/>
                <w:szCs w:val="20"/>
              </w:rPr>
              <w:t>Grupo destinatario</w:t>
            </w:r>
          </w:p>
        </w:tc>
        <w:tc>
          <w:tcPr>
            <w:tcW w:w="6072" w:type="dxa"/>
            <w:tcBorders>
              <w:top w:val="double" w:sz="4" w:space="0" w:color="253746"/>
              <w:left w:val="dashSmallGap" w:sz="4" w:space="0" w:color="253746"/>
              <w:bottom w:val="single" w:sz="4" w:space="0" w:color="253746"/>
              <w:right w:val="double" w:sz="4" w:space="0" w:color="253746"/>
            </w:tcBorders>
            <w:shd w:val="clear" w:color="auto" w:fill="auto"/>
            <w:vAlign w:val="center"/>
          </w:tcPr>
          <w:p w14:paraId="29AA8230" w14:textId="77777777" w:rsidR="00E338FB" w:rsidRPr="00E338FB" w:rsidRDefault="00E338FB" w:rsidP="00E338FB">
            <w:pPr>
              <w:spacing w:before="0" w:after="0"/>
              <w:ind w:left="315" w:hanging="218"/>
              <w:rPr>
                <w:highlight w:val="yellow"/>
              </w:rPr>
            </w:pPr>
            <w:r w:rsidRPr="00E338FB">
              <w:rPr>
                <w:sz w:val="20"/>
                <w:szCs w:val="20"/>
              </w:rPr>
              <w:t xml:space="preserve">Personal de la Administración General. </w:t>
            </w:r>
          </w:p>
        </w:tc>
      </w:tr>
      <w:tr w:rsidR="00E338FB" w:rsidRPr="00E338FB" w14:paraId="2B5B9884" w14:textId="77777777" w:rsidTr="000F4CC1">
        <w:trPr>
          <w:trHeight w:val="784"/>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018DE9F6" w14:textId="77777777" w:rsidR="00E338FB" w:rsidRPr="00E338FB" w:rsidRDefault="00E338FB" w:rsidP="00E338FB">
            <w:pPr>
              <w:spacing w:before="0" w:after="0"/>
              <w:ind w:left="22"/>
              <w:jc w:val="left"/>
              <w:rPr>
                <w:sz w:val="20"/>
                <w:szCs w:val="20"/>
              </w:rPr>
            </w:pPr>
            <w:r w:rsidRPr="00E338FB">
              <w:rPr>
                <w:b/>
                <w:bCs/>
                <w:sz w:val="20"/>
                <w:szCs w:val="20"/>
              </w:rPr>
              <w:t>Descripción por acciones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3C553193" w14:textId="77777777" w:rsidR="00E338FB" w:rsidRPr="00E338FB" w:rsidRDefault="00E338FB" w:rsidP="00FB3AE0">
            <w:pPr>
              <w:tabs>
                <w:tab w:val="left" w:pos="5698"/>
              </w:tabs>
              <w:spacing w:before="0" w:after="0" w:line="259" w:lineRule="auto"/>
              <w:ind w:left="152" w:right="12"/>
              <w:contextualSpacing/>
              <w:jc w:val="left"/>
              <w:rPr>
                <w:sz w:val="20"/>
                <w:szCs w:val="18"/>
              </w:rPr>
            </w:pPr>
            <w:r w:rsidRPr="00E338FB">
              <w:rPr>
                <w:sz w:val="20"/>
                <w:szCs w:val="18"/>
              </w:rPr>
              <w:t>Revisión de la carpeta de material de nuevo ingreso y actualización.</w:t>
            </w:r>
          </w:p>
        </w:tc>
      </w:tr>
      <w:tr w:rsidR="00E338FB" w:rsidRPr="00E338FB" w14:paraId="739EB923" w14:textId="77777777" w:rsidTr="000F4CC1">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73F6C329" w14:textId="77777777" w:rsidR="00E338FB" w:rsidRPr="00E338FB" w:rsidRDefault="00E338FB" w:rsidP="00E338FB">
            <w:pPr>
              <w:spacing w:before="0" w:after="0"/>
              <w:ind w:left="22"/>
              <w:jc w:val="left"/>
              <w:rPr>
                <w:sz w:val="20"/>
                <w:szCs w:val="20"/>
              </w:rPr>
            </w:pPr>
            <w:r w:rsidRPr="00E338FB">
              <w:rPr>
                <w:b/>
                <w:bCs/>
                <w:sz w:val="20"/>
                <w:szCs w:val="20"/>
              </w:rPr>
              <w:t>Medios y recursos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5CA9F979" w14:textId="77777777" w:rsidR="00E338FB" w:rsidRPr="00E338FB" w:rsidRDefault="00E338FB" w:rsidP="00FB3AE0">
            <w:pPr>
              <w:spacing w:before="0" w:after="0"/>
              <w:ind w:left="152"/>
              <w:jc w:val="left"/>
              <w:rPr>
                <w:sz w:val="20"/>
                <w:szCs w:val="18"/>
              </w:rPr>
            </w:pPr>
          </w:p>
          <w:p w14:paraId="7FD48147" w14:textId="77777777" w:rsidR="00E338FB" w:rsidRPr="00E338FB" w:rsidRDefault="00E338FB" w:rsidP="00FB3AE0">
            <w:pPr>
              <w:tabs>
                <w:tab w:val="left" w:pos="5698"/>
              </w:tabs>
              <w:spacing w:before="0" w:after="0" w:line="259" w:lineRule="auto"/>
              <w:ind w:left="152" w:right="12"/>
              <w:contextualSpacing/>
              <w:jc w:val="left"/>
              <w:rPr>
                <w:sz w:val="20"/>
                <w:szCs w:val="18"/>
              </w:rPr>
            </w:pPr>
            <w:r w:rsidRPr="00E338FB">
              <w:rPr>
                <w:sz w:val="20"/>
                <w:szCs w:val="18"/>
              </w:rPr>
              <w:t xml:space="preserve">Protocolo de prevención y actuación frente al acoso. </w:t>
            </w:r>
          </w:p>
          <w:p w14:paraId="16707755" w14:textId="77777777" w:rsidR="00E338FB" w:rsidRPr="00E338FB" w:rsidRDefault="00E338FB" w:rsidP="00FB3AE0">
            <w:pPr>
              <w:spacing w:before="0" w:after="0"/>
              <w:ind w:left="152"/>
              <w:jc w:val="left"/>
              <w:rPr>
                <w:sz w:val="20"/>
                <w:szCs w:val="20"/>
              </w:rPr>
            </w:pPr>
          </w:p>
        </w:tc>
      </w:tr>
      <w:tr w:rsidR="00E338FB" w:rsidRPr="00E338FB" w14:paraId="6D06116D" w14:textId="77777777" w:rsidTr="000F4CC1">
        <w:trPr>
          <w:trHeight w:val="776"/>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2B317BF0" w14:textId="77777777" w:rsidR="00E338FB" w:rsidRPr="00E338FB" w:rsidRDefault="00E338FB" w:rsidP="00E338FB">
            <w:pPr>
              <w:spacing w:before="0" w:after="0"/>
              <w:ind w:left="22"/>
              <w:jc w:val="left"/>
              <w:rPr>
                <w:sz w:val="20"/>
                <w:szCs w:val="20"/>
              </w:rPr>
            </w:pPr>
            <w:r w:rsidRPr="00E338FB">
              <w:rPr>
                <w:b/>
                <w:bCs/>
                <w:sz w:val="20"/>
                <w:szCs w:val="20"/>
              </w:rPr>
              <w:t>Responsables</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246C625B" w14:textId="77777777" w:rsidR="00E338FB" w:rsidRPr="00E338FB" w:rsidRDefault="00E338FB" w:rsidP="00FB3AE0">
            <w:pPr>
              <w:tabs>
                <w:tab w:val="left" w:pos="5698"/>
              </w:tabs>
              <w:spacing w:before="0" w:after="0" w:line="259" w:lineRule="auto"/>
              <w:ind w:left="152" w:right="12"/>
              <w:contextualSpacing/>
              <w:jc w:val="left"/>
              <w:rPr>
                <w:sz w:val="20"/>
                <w:szCs w:val="20"/>
              </w:rPr>
            </w:pPr>
            <w:r w:rsidRPr="00E338FB">
              <w:rPr>
                <w:sz w:val="20"/>
                <w:szCs w:val="18"/>
              </w:rPr>
              <w:t xml:space="preserve">Órgano con competencias en materia de PRL </w:t>
            </w:r>
          </w:p>
        </w:tc>
      </w:tr>
      <w:tr w:rsidR="00E338FB" w:rsidRPr="00E338FB" w14:paraId="5F3D10BF" w14:textId="77777777" w:rsidTr="000F4CC1">
        <w:trPr>
          <w:trHeight w:val="966"/>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1CD770AB" w14:textId="77777777" w:rsidR="00E338FB" w:rsidRPr="00E338FB" w:rsidRDefault="00E338FB" w:rsidP="00E338FB">
            <w:pPr>
              <w:spacing w:before="0" w:after="0"/>
              <w:ind w:left="22"/>
              <w:jc w:val="left"/>
              <w:rPr>
                <w:sz w:val="20"/>
                <w:szCs w:val="20"/>
              </w:rPr>
            </w:pPr>
            <w:r w:rsidRPr="00E338FB">
              <w:rPr>
                <w:b/>
                <w:bCs/>
                <w:sz w:val="20"/>
                <w:szCs w:val="20"/>
              </w:rPr>
              <w:t xml:space="preserve">Indicadores </w:t>
            </w:r>
          </w:p>
        </w:tc>
        <w:tc>
          <w:tcPr>
            <w:tcW w:w="6072" w:type="dxa"/>
            <w:tcBorders>
              <w:top w:val="single" w:sz="4" w:space="0" w:color="253746"/>
              <w:left w:val="dashSmallGap" w:sz="4" w:space="0" w:color="253746"/>
              <w:bottom w:val="single" w:sz="4" w:space="0" w:color="253746"/>
              <w:right w:val="double" w:sz="4" w:space="0" w:color="253746"/>
            </w:tcBorders>
            <w:vAlign w:val="center"/>
          </w:tcPr>
          <w:p w14:paraId="100A2385" w14:textId="77777777" w:rsidR="00E338FB" w:rsidRPr="00E338FB" w:rsidRDefault="00E338FB" w:rsidP="00E338FB">
            <w:pPr>
              <w:spacing w:before="0" w:after="0"/>
              <w:jc w:val="left"/>
              <w:rPr>
                <w:sz w:val="20"/>
                <w:szCs w:val="20"/>
              </w:rPr>
            </w:pPr>
          </w:p>
          <w:p w14:paraId="70015F29" w14:textId="77777777" w:rsidR="00E338FB" w:rsidRPr="00E338FB" w:rsidRDefault="00E338FB">
            <w:pPr>
              <w:numPr>
                <w:ilvl w:val="0"/>
                <w:numId w:val="8"/>
              </w:numPr>
              <w:tabs>
                <w:tab w:val="left" w:pos="5698"/>
              </w:tabs>
              <w:spacing w:before="0" w:after="0" w:line="259" w:lineRule="auto"/>
              <w:ind w:left="294" w:right="12" w:hanging="197"/>
              <w:contextualSpacing/>
              <w:jc w:val="left"/>
              <w:rPr>
                <w:sz w:val="20"/>
                <w:szCs w:val="18"/>
              </w:rPr>
            </w:pPr>
            <w:r w:rsidRPr="00E338FB">
              <w:rPr>
                <w:sz w:val="20"/>
                <w:szCs w:val="18"/>
              </w:rPr>
              <w:t>Protocolo incorporado</w:t>
            </w:r>
          </w:p>
          <w:p w14:paraId="7FAC8A6C" w14:textId="77777777" w:rsidR="00E338FB" w:rsidRPr="00E338FB" w:rsidRDefault="00E338FB">
            <w:pPr>
              <w:numPr>
                <w:ilvl w:val="0"/>
                <w:numId w:val="8"/>
              </w:numPr>
              <w:tabs>
                <w:tab w:val="left" w:pos="5698"/>
              </w:tabs>
              <w:spacing w:before="0" w:after="0" w:line="259" w:lineRule="auto"/>
              <w:ind w:left="294" w:right="12" w:hanging="197"/>
              <w:contextualSpacing/>
              <w:jc w:val="left"/>
              <w:rPr>
                <w:sz w:val="20"/>
                <w:szCs w:val="18"/>
              </w:rPr>
            </w:pPr>
            <w:r w:rsidRPr="00E338FB">
              <w:rPr>
                <w:sz w:val="20"/>
                <w:szCs w:val="18"/>
              </w:rPr>
              <w:t>% de personas de nuevo ingreso, según sexo y periodo anual</w:t>
            </w:r>
          </w:p>
          <w:p w14:paraId="19474C0B" w14:textId="77777777" w:rsidR="00E338FB" w:rsidRPr="00E338FB" w:rsidRDefault="00E338FB" w:rsidP="00E338FB">
            <w:pPr>
              <w:spacing w:before="0" w:after="0"/>
              <w:jc w:val="left"/>
              <w:rPr>
                <w:sz w:val="20"/>
                <w:szCs w:val="20"/>
              </w:rPr>
            </w:pPr>
          </w:p>
        </w:tc>
      </w:tr>
      <w:tr w:rsidR="00E338FB" w:rsidRPr="00E338FB" w14:paraId="016198C6" w14:textId="77777777" w:rsidTr="000F4CC1">
        <w:trPr>
          <w:trHeight w:val="555"/>
        </w:trPr>
        <w:tc>
          <w:tcPr>
            <w:tcW w:w="2402" w:type="dxa"/>
            <w:tcBorders>
              <w:top w:val="single" w:sz="4" w:space="0" w:color="253746"/>
              <w:left w:val="double" w:sz="4" w:space="0" w:color="253746"/>
              <w:bottom w:val="single" w:sz="4" w:space="0" w:color="253746"/>
              <w:right w:val="dashSmallGap" w:sz="4" w:space="0" w:color="253746"/>
            </w:tcBorders>
            <w:shd w:val="clear" w:color="auto" w:fill="auto"/>
            <w:vAlign w:val="center"/>
          </w:tcPr>
          <w:p w14:paraId="44B8458E" w14:textId="77777777" w:rsidR="00E338FB" w:rsidRPr="00E338FB" w:rsidRDefault="00E338FB" w:rsidP="00E338FB">
            <w:pPr>
              <w:spacing w:before="0" w:after="0"/>
              <w:ind w:left="22"/>
              <w:jc w:val="left"/>
              <w:rPr>
                <w:sz w:val="20"/>
                <w:szCs w:val="20"/>
              </w:rPr>
            </w:pPr>
            <w:r w:rsidRPr="00E338FB">
              <w:rPr>
                <w:b/>
                <w:bCs/>
                <w:sz w:val="20"/>
                <w:szCs w:val="20"/>
              </w:rPr>
              <w:t>Plazo</w:t>
            </w:r>
          </w:p>
        </w:tc>
        <w:tc>
          <w:tcPr>
            <w:tcW w:w="6072" w:type="dxa"/>
            <w:tcBorders>
              <w:top w:val="single" w:sz="4" w:space="0" w:color="253746"/>
              <w:left w:val="dashSmallGap" w:sz="4" w:space="0" w:color="253746"/>
              <w:right w:val="double" w:sz="4" w:space="0" w:color="253746"/>
            </w:tcBorders>
            <w:vAlign w:val="center"/>
          </w:tcPr>
          <w:p w14:paraId="6C512E14" w14:textId="77777777" w:rsidR="00E338FB" w:rsidRPr="00E338FB" w:rsidRDefault="00E338FB" w:rsidP="00FB3AE0">
            <w:pPr>
              <w:spacing w:before="0" w:after="0"/>
              <w:ind w:left="152"/>
              <w:jc w:val="left"/>
              <w:rPr>
                <w:sz w:val="20"/>
                <w:szCs w:val="20"/>
              </w:rPr>
            </w:pPr>
            <w:r w:rsidRPr="00E338FB">
              <w:rPr>
                <w:sz w:val="20"/>
                <w:szCs w:val="20"/>
              </w:rPr>
              <w:t>Año 1 desde el inicio del Plan de Igualdad</w:t>
            </w:r>
          </w:p>
        </w:tc>
      </w:tr>
      <w:tr w:rsidR="00E338FB" w:rsidRPr="00E338FB" w14:paraId="5333C387" w14:textId="77777777" w:rsidTr="0009042A">
        <w:trPr>
          <w:trHeight w:val="1044"/>
        </w:trPr>
        <w:tc>
          <w:tcPr>
            <w:tcW w:w="8474" w:type="dxa"/>
            <w:gridSpan w:val="2"/>
            <w:tcBorders>
              <w:top w:val="single" w:sz="4" w:space="0" w:color="253746"/>
              <w:left w:val="double" w:sz="4" w:space="0" w:color="253746"/>
              <w:bottom w:val="double" w:sz="4" w:space="0" w:color="253746"/>
              <w:right w:val="double" w:sz="4" w:space="0" w:color="253746"/>
            </w:tcBorders>
            <w:vAlign w:val="center"/>
          </w:tcPr>
          <w:p w14:paraId="182E9FCD" w14:textId="77777777" w:rsidR="00E338FB" w:rsidRPr="00E338FB" w:rsidRDefault="00E338FB" w:rsidP="0009042A">
            <w:pPr>
              <w:spacing w:before="0" w:after="0"/>
              <w:jc w:val="left"/>
              <w:rPr>
                <w:b/>
                <w:bCs/>
                <w:sz w:val="18"/>
                <w:szCs w:val="18"/>
              </w:rPr>
            </w:pPr>
            <w:r w:rsidRPr="00E338FB">
              <w:rPr>
                <w:b/>
                <w:bCs/>
                <w:sz w:val="18"/>
                <w:szCs w:val="18"/>
              </w:rPr>
              <w:t>Observaciones</w:t>
            </w:r>
          </w:p>
          <w:p w14:paraId="4FB533F8" w14:textId="77777777" w:rsidR="00E338FB" w:rsidRPr="00E338FB" w:rsidRDefault="00E338FB" w:rsidP="0009042A">
            <w:pPr>
              <w:spacing w:before="0" w:after="0"/>
              <w:jc w:val="left"/>
              <w:rPr>
                <w:b/>
                <w:bCs/>
                <w:sz w:val="18"/>
                <w:szCs w:val="18"/>
              </w:rPr>
            </w:pPr>
          </w:p>
          <w:p w14:paraId="759794C8" w14:textId="77777777" w:rsidR="00E338FB" w:rsidRPr="00E338FB" w:rsidRDefault="00E338FB" w:rsidP="0009042A">
            <w:pPr>
              <w:spacing w:before="0" w:after="0"/>
              <w:jc w:val="left"/>
              <w:rPr>
                <w:b/>
                <w:bCs/>
                <w:sz w:val="20"/>
                <w:szCs w:val="20"/>
              </w:rPr>
            </w:pPr>
            <w:r w:rsidRPr="00E338FB">
              <w:rPr>
                <w:sz w:val="18"/>
                <w:szCs w:val="18"/>
              </w:rPr>
              <w:t xml:space="preserve">Aplicación prioritaria: la incorporación del Protocolo será inmediata a su publicación. </w:t>
            </w:r>
          </w:p>
        </w:tc>
      </w:tr>
    </w:tbl>
    <w:p w14:paraId="03E0EA16" w14:textId="77777777" w:rsidR="00E338FB" w:rsidRPr="00E338FB" w:rsidRDefault="00E338FB" w:rsidP="00E338FB">
      <w:pPr>
        <w:spacing w:before="0" w:after="160" w:line="259" w:lineRule="auto"/>
        <w:jc w:val="left"/>
      </w:pPr>
    </w:p>
    <w:p w14:paraId="49545205" w14:textId="4A71D599" w:rsidR="003E39B4" w:rsidRDefault="003E39B4" w:rsidP="00BD6B35">
      <w:pPr>
        <w:pStyle w:val="Ttulo1"/>
        <w:rPr>
          <w:rFonts w:cs="Arial"/>
          <w:lang w:val="es-ES_tradnl"/>
        </w:rPr>
      </w:pPr>
      <w:r>
        <w:rPr>
          <w:rFonts w:cs="Arial"/>
          <w:lang w:val="es-ES_tradnl"/>
        </w:rPr>
        <w:br w:type="page"/>
      </w:r>
    </w:p>
    <w:p w14:paraId="4612BB2C" w14:textId="77777777" w:rsidR="003E39B4" w:rsidRDefault="003E39B4" w:rsidP="00BD6B35">
      <w:pPr>
        <w:pStyle w:val="Ttulo1"/>
        <w:rPr>
          <w:rFonts w:cs="Arial"/>
          <w:lang w:val="es-ES_tradnl"/>
        </w:rPr>
      </w:pPr>
      <w:bookmarkStart w:id="52" w:name="_Toc122080807"/>
      <w:r>
        <w:rPr>
          <w:rFonts w:cs="Arial"/>
          <w:lang w:val="es-ES_tradnl"/>
        </w:rPr>
        <w:t>Calendario</w:t>
      </w:r>
      <w:bookmarkEnd w:id="52"/>
    </w:p>
    <w:p w14:paraId="17933B77" w14:textId="1D284A8D" w:rsidR="00564C28" w:rsidRDefault="00564C28" w:rsidP="00564C28">
      <w:pPr>
        <w:rPr>
          <w:lang w:val="es-ES_tradnl"/>
        </w:rPr>
      </w:pPr>
      <w:r>
        <w:rPr>
          <w:lang w:val="es-ES_tradnl"/>
        </w:rPr>
        <w:t xml:space="preserve">                                   </w:t>
      </w:r>
    </w:p>
    <w:tbl>
      <w:tblPr>
        <w:tblStyle w:val="Tablaconcuadrcula"/>
        <w:tblW w:w="0" w:type="auto"/>
        <w:tblInd w:w="5" w:type="dxa"/>
        <w:tblLook w:val="04A0" w:firstRow="1" w:lastRow="0" w:firstColumn="1" w:lastColumn="0" w:noHBand="0" w:noVBand="1"/>
      </w:tblPr>
      <w:tblGrid>
        <w:gridCol w:w="846"/>
        <w:gridCol w:w="3824"/>
        <w:gridCol w:w="3824"/>
      </w:tblGrid>
      <w:tr w:rsidR="00564C28" w:rsidRPr="00564C28" w14:paraId="66747B97" w14:textId="77777777" w:rsidTr="000F4CC1">
        <w:trPr>
          <w:cantSplit/>
          <w:trHeight w:val="1701"/>
        </w:trPr>
        <w:tc>
          <w:tcPr>
            <w:tcW w:w="846" w:type="dxa"/>
            <w:shd w:val="clear" w:color="auto" w:fill="78BE20"/>
            <w:textDirection w:val="btLr"/>
            <w:vAlign w:val="center"/>
          </w:tcPr>
          <w:p w14:paraId="70CAF9FC" w14:textId="77777777" w:rsidR="00564C28" w:rsidRPr="00564C28" w:rsidRDefault="00564C28" w:rsidP="00564C28">
            <w:pPr>
              <w:spacing w:before="0" w:after="0" w:line="259" w:lineRule="auto"/>
              <w:ind w:left="113" w:right="113"/>
              <w:jc w:val="center"/>
              <w:rPr>
                <w:color w:val="FFFFFF" w:themeColor="background1"/>
              </w:rPr>
            </w:pPr>
            <w:r w:rsidRPr="00564C28">
              <w:rPr>
                <w:color w:val="FFFFFF" w:themeColor="background1"/>
              </w:rPr>
              <w:t>Permanentes | Anuales</w:t>
            </w:r>
          </w:p>
        </w:tc>
        <w:tc>
          <w:tcPr>
            <w:tcW w:w="7648" w:type="dxa"/>
            <w:gridSpan w:val="2"/>
            <w:vAlign w:val="center"/>
          </w:tcPr>
          <w:p w14:paraId="35E52C16" w14:textId="77777777" w:rsidR="00564C28" w:rsidRPr="00730B02" w:rsidRDefault="00564C28" w:rsidP="00564C28">
            <w:pPr>
              <w:spacing w:before="0" w:after="0" w:line="259" w:lineRule="auto"/>
              <w:jc w:val="left"/>
              <w:rPr>
                <w:sz w:val="20"/>
                <w:szCs w:val="20"/>
              </w:rPr>
            </w:pPr>
            <w:r w:rsidRPr="00730B02">
              <w:rPr>
                <w:b/>
                <w:bCs/>
                <w:sz w:val="20"/>
                <w:szCs w:val="20"/>
              </w:rPr>
              <w:t>Medida 1.</w:t>
            </w:r>
            <w:r w:rsidRPr="00730B02">
              <w:rPr>
                <w:sz w:val="20"/>
                <w:szCs w:val="20"/>
              </w:rPr>
              <w:t xml:space="preserve"> Publicación resultados</w:t>
            </w:r>
          </w:p>
          <w:p w14:paraId="33D9256E" w14:textId="77777777" w:rsidR="00564C28" w:rsidRPr="00730B02" w:rsidRDefault="00564C28" w:rsidP="00564C28">
            <w:pPr>
              <w:spacing w:before="0" w:after="0" w:line="259" w:lineRule="auto"/>
              <w:jc w:val="left"/>
              <w:rPr>
                <w:sz w:val="20"/>
                <w:szCs w:val="20"/>
              </w:rPr>
            </w:pPr>
            <w:r w:rsidRPr="00730B02">
              <w:rPr>
                <w:b/>
                <w:bCs/>
                <w:sz w:val="20"/>
                <w:szCs w:val="20"/>
              </w:rPr>
              <w:t>Medida 2.</w:t>
            </w:r>
            <w:r w:rsidRPr="00730B02">
              <w:rPr>
                <w:sz w:val="20"/>
                <w:szCs w:val="20"/>
              </w:rPr>
              <w:t xml:space="preserve"> Difusión guía lenguaje no sexista</w:t>
            </w:r>
          </w:p>
          <w:p w14:paraId="2C7DB3D8" w14:textId="77777777" w:rsidR="00564C28" w:rsidRPr="00730B02" w:rsidRDefault="00564C28" w:rsidP="00564C28">
            <w:pPr>
              <w:spacing w:before="0" w:after="0" w:line="259" w:lineRule="auto"/>
              <w:jc w:val="left"/>
              <w:rPr>
                <w:sz w:val="20"/>
                <w:szCs w:val="20"/>
              </w:rPr>
            </w:pPr>
            <w:r w:rsidRPr="00730B02">
              <w:rPr>
                <w:b/>
                <w:bCs/>
                <w:sz w:val="20"/>
                <w:szCs w:val="20"/>
              </w:rPr>
              <w:t>Medida 7.</w:t>
            </w:r>
            <w:r w:rsidRPr="00730B02">
              <w:rPr>
                <w:sz w:val="20"/>
                <w:szCs w:val="20"/>
              </w:rPr>
              <w:t xml:space="preserve"> Acción positiva </w:t>
            </w:r>
          </w:p>
          <w:p w14:paraId="6D6938DD" w14:textId="77777777" w:rsidR="00564C28" w:rsidRPr="00730B02" w:rsidRDefault="00564C28" w:rsidP="00564C28">
            <w:pPr>
              <w:spacing w:before="0" w:after="0" w:line="259" w:lineRule="auto"/>
              <w:jc w:val="left"/>
              <w:rPr>
                <w:sz w:val="20"/>
                <w:szCs w:val="20"/>
              </w:rPr>
            </w:pPr>
            <w:r w:rsidRPr="00730B02">
              <w:rPr>
                <w:b/>
                <w:bCs/>
                <w:sz w:val="20"/>
                <w:szCs w:val="20"/>
              </w:rPr>
              <w:t>Medida 10.</w:t>
            </w:r>
            <w:r w:rsidRPr="00730B02">
              <w:rPr>
                <w:sz w:val="20"/>
                <w:szCs w:val="20"/>
              </w:rPr>
              <w:t xml:space="preserve"> Registro datos desagregados Tribunales personal docente. </w:t>
            </w:r>
          </w:p>
          <w:p w14:paraId="78B7567D" w14:textId="77777777" w:rsidR="00564C28" w:rsidRPr="00730B02" w:rsidRDefault="00564C28" w:rsidP="00564C28">
            <w:pPr>
              <w:spacing w:before="0" w:after="0" w:line="259" w:lineRule="auto"/>
              <w:jc w:val="left"/>
              <w:rPr>
                <w:sz w:val="20"/>
                <w:szCs w:val="20"/>
              </w:rPr>
            </w:pPr>
            <w:r w:rsidRPr="00730B02">
              <w:rPr>
                <w:b/>
                <w:bCs/>
                <w:sz w:val="20"/>
                <w:szCs w:val="20"/>
              </w:rPr>
              <w:t xml:space="preserve">Medida 12. </w:t>
            </w:r>
            <w:r w:rsidRPr="00730B02">
              <w:rPr>
                <w:sz w:val="20"/>
                <w:szCs w:val="20"/>
              </w:rPr>
              <w:t>Curso básico de igualdad</w:t>
            </w:r>
          </w:p>
          <w:p w14:paraId="2C7E024E" w14:textId="77777777" w:rsidR="00564C28" w:rsidRPr="00730B02" w:rsidRDefault="00564C28" w:rsidP="00564C28">
            <w:pPr>
              <w:spacing w:before="0" w:after="0" w:line="259" w:lineRule="auto"/>
              <w:jc w:val="left"/>
              <w:rPr>
                <w:sz w:val="20"/>
                <w:szCs w:val="20"/>
              </w:rPr>
            </w:pPr>
            <w:r w:rsidRPr="00730B02">
              <w:rPr>
                <w:b/>
                <w:bCs/>
                <w:sz w:val="20"/>
                <w:szCs w:val="20"/>
              </w:rPr>
              <w:t xml:space="preserve">Medida 13. </w:t>
            </w:r>
            <w:r w:rsidRPr="00730B02">
              <w:rPr>
                <w:sz w:val="20"/>
                <w:szCs w:val="20"/>
              </w:rPr>
              <w:t xml:space="preserve">Curso obligatorio lenguaje y otros conceptos de igualdad </w:t>
            </w:r>
          </w:p>
          <w:p w14:paraId="792B3EC7" w14:textId="77777777" w:rsidR="00564C28" w:rsidRPr="00730B02" w:rsidRDefault="00564C28" w:rsidP="00564C28">
            <w:pPr>
              <w:spacing w:before="0" w:after="0" w:line="259" w:lineRule="auto"/>
              <w:jc w:val="left"/>
              <w:rPr>
                <w:sz w:val="20"/>
                <w:szCs w:val="20"/>
              </w:rPr>
            </w:pPr>
            <w:r w:rsidRPr="00730B02">
              <w:rPr>
                <w:b/>
                <w:bCs/>
                <w:sz w:val="20"/>
                <w:szCs w:val="20"/>
              </w:rPr>
              <w:t>Medida 14.</w:t>
            </w:r>
            <w:r w:rsidRPr="00730B02">
              <w:rPr>
                <w:sz w:val="20"/>
                <w:szCs w:val="20"/>
              </w:rPr>
              <w:t xml:space="preserve"> Píldora formativa igualdad Tribunales de calificación y Comisiones de valoración </w:t>
            </w:r>
          </w:p>
          <w:p w14:paraId="0B144D56" w14:textId="77777777" w:rsidR="00564C28" w:rsidRPr="00730B02" w:rsidRDefault="00564C28" w:rsidP="00564C28">
            <w:pPr>
              <w:spacing w:before="0" w:after="0" w:line="259" w:lineRule="auto"/>
              <w:jc w:val="left"/>
              <w:rPr>
                <w:sz w:val="20"/>
                <w:szCs w:val="20"/>
              </w:rPr>
            </w:pPr>
            <w:r w:rsidRPr="00730B02">
              <w:rPr>
                <w:b/>
                <w:bCs/>
                <w:sz w:val="20"/>
                <w:szCs w:val="20"/>
              </w:rPr>
              <w:t>Medida 15.</w:t>
            </w:r>
            <w:r w:rsidRPr="00730B02">
              <w:rPr>
                <w:sz w:val="20"/>
                <w:szCs w:val="20"/>
              </w:rPr>
              <w:t xml:space="preserve"> Llamamiento formación en igualdad </w:t>
            </w:r>
          </w:p>
          <w:p w14:paraId="24E7853B" w14:textId="77777777" w:rsidR="00564C28" w:rsidRPr="00730B02" w:rsidRDefault="00564C28" w:rsidP="00564C28">
            <w:pPr>
              <w:spacing w:before="0" w:after="0" w:line="259" w:lineRule="auto"/>
              <w:jc w:val="left"/>
              <w:rPr>
                <w:sz w:val="20"/>
                <w:szCs w:val="20"/>
              </w:rPr>
            </w:pPr>
            <w:r w:rsidRPr="00730B02">
              <w:rPr>
                <w:b/>
                <w:bCs/>
                <w:sz w:val="20"/>
                <w:szCs w:val="20"/>
              </w:rPr>
              <w:t>Medida 16.</w:t>
            </w:r>
            <w:r w:rsidRPr="00730B02">
              <w:rPr>
                <w:sz w:val="20"/>
                <w:szCs w:val="20"/>
              </w:rPr>
              <w:t xml:space="preserve"> Campañas de sensibilización </w:t>
            </w:r>
          </w:p>
          <w:p w14:paraId="60EEE99F" w14:textId="77777777" w:rsidR="00564C28" w:rsidRPr="00730B02" w:rsidRDefault="00564C28" w:rsidP="00564C28">
            <w:pPr>
              <w:spacing w:before="0" w:after="0" w:line="259" w:lineRule="auto"/>
              <w:jc w:val="left"/>
              <w:rPr>
                <w:sz w:val="20"/>
                <w:szCs w:val="20"/>
              </w:rPr>
            </w:pPr>
            <w:r w:rsidRPr="00730B02">
              <w:rPr>
                <w:b/>
                <w:bCs/>
                <w:sz w:val="20"/>
                <w:szCs w:val="20"/>
              </w:rPr>
              <w:t>Medida 18.</w:t>
            </w:r>
            <w:r w:rsidRPr="00730B02">
              <w:rPr>
                <w:sz w:val="20"/>
                <w:szCs w:val="20"/>
              </w:rPr>
              <w:t xml:space="preserve"> Campaña atracción talento joven </w:t>
            </w:r>
          </w:p>
          <w:p w14:paraId="488553A6" w14:textId="77777777" w:rsidR="00564C28" w:rsidRPr="00730B02" w:rsidRDefault="00564C28" w:rsidP="00564C28">
            <w:pPr>
              <w:spacing w:before="0" w:after="0" w:line="259" w:lineRule="auto"/>
              <w:jc w:val="left"/>
              <w:rPr>
                <w:sz w:val="20"/>
                <w:szCs w:val="20"/>
              </w:rPr>
            </w:pPr>
            <w:r w:rsidRPr="00730B02">
              <w:rPr>
                <w:b/>
                <w:bCs/>
                <w:sz w:val="20"/>
                <w:szCs w:val="20"/>
              </w:rPr>
              <w:t>Medida 21.</w:t>
            </w:r>
            <w:r w:rsidRPr="00730B02">
              <w:rPr>
                <w:sz w:val="20"/>
                <w:szCs w:val="20"/>
              </w:rPr>
              <w:t xml:space="preserve"> Incentivos promoción interna</w:t>
            </w:r>
          </w:p>
          <w:p w14:paraId="3DE6EDCF" w14:textId="77777777" w:rsidR="00564C28" w:rsidRPr="00730B02" w:rsidRDefault="00564C28" w:rsidP="00564C28">
            <w:pPr>
              <w:spacing w:before="0" w:after="0" w:line="259" w:lineRule="auto"/>
              <w:jc w:val="left"/>
              <w:rPr>
                <w:sz w:val="20"/>
                <w:szCs w:val="20"/>
              </w:rPr>
            </w:pPr>
            <w:r w:rsidRPr="00730B02">
              <w:rPr>
                <w:b/>
                <w:bCs/>
                <w:sz w:val="20"/>
                <w:szCs w:val="20"/>
              </w:rPr>
              <w:t>Medida 22.</w:t>
            </w:r>
            <w:r w:rsidRPr="00730B02">
              <w:rPr>
                <w:sz w:val="20"/>
                <w:szCs w:val="20"/>
              </w:rPr>
              <w:t xml:space="preserve"> Horas extraordinarias formación obligatoria </w:t>
            </w:r>
          </w:p>
          <w:p w14:paraId="5F3DE441" w14:textId="77777777" w:rsidR="00564C28" w:rsidRPr="00730B02" w:rsidRDefault="00564C28" w:rsidP="00564C28">
            <w:pPr>
              <w:spacing w:before="0" w:after="0" w:line="259" w:lineRule="auto"/>
              <w:jc w:val="left"/>
              <w:rPr>
                <w:sz w:val="20"/>
                <w:szCs w:val="20"/>
              </w:rPr>
            </w:pPr>
            <w:r w:rsidRPr="00730B02">
              <w:rPr>
                <w:b/>
                <w:bCs/>
                <w:sz w:val="20"/>
                <w:szCs w:val="20"/>
              </w:rPr>
              <w:t>Medida 26.</w:t>
            </w:r>
            <w:r w:rsidRPr="00730B02">
              <w:rPr>
                <w:sz w:val="20"/>
                <w:szCs w:val="20"/>
              </w:rPr>
              <w:t xml:space="preserve"> Registro retributivo funcionariado</w:t>
            </w:r>
          </w:p>
          <w:p w14:paraId="646A8B72" w14:textId="77777777" w:rsidR="00564C28" w:rsidRPr="00730B02" w:rsidRDefault="00564C28" w:rsidP="00564C28">
            <w:pPr>
              <w:spacing w:before="0" w:after="0" w:line="259" w:lineRule="auto"/>
              <w:jc w:val="left"/>
              <w:rPr>
                <w:sz w:val="20"/>
                <w:szCs w:val="20"/>
              </w:rPr>
            </w:pPr>
            <w:r w:rsidRPr="00730B02">
              <w:rPr>
                <w:b/>
                <w:bCs/>
                <w:sz w:val="20"/>
                <w:szCs w:val="20"/>
              </w:rPr>
              <w:t>Medida 27.</w:t>
            </w:r>
            <w:r w:rsidRPr="00730B02">
              <w:rPr>
                <w:sz w:val="20"/>
                <w:szCs w:val="20"/>
              </w:rPr>
              <w:t xml:space="preserve"> Ampliación rango horario formación online</w:t>
            </w:r>
          </w:p>
        </w:tc>
      </w:tr>
      <w:tr w:rsidR="00CF3A2E" w:rsidRPr="00564C28" w14:paraId="655D5706" w14:textId="77777777" w:rsidTr="00CF3A2E">
        <w:trPr>
          <w:cantSplit/>
          <w:trHeight w:val="289"/>
        </w:trPr>
        <w:tc>
          <w:tcPr>
            <w:tcW w:w="846" w:type="dxa"/>
            <w:tcBorders>
              <w:left w:val="single" w:sz="4" w:space="0" w:color="FFFFFF"/>
            </w:tcBorders>
            <w:shd w:val="clear" w:color="auto" w:fill="auto"/>
            <w:textDirection w:val="btLr"/>
            <w:vAlign w:val="center"/>
          </w:tcPr>
          <w:p w14:paraId="44B6446B" w14:textId="77777777" w:rsidR="00CF3A2E" w:rsidRPr="00564C28" w:rsidRDefault="00CF3A2E" w:rsidP="00CF3A2E">
            <w:pPr>
              <w:spacing w:before="0" w:after="0" w:line="259" w:lineRule="auto"/>
              <w:ind w:left="113" w:right="113"/>
              <w:jc w:val="center"/>
              <w:rPr>
                <w:color w:val="FFFFFF" w:themeColor="background1"/>
              </w:rPr>
            </w:pPr>
          </w:p>
        </w:tc>
        <w:tc>
          <w:tcPr>
            <w:tcW w:w="3824" w:type="dxa"/>
            <w:shd w:val="clear" w:color="auto" w:fill="78BE20"/>
          </w:tcPr>
          <w:p w14:paraId="1F6B9CB5" w14:textId="01E029F5" w:rsidR="00CF3A2E" w:rsidRPr="00730B02" w:rsidRDefault="00CF3A2E" w:rsidP="00CF3A2E">
            <w:pPr>
              <w:spacing w:before="0" w:after="0"/>
              <w:rPr>
                <w:b/>
                <w:bCs/>
                <w:sz w:val="20"/>
                <w:szCs w:val="20"/>
              </w:rPr>
            </w:pPr>
            <w:r w:rsidRPr="00730B02">
              <w:rPr>
                <w:color w:val="FFFFFF" w:themeColor="background1"/>
              </w:rPr>
              <w:t>Semestre 1</w:t>
            </w:r>
          </w:p>
        </w:tc>
        <w:tc>
          <w:tcPr>
            <w:tcW w:w="3824" w:type="dxa"/>
            <w:shd w:val="clear" w:color="auto" w:fill="78BE20"/>
          </w:tcPr>
          <w:p w14:paraId="7E678B71" w14:textId="0FB64B11" w:rsidR="00CF3A2E" w:rsidRPr="00730B02" w:rsidRDefault="00CF3A2E" w:rsidP="00CF3A2E">
            <w:pPr>
              <w:spacing w:before="0" w:after="0" w:line="259" w:lineRule="auto"/>
              <w:jc w:val="left"/>
              <w:rPr>
                <w:b/>
                <w:bCs/>
                <w:sz w:val="20"/>
                <w:szCs w:val="20"/>
              </w:rPr>
            </w:pPr>
            <w:r w:rsidRPr="00730B02">
              <w:rPr>
                <w:color w:val="FFFFFF" w:themeColor="background1"/>
              </w:rPr>
              <w:t>Semestre 2</w:t>
            </w:r>
          </w:p>
        </w:tc>
      </w:tr>
      <w:tr w:rsidR="00564C28" w:rsidRPr="00564C28" w14:paraId="7A49FBCC" w14:textId="77777777" w:rsidTr="00332DE1">
        <w:trPr>
          <w:cantSplit/>
          <w:trHeight w:val="3535"/>
        </w:trPr>
        <w:tc>
          <w:tcPr>
            <w:tcW w:w="846" w:type="dxa"/>
            <w:shd w:val="clear" w:color="auto" w:fill="78BE20"/>
            <w:textDirection w:val="btLr"/>
            <w:vAlign w:val="center"/>
          </w:tcPr>
          <w:p w14:paraId="1DB62E44" w14:textId="77777777" w:rsidR="00564C28" w:rsidRPr="00564C28" w:rsidRDefault="00564C28" w:rsidP="00564C28">
            <w:pPr>
              <w:spacing w:before="0" w:after="0" w:line="259" w:lineRule="auto"/>
              <w:ind w:left="113" w:right="113"/>
              <w:jc w:val="center"/>
              <w:rPr>
                <w:color w:val="FFFFFF" w:themeColor="background1"/>
              </w:rPr>
            </w:pPr>
            <w:r w:rsidRPr="00564C28">
              <w:rPr>
                <w:color w:val="FFFFFF" w:themeColor="background1"/>
              </w:rPr>
              <w:t>AÑO 1</w:t>
            </w:r>
          </w:p>
        </w:tc>
        <w:tc>
          <w:tcPr>
            <w:tcW w:w="3824" w:type="dxa"/>
            <w:vAlign w:val="center"/>
          </w:tcPr>
          <w:p w14:paraId="0338EEF7" w14:textId="77777777" w:rsidR="00564C28" w:rsidRPr="00730B02" w:rsidRDefault="00564C28" w:rsidP="00564C28">
            <w:pPr>
              <w:spacing w:before="0" w:after="0"/>
              <w:rPr>
                <w:sz w:val="20"/>
                <w:szCs w:val="20"/>
              </w:rPr>
            </w:pPr>
            <w:r w:rsidRPr="00730B02">
              <w:rPr>
                <w:b/>
                <w:bCs/>
                <w:sz w:val="20"/>
                <w:szCs w:val="20"/>
              </w:rPr>
              <w:t>Medida 6.</w:t>
            </w:r>
            <w:r w:rsidRPr="00730B02">
              <w:rPr>
                <w:sz w:val="20"/>
                <w:szCs w:val="20"/>
              </w:rPr>
              <w:t xml:space="preserve"> Buzón de igualdad </w:t>
            </w:r>
          </w:p>
          <w:p w14:paraId="3A343899" w14:textId="77777777" w:rsidR="00564C28" w:rsidRPr="00730B02" w:rsidRDefault="00564C28" w:rsidP="00564C28">
            <w:pPr>
              <w:spacing w:before="0" w:after="0"/>
              <w:jc w:val="left"/>
              <w:rPr>
                <w:sz w:val="20"/>
                <w:szCs w:val="20"/>
              </w:rPr>
            </w:pPr>
            <w:r w:rsidRPr="00730B02">
              <w:rPr>
                <w:b/>
                <w:bCs/>
                <w:sz w:val="20"/>
                <w:szCs w:val="20"/>
              </w:rPr>
              <w:t>Medida 17</w:t>
            </w:r>
            <w:r w:rsidRPr="00730B02">
              <w:rPr>
                <w:sz w:val="20"/>
                <w:szCs w:val="20"/>
              </w:rPr>
              <w:t>. Capacitación especializada acoso y VG</w:t>
            </w:r>
          </w:p>
          <w:p w14:paraId="006C0846" w14:textId="77777777" w:rsidR="00564C28" w:rsidRPr="00730B02" w:rsidRDefault="00564C28" w:rsidP="00564C28">
            <w:pPr>
              <w:spacing w:before="0" w:after="0"/>
              <w:jc w:val="left"/>
              <w:rPr>
                <w:sz w:val="20"/>
                <w:szCs w:val="20"/>
              </w:rPr>
            </w:pPr>
            <w:r w:rsidRPr="00730B02">
              <w:rPr>
                <w:b/>
                <w:bCs/>
                <w:sz w:val="20"/>
                <w:szCs w:val="20"/>
              </w:rPr>
              <w:t>Medida 23.</w:t>
            </w:r>
            <w:r w:rsidRPr="00730B02">
              <w:rPr>
                <w:sz w:val="20"/>
                <w:szCs w:val="20"/>
              </w:rPr>
              <w:t xml:space="preserve"> Mejora informática aceptaciones y rechazos formación </w:t>
            </w:r>
          </w:p>
          <w:p w14:paraId="4B8622DF" w14:textId="77777777" w:rsidR="00564C28" w:rsidRPr="00730B02" w:rsidRDefault="00564C28" w:rsidP="00564C28">
            <w:pPr>
              <w:spacing w:before="0" w:after="0"/>
              <w:jc w:val="left"/>
              <w:rPr>
                <w:sz w:val="20"/>
                <w:szCs w:val="20"/>
              </w:rPr>
            </w:pPr>
            <w:r w:rsidRPr="00730B02">
              <w:rPr>
                <w:b/>
                <w:bCs/>
                <w:sz w:val="20"/>
                <w:szCs w:val="20"/>
              </w:rPr>
              <w:t>Medida 28.</w:t>
            </w:r>
            <w:r w:rsidRPr="00730B02">
              <w:rPr>
                <w:sz w:val="20"/>
                <w:szCs w:val="20"/>
              </w:rPr>
              <w:t xml:space="preserve"> Folleto informativo conciliación</w:t>
            </w:r>
          </w:p>
          <w:p w14:paraId="73F49CC0" w14:textId="77777777" w:rsidR="00564C28" w:rsidRPr="00730B02" w:rsidRDefault="00564C28" w:rsidP="00564C28">
            <w:pPr>
              <w:spacing w:before="0" w:after="0"/>
              <w:jc w:val="left"/>
              <w:rPr>
                <w:sz w:val="20"/>
                <w:szCs w:val="20"/>
              </w:rPr>
            </w:pPr>
            <w:r w:rsidRPr="00730B02">
              <w:rPr>
                <w:b/>
                <w:bCs/>
                <w:sz w:val="20"/>
                <w:szCs w:val="20"/>
              </w:rPr>
              <w:t>Medida 29.</w:t>
            </w:r>
            <w:r w:rsidRPr="00730B02">
              <w:rPr>
                <w:sz w:val="20"/>
                <w:szCs w:val="20"/>
              </w:rPr>
              <w:t xml:space="preserve"> Comisión Instructora Procedimiento acoso</w:t>
            </w:r>
          </w:p>
        </w:tc>
        <w:tc>
          <w:tcPr>
            <w:tcW w:w="3824" w:type="dxa"/>
            <w:vAlign w:val="center"/>
          </w:tcPr>
          <w:p w14:paraId="677C0952" w14:textId="77777777" w:rsidR="00564C28" w:rsidRPr="00730B02" w:rsidRDefault="00564C28" w:rsidP="00564C28">
            <w:pPr>
              <w:spacing w:before="0" w:after="0" w:line="259" w:lineRule="auto"/>
              <w:jc w:val="left"/>
              <w:rPr>
                <w:sz w:val="20"/>
                <w:szCs w:val="20"/>
              </w:rPr>
            </w:pPr>
            <w:r w:rsidRPr="00730B02">
              <w:rPr>
                <w:b/>
                <w:bCs/>
                <w:sz w:val="20"/>
                <w:szCs w:val="20"/>
              </w:rPr>
              <w:t>Medida 8.</w:t>
            </w:r>
            <w:r w:rsidRPr="00730B02">
              <w:rPr>
                <w:sz w:val="20"/>
                <w:szCs w:val="20"/>
              </w:rPr>
              <w:t xml:space="preserve"> Composición equilibrada bases Comisiones de valoración </w:t>
            </w:r>
          </w:p>
          <w:p w14:paraId="1C7E7F42" w14:textId="77777777" w:rsidR="00564C28" w:rsidRPr="00730B02" w:rsidRDefault="00564C28" w:rsidP="00564C28">
            <w:pPr>
              <w:spacing w:before="0" w:after="0" w:line="259" w:lineRule="auto"/>
              <w:jc w:val="left"/>
              <w:rPr>
                <w:sz w:val="20"/>
                <w:szCs w:val="20"/>
              </w:rPr>
            </w:pPr>
            <w:r w:rsidRPr="00730B02">
              <w:rPr>
                <w:b/>
                <w:bCs/>
                <w:sz w:val="20"/>
                <w:szCs w:val="20"/>
              </w:rPr>
              <w:t>Medida 9.</w:t>
            </w:r>
            <w:r w:rsidRPr="00730B02">
              <w:rPr>
                <w:sz w:val="20"/>
                <w:szCs w:val="20"/>
              </w:rPr>
              <w:t xml:space="preserve"> Cláusula de alternancia bases Tribunales calificadores</w:t>
            </w:r>
          </w:p>
          <w:p w14:paraId="3BE4D31B" w14:textId="77777777" w:rsidR="00564C28" w:rsidRPr="00730B02" w:rsidRDefault="00564C28" w:rsidP="00564C28">
            <w:pPr>
              <w:spacing w:before="0" w:after="0" w:line="259" w:lineRule="auto"/>
              <w:jc w:val="left"/>
              <w:rPr>
                <w:sz w:val="20"/>
                <w:szCs w:val="20"/>
              </w:rPr>
            </w:pPr>
            <w:r w:rsidRPr="00730B02">
              <w:rPr>
                <w:b/>
                <w:bCs/>
                <w:sz w:val="20"/>
                <w:szCs w:val="20"/>
              </w:rPr>
              <w:t>Medida 19.</w:t>
            </w:r>
            <w:r w:rsidRPr="00730B02">
              <w:rPr>
                <w:sz w:val="20"/>
                <w:szCs w:val="20"/>
              </w:rPr>
              <w:t xml:space="preserve"> Adaptación contenidos igualdad temarios</w:t>
            </w:r>
          </w:p>
          <w:p w14:paraId="54837B43" w14:textId="77777777" w:rsidR="00564C28" w:rsidRPr="00730B02" w:rsidRDefault="00564C28" w:rsidP="00564C28">
            <w:pPr>
              <w:spacing w:before="0" w:after="0" w:line="259" w:lineRule="auto"/>
              <w:jc w:val="left"/>
              <w:rPr>
                <w:sz w:val="20"/>
                <w:szCs w:val="20"/>
              </w:rPr>
            </w:pPr>
            <w:r w:rsidRPr="00730B02">
              <w:rPr>
                <w:b/>
                <w:bCs/>
                <w:sz w:val="20"/>
                <w:szCs w:val="20"/>
              </w:rPr>
              <w:t>Medida 30.</w:t>
            </w:r>
            <w:r w:rsidRPr="00730B02">
              <w:rPr>
                <w:sz w:val="20"/>
                <w:szCs w:val="20"/>
              </w:rPr>
              <w:t xml:space="preserve"> Aprobación Protocolo acoso</w:t>
            </w:r>
          </w:p>
          <w:p w14:paraId="531CABFB" w14:textId="0712BAAA" w:rsidR="00564C28" w:rsidRPr="00730B02" w:rsidRDefault="00564C28" w:rsidP="00564C28">
            <w:pPr>
              <w:spacing w:before="0" w:after="0" w:line="259" w:lineRule="auto"/>
              <w:jc w:val="left"/>
              <w:rPr>
                <w:sz w:val="20"/>
                <w:szCs w:val="20"/>
              </w:rPr>
            </w:pPr>
            <w:r w:rsidRPr="00730B02">
              <w:rPr>
                <w:b/>
                <w:bCs/>
                <w:sz w:val="20"/>
                <w:szCs w:val="20"/>
              </w:rPr>
              <w:t>Medida 3</w:t>
            </w:r>
            <w:r w:rsidR="00C56756" w:rsidRPr="00730B02">
              <w:rPr>
                <w:b/>
                <w:bCs/>
                <w:sz w:val="20"/>
                <w:szCs w:val="20"/>
              </w:rPr>
              <w:t>2</w:t>
            </w:r>
            <w:r w:rsidRPr="00730B02">
              <w:rPr>
                <w:b/>
                <w:bCs/>
                <w:sz w:val="20"/>
                <w:szCs w:val="20"/>
              </w:rPr>
              <w:t>.</w:t>
            </w:r>
            <w:r w:rsidRPr="00730B02">
              <w:rPr>
                <w:sz w:val="20"/>
                <w:szCs w:val="20"/>
              </w:rPr>
              <w:t xml:space="preserve"> Adaptación formularios PRL</w:t>
            </w:r>
          </w:p>
          <w:p w14:paraId="0DFE9294" w14:textId="77777777" w:rsidR="00564C28" w:rsidRPr="00730B02" w:rsidRDefault="00564C28" w:rsidP="00564C28">
            <w:pPr>
              <w:spacing w:before="0" w:after="0" w:line="259" w:lineRule="auto"/>
              <w:jc w:val="left"/>
              <w:rPr>
                <w:sz w:val="20"/>
                <w:szCs w:val="20"/>
              </w:rPr>
            </w:pPr>
            <w:r w:rsidRPr="00730B02">
              <w:rPr>
                <w:b/>
                <w:bCs/>
                <w:sz w:val="20"/>
                <w:szCs w:val="20"/>
              </w:rPr>
              <w:t>Medida 33.</w:t>
            </w:r>
            <w:r w:rsidRPr="00730B02">
              <w:rPr>
                <w:sz w:val="20"/>
                <w:szCs w:val="20"/>
              </w:rPr>
              <w:t xml:space="preserve"> Incorporación Protocolo acoso personal nuevo ingreso</w:t>
            </w:r>
          </w:p>
        </w:tc>
      </w:tr>
      <w:tr w:rsidR="00564C28" w:rsidRPr="00564C28" w14:paraId="3233BBC2" w14:textId="77777777" w:rsidTr="00332DE1">
        <w:trPr>
          <w:cantSplit/>
          <w:trHeight w:val="1119"/>
        </w:trPr>
        <w:tc>
          <w:tcPr>
            <w:tcW w:w="846" w:type="dxa"/>
            <w:shd w:val="clear" w:color="auto" w:fill="78BE20"/>
            <w:textDirection w:val="btLr"/>
            <w:vAlign w:val="center"/>
          </w:tcPr>
          <w:p w14:paraId="034DBE9E" w14:textId="77777777" w:rsidR="00564C28" w:rsidRPr="00E12020" w:rsidRDefault="00564C28" w:rsidP="00564C28">
            <w:pPr>
              <w:spacing w:before="0" w:after="0" w:line="259" w:lineRule="auto"/>
              <w:ind w:left="113" w:right="113"/>
              <w:jc w:val="center"/>
              <w:rPr>
                <w:color w:val="FFFFFF" w:themeColor="background1"/>
              </w:rPr>
            </w:pPr>
            <w:r w:rsidRPr="00E12020">
              <w:rPr>
                <w:color w:val="FFFFFF" w:themeColor="background1"/>
              </w:rPr>
              <w:t>AÑO 2</w:t>
            </w:r>
          </w:p>
        </w:tc>
        <w:tc>
          <w:tcPr>
            <w:tcW w:w="3824" w:type="dxa"/>
            <w:vAlign w:val="center"/>
          </w:tcPr>
          <w:p w14:paraId="58967077" w14:textId="1EAE87CE" w:rsidR="00E338FB" w:rsidRPr="00730B02" w:rsidRDefault="00C56756" w:rsidP="00564C28">
            <w:pPr>
              <w:spacing w:before="0" w:after="0" w:line="259" w:lineRule="auto"/>
              <w:jc w:val="left"/>
              <w:rPr>
                <w:sz w:val="20"/>
                <w:szCs w:val="20"/>
              </w:rPr>
            </w:pPr>
            <w:r w:rsidRPr="00730B02">
              <w:rPr>
                <w:b/>
                <w:bCs/>
                <w:sz w:val="20"/>
                <w:szCs w:val="20"/>
              </w:rPr>
              <w:t>Medida 3.</w:t>
            </w:r>
            <w:r w:rsidRPr="00730B02">
              <w:rPr>
                <w:sz w:val="20"/>
                <w:szCs w:val="20"/>
              </w:rPr>
              <w:t xml:space="preserve"> Directrices Informes de evaluación del impacto de género</w:t>
            </w:r>
            <w:r w:rsidRPr="00730B02">
              <w:rPr>
                <w:b/>
                <w:bCs/>
                <w:sz w:val="20"/>
                <w:szCs w:val="20"/>
              </w:rPr>
              <w:t xml:space="preserve"> </w:t>
            </w:r>
            <w:r w:rsidR="00E338FB" w:rsidRPr="00730B02">
              <w:rPr>
                <w:b/>
                <w:bCs/>
                <w:sz w:val="20"/>
                <w:szCs w:val="20"/>
              </w:rPr>
              <w:t>Medida 5.</w:t>
            </w:r>
            <w:r w:rsidR="00E338FB" w:rsidRPr="00730B02">
              <w:rPr>
                <w:sz w:val="20"/>
                <w:szCs w:val="20"/>
              </w:rPr>
              <w:t xml:space="preserve"> Unidades de Igualdad</w:t>
            </w:r>
          </w:p>
        </w:tc>
        <w:tc>
          <w:tcPr>
            <w:tcW w:w="3824" w:type="dxa"/>
            <w:vAlign w:val="center"/>
          </w:tcPr>
          <w:p w14:paraId="2AF59A55" w14:textId="77777777" w:rsidR="00C56756" w:rsidRPr="00730B02" w:rsidRDefault="00C56756" w:rsidP="00C56756">
            <w:pPr>
              <w:spacing w:before="0" w:after="0" w:line="259" w:lineRule="auto"/>
              <w:jc w:val="left"/>
              <w:rPr>
                <w:sz w:val="20"/>
                <w:szCs w:val="20"/>
              </w:rPr>
            </w:pPr>
            <w:r w:rsidRPr="00730B02">
              <w:rPr>
                <w:b/>
                <w:bCs/>
                <w:sz w:val="20"/>
                <w:szCs w:val="20"/>
              </w:rPr>
              <w:t>Medida 4.</w:t>
            </w:r>
            <w:r w:rsidRPr="00730B02">
              <w:rPr>
                <w:sz w:val="20"/>
                <w:szCs w:val="20"/>
              </w:rPr>
              <w:t xml:space="preserve"> Modelo informe evaluación impacto de género convocatorias</w:t>
            </w:r>
          </w:p>
          <w:p w14:paraId="1E65607F" w14:textId="75BB9D04" w:rsidR="00C56756" w:rsidRPr="00730B02" w:rsidRDefault="00C56756" w:rsidP="00C56756">
            <w:pPr>
              <w:spacing w:before="0" w:after="0" w:line="259" w:lineRule="auto"/>
              <w:jc w:val="left"/>
              <w:rPr>
                <w:sz w:val="20"/>
                <w:szCs w:val="20"/>
              </w:rPr>
            </w:pPr>
            <w:r w:rsidRPr="00730B02">
              <w:rPr>
                <w:b/>
                <w:bCs/>
                <w:sz w:val="20"/>
                <w:szCs w:val="20"/>
              </w:rPr>
              <w:t>Medida 11.</w:t>
            </w:r>
            <w:r w:rsidRPr="00730B02">
              <w:rPr>
                <w:sz w:val="20"/>
                <w:szCs w:val="20"/>
              </w:rPr>
              <w:t xml:space="preserve"> Sistema estandarizado solicitud conciliación </w:t>
            </w:r>
          </w:p>
        </w:tc>
      </w:tr>
      <w:tr w:rsidR="00564C28" w:rsidRPr="00564C28" w14:paraId="37A3CCEA" w14:textId="77777777" w:rsidTr="000F4CC1">
        <w:trPr>
          <w:cantSplit/>
          <w:trHeight w:val="1701"/>
        </w:trPr>
        <w:tc>
          <w:tcPr>
            <w:tcW w:w="846" w:type="dxa"/>
            <w:shd w:val="clear" w:color="auto" w:fill="78BE20"/>
            <w:textDirection w:val="btLr"/>
            <w:vAlign w:val="center"/>
          </w:tcPr>
          <w:p w14:paraId="05B6D03B" w14:textId="77777777" w:rsidR="00564C28" w:rsidRPr="00E12020" w:rsidRDefault="00564C28" w:rsidP="00564C28">
            <w:pPr>
              <w:spacing w:before="0" w:after="0" w:line="259" w:lineRule="auto"/>
              <w:ind w:left="113" w:right="113"/>
              <w:jc w:val="center"/>
              <w:rPr>
                <w:color w:val="FFFFFF" w:themeColor="background1"/>
              </w:rPr>
            </w:pPr>
            <w:r w:rsidRPr="00E12020">
              <w:rPr>
                <w:color w:val="FFFFFF" w:themeColor="background1"/>
              </w:rPr>
              <w:t>AÑO 3</w:t>
            </w:r>
          </w:p>
        </w:tc>
        <w:tc>
          <w:tcPr>
            <w:tcW w:w="3824" w:type="dxa"/>
            <w:vAlign w:val="center"/>
          </w:tcPr>
          <w:p w14:paraId="515F173D" w14:textId="77777777" w:rsidR="00564C28" w:rsidRPr="00730B02" w:rsidRDefault="00564C28" w:rsidP="00564C28">
            <w:pPr>
              <w:spacing w:before="0" w:after="0" w:line="259" w:lineRule="auto"/>
              <w:jc w:val="left"/>
              <w:rPr>
                <w:sz w:val="20"/>
                <w:szCs w:val="20"/>
              </w:rPr>
            </w:pPr>
            <w:r w:rsidRPr="00730B02">
              <w:rPr>
                <w:b/>
                <w:bCs/>
                <w:sz w:val="20"/>
                <w:szCs w:val="20"/>
              </w:rPr>
              <w:t>Medida 20.</w:t>
            </w:r>
            <w:r w:rsidRPr="00730B02">
              <w:rPr>
                <w:sz w:val="20"/>
                <w:szCs w:val="20"/>
              </w:rPr>
              <w:t xml:space="preserve"> Análisis grupo profesional y nivel de estudios</w:t>
            </w:r>
          </w:p>
          <w:p w14:paraId="480B54A7" w14:textId="77777777" w:rsidR="00564C28" w:rsidRPr="00730B02" w:rsidRDefault="00564C28" w:rsidP="00564C28">
            <w:pPr>
              <w:spacing w:before="0" w:after="0" w:line="259" w:lineRule="auto"/>
              <w:jc w:val="left"/>
              <w:rPr>
                <w:sz w:val="20"/>
                <w:szCs w:val="20"/>
              </w:rPr>
            </w:pPr>
            <w:r w:rsidRPr="00730B02">
              <w:rPr>
                <w:b/>
                <w:bCs/>
                <w:sz w:val="20"/>
                <w:szCs w:val="20"/>
              </w:rPr>
              <w:t>Medida 31.</w:t>
            </w:r>
            <w:r w:rsidRPr="00730B02">
              <w:rPr>
                <w:sz w:val="20"/>
                <w:szCs w:val="20"/>
              </w:rPr>
              <w:t xml:space="preserve"> Procedimiento violencia de género</w:t>
            </w:r>
          </w:p>
        </w:tc>
        <w:tc>
          <w:tcPr>
            <w:tcW w:w="3824" w:type="dxa"/>
            <w:vAlign w:val="center"/>
          </w:tcPr>
          <w:p w14:paraId="75BB6E2B" w14:textId="77777777" w:rsidR="00564C28" w:rsidRPr="00730B02" w:rsidRDefault="00564C28" w:rsidP="00564C28">
            <w:pPr>
              <w:spacing w:before="0" w:after="0" w:line="259" w:lineRule="auto"/>
              <w:jc w:val="left"/>
              <w:rPr>
                <w:sz w:val="20"/>
                <w:szCs w:val="20"/>
              </w:rPr>
            </w:pPr>
            <w:r w:rsidRPr="00730B02">
              <w:rPr>
                <w:b/>
                <w:bCs/>
                <w:sz w:val="20"/>
                <w:szCs w:val="20"/>
              </w:rPr>
              <w:t>Medida 24.</w:t>
            </w:r>
            <w:r w:rsidRPr="00730B02">
              <w:rPr>
                <w:sz w:val="20"/>
                <w:szCs w:val="20"/>
              </w:rPr>
              <w:t xml:space="preserve"> Adaptación puestos de trabajo de igual valor</w:t>
            </w:r>
          </w:p>
          <w:p w14:paraId="327E7037" w14:textId="77777777" w:rsidR="00564C28" w:rsidRPr="00730B02" w:rsidRDefault="00564C28" w:rsidP="00564C28">
            <w:pPr>
              <w:spacing w:before="0" w:after="0" w:line="259" w:lineRule="auto"/>
              <w:jc w:val="left"/>
              <w:rPr>
                <w:sz w:val="20"/>
                <w:szCs w:val="20"/>
              </w:rPr>
            </w:pPr>
            <w:r w:rsidRPr="00730B02">
              <w:rPr>
                <w:b/>
                <w:bCs/>
                <w:sz w:val="20"/>
                <w:szCs w:val="20"/>
              </w:rPr>
              <w:t>Medida 25.</w:t>
            </w:r>
            <w:r w:rsidRPr="00730B02">
              <w:rPr>
                <w:sz w:val="20"/>
                <w:szCs w:val="20"/>
              </w:rPr>
              <w:t xml:space="preserve"> Auditoría retributiva funcionariado </w:t>
            </w:r>
          </w:p>
        </w:tc>
      </w:tr>
      <w:tr w:rsidR="00DA4FCA" w:rsidRPr="00564C28" w14:paraId="4869243C" w14:textId="77777777" w:rsidTr="00332DE1">
        <w:trPr>
          <w:cantSplit/>
          <w:trHeight w:val="1245"/>
        </w:trPr>
        <w:tc>
          <w:tcPr>
            <w:tcW w:w="846" w:type="dxa"/>
            <w:shd w:val="clear" w:color="auto" w:fill="78BE20"/>
            <w:textDirection w:val="btLr"/>
            <w:vAlign w:val="center"/>
          </w:tcPr>
          <w:p w14:paraId="21F90C2B" w14:textId="77777777" w:rsidR="00DA4FCA" w:rsidRPr="00564C28" w:rsidRDefault="00DA4FCA" w:rsidP="00564C28">
            <w:pPr>
              <w:spacing w:before="0" w:after="0" w:line="259" w:lineRule="auto"/>
              <w:ind w:left="113" w:right="113"/>
              <w:jc w:val="center"/>
              <w:rPr>
                <w:color w:val="FFFFFF" w:themeColor="background1"/>
              </w:rPr>
            </w:pPr>
            <w:r w:rsidRPr="00564C28">
              <w:rPr>
                <w:color w:val="FFFFFF" w:themeColor="background1"/>
              </w:rPr>
              <w:t>AÑO 4</w:t>
            </w:r>
          </w:p>
        </w:tc>
        <w:tc>
          <w:tcPr>
            <w:tcW w:w="7648" w:type="dxa"/>
            <w:gridSpan w:val="2"/>
            <w:vAlign w:val="center"/>
          </w:tcPr>
          <w:p w14:paraId="4AD7807D" w14:textId="23F901D8" w:rsidR="00DA4FCA" w:rsidRPr="00564C28" w:rsidRDefault="00DA4FCA" w:rsidP="00CF3A2E">
            <w:pPr>
              <w:spacing w:before="0" w:after="0" w:line="259" w:lineRule="auto"/>
              <w:jc w:val="center"/>
              <w:rPr>
                <w:sz w:val="20"/>
                <w:szCs w:val="20"/>
              </w:rPr>
            </w:pPr>
            <w:r>
              <w:rPr>
                <w:sz w:val="20"/>
                <w:szCs w:val="20"/>
              </w:rPr>
              <w:t xml:space="preserve">[Margen de acción para las medidas </w:t>
            </w:r>
            <w:r w:rsidR="00CF3A2E">
              <w:rPr>
                <w:sz w:val="20"/>
                <w:szCs w:val="20"/>
              </w:rPr>
              <w:t>que, por factores adecuadamente justificados en la Comisión de Seguimiento, queden pendientes de implementación]</w:t>
            </w:r>
          </w:p>
        </w:tc>
      </w:tr>
    </w:tbl>
    <w:p w14:paraId="18E1E90C" w14:textId="6961BCE1" w:rsidR="00A9202D" w:rsidRDefault="00A9202D" w:rsidP="00F87995">
      <w:pPr>
        <w:pStyle w:val="Ttulo1"/>
      </w:pPr>
      <w:bookmarkStart w:id="53" w:name="_Toc122080808"/>
      <w:r>
        <w:t>Comunicación del Plan</w:t>
      </w:r>
      <w:bookmarkEnd w:id="53"/>
      <w:r>
        <w:t xml:space="preserve"> </w:t>
      </w:r>
    </w:p>
    <w:p w14:paraId="73B3B5CE" w14:textId="7B2401A5" w:rsidR="00564C28" w:rsidRPr="00E12020" w:rsidRDefault="00564C28" w:rsidP="00A9202D">
      <w:pPr>
        <w:rPr>
          <w:b/>
          <w:bCs/>
        </w:rPr>
      </w:pPr>
      <w:r w:rsidRPr="00E12020">
        <w:rPr>
          <w:b/>
          <w:bCs/>
        </w:rPr>
        <w:t xml:space="preserve">Como garantía del principio de transparencia, </w:t>
      </w:r>
      <w:r w:rsidR="004E5136">
        <w:rPr>
          <w:b/>
          <w:bCs/>
        </w:rPr>
        <w:t xml:space="preserve">se </w:t>
      </w:r>
      <w:r w:rsidRPr="00E12020">
        <w:rPr>
          <w:b/>
          <w:bCs/>
        </w:rPr>
        <w:t>acuerda difundir</w:t>
      </w:r>
      <w:r w:rsidR="00A9202D" w:rsidRPr="00E12020">
        <w:rPr>
          <w:b/>
          <w:bCs/>
        </w:rPr>
        <w:t xml:space="preserve"> los </w:t>
      </w:r>
      <w:r w:rsidRPr="00E12020">
        <w:rPr>
          <w:b/>
          <w:bCs/>
        </w:rPr>
        <w:t xml:space="preserve">principales </w:t>
      </w:r>
      <w:r w:rsidR="00A9202D" w:rsidRPr="00E12020">
        <w:rPr>
          <w:b/>
          <w:bCs/>
        </w:rPr>
        <w:t>contenidos</w:t>
      </w:r>
      <w:r w:rsidRPr="00E12020">
        <w:rPr>
          <w:b/>
          <w:bCs/>
        </w:rPr>
        <w:t xml:space="preserve"> de I Plan de Igualdad. </w:t>
      </w:r>
    </w:p>
    <w:p w14:paraId="2AB41068" w14:textId="33860D3B" w:rsidR="00A9202D" w:rsidRDefault="003D1508" w:rsidP="00A9202D">
      <w:r>
        <w:t xml:space="preserve">La Medida 1 del Plan da respuesta precisamente al objetivo de dar a conocer la situación de la igualdad en la Administración General, dirigiéndose tanto al personal público, como a la población riojana y otras partes interesadas. </w:t>
      </w:r>
    </w:p>
    <w:p w14:paraId="4D726411" w14:textId="05050D6C" w:rsidR="003D1508" w:rsidRDefault="003D1508" w:rsidP="00A9202D">
      <w:r>
        <w:t xml:space="preserve">Tras la publicación del Plan de Igualdad en el Boletín Oficial de La Rioja, se realizará una primera acción de difusión sobre los principales resultados del Diagnóstico, las medidas aprobadas y otros aspectos formales, como el marco normativo de referencia, el ámbito y vigencia o el sistema de seguimiento. </w:t>
      </w:r>
    </w:p>
    <w:p w14:paraId="4184504A" w14:textId="6CF33A91" w:rsidR="003D1508" w:rsidRPr="00E12020" w:rsidRDefault="003D1508" w:rsidP="00A9202D">
      <w:pPr>
        <w:rPr>
          <w:b/>
          <w:bCs/>
        </w:rPr>
      </w:pPr>
      <w:r w:rsidRPr="00E12020">
        <w:rPr>
          <w:b/>
          <w:bCs/>
        </w:rPr>
        <w:t xml:space="preserve">Esta primera acción </w:t>
      </w:r>
      <w:r w:rsidR="00C6413C" w:rsidRPr="00E12020">
        <w:rPr>
          <w:b/>
          <w:bCs/>
        </w:rPr>
        <w:t xml:space="preserve">de comunicación </w:t>
      </w:r>
      <w:r w:rsidRPr="00E12020">
        <w:rPr>
          <w:b/>
          <w:bCs/>
        </w:rPr>
        <w:t xml:space="preserve">será seguida anualmente por la difusión de los Informes de Seguimiento aprobados en el seno de la Comisión creada a tal efecto. </w:t>
      </w:r>
    </w:p>
    <w:p w14:paraId="6C35EFAE" w14:textId="7A4369F2" w:rsidR="003D1508" w:rsidRPr="000A792F" w:rsidRDefault="003D1508" w:rsidP="00A9202D">
      <w:r>
        <w:t xml:space="preserve">Los canales siempre serán los habituales de la Administración General, a saber, </w:t>
      </w:r>
      <w:r w:rsidR="00C6413C">
        <w:t>el portal web y el envío masivo de los enlaces por medio del correo electrónico.</w:t>
      </w:r>
    </w:p>
    <w:p w14:paraId="58E62C83" w14:textId="112B837A" w:rsidR="00A9202D" w:rsidRDefault="00C6413C" w:rsidP="00A9202D">
      <w:r>
        <w:t>Adicionalmente, la Comisión de Seguimiento podrá establecer contenidos complementarios en las acciones de comunicación como por ejemplo aspectos tales como</w:t>
      </w:r>
      <w:r w:rsidR="00A9202D" w:rsidRPr="000A792F">
        <w:t xml:space="preserve"> </w:t>
      </w:r>
      <w:r>
        <w:t>definición y contenidos de un</w:t>
      </w:r>
      <w:r w:rsidR="00A9202D" w:rsidRPr="000A792F">
        <w:t xml:space="preserve"> plan de igualdad entre mujeres y hombres, </w:t>
      </w:r>
      <w:r>
        <w:t xml:space="preserve">o implicaciones de </w:t>
      </w:r>
      <w:r w:rsidR="00A9202D" w:rsidRPr="000A792F">
        <w:t xml:space="preserve">la implantación de </w:t>
      </w:r>
      <w:r>
        <w:t xml:space="preserve">un plan de igualdad </w:t>
      </w:r>
      <w:r w:rsidR="00A9202D" w:rsidRPr="000A792F">
        <w:t xml:space="preserve">en la </w:t>
      </w:r>
      <w:r>
        <w:t>A</w:t>
      </w:r>
      <w:r w:rsidR="00A9202D" w:rsidRPr="000A792F">
        <w:t xml:space="preserve">dministración riojana.  </w:t>
      </w:r>
    </w:p>
    <w:p w14:paraId="4D5FA048" w14:textId="4E5BDBF8" w:rsidR="005337F5" w:rsidRPr="00E12020" w:rsidRDefault="005337F5" w:rsidP="00A9202D">
      <w:pPr>
        <w:rPr>
          <w:b/>
          <w:bCs/>
        </w:rPr>
      </w:pPr>
      <w:r w:rsidRPr="00E12020">
        <w:rPr>
          <w:b/>
          <w:bCs/>
        </w:rPr>
        <w:t xml:space="preserve">La adecuada comunicación del Plan de Igualdad será vigilada por la Comisión de Seguimiento. </w:t>
      </w:r>
    </w:p>
    <w:p w14:paraId="7B90C874" w14:textId="77777777" w:rsidR="00A9202D" w:rsidRDefault="00A9202D" w:rsidP="004B5F98">
      <w:pPr>
        <w:rPr>
          <w:lang w:val="es-ES_tradnl"/>
        </w:rPr>
      </w:pPr>
    </w:p>
    <w:p w14:paraId="757B8A39" w14:textId="77777777" w:rsidR="00B1378B" w:rsidRDefault="00B1378B">
      <w:pPr>
        <w:spacing w:before="0" w:after="160" w:line="259" w:lineRule="auto"/>
        <w:jc w:val="left"/>
        <w:rPr>
          <w:rFonts w:eastAsiaTheme="majorEastAsia" w:cs="Arial"/>
          <w:b/>
          <w:bCs/>
          <w:snapToGrid w:val="0"/>
          <w:color w:val="78BE20"/>
          <w:kern w:val="32"/>
          <w:sz w:val="32"/>
          <w:szCs w:val="32"/>
          <w:lang w:val="es-ES_tradnl"/>
        </w:rPr>
      </w:pPr>
      <w:r>
        <w:rPr>
          <w:rFonts w:cs="Arial"/>
          <w:lang w:val="es-ES_tradnl"/>
        </w:rPr>
        <w:br w:type="page"/>
      </w:r>
    </w:p>
    <w:p w14:paraId="354EA513" w14:textId="0BD7EBBE" w:rsidR="005121F6" w:rsidRDefault="00A9202D" w:rsidP="00BD6B35">
      <w:pPr>
        <w:pStyle w:val="Ttulo1"/>
        <w:rPr>
          <w:rFonts w:cs="Arial"/>
          <w:lang w:val="es-ES_tradnl"/>
        </w:rPr>
      </w:pPr>
      <w:bookmarkStart w:id="54" w:name="_Toc122080809"/>
      <w:r>
        <w:rPr>
          <w:rFonts w:cs="Arial"/>
          <w:lang w:val="es-ES_tradnl"/>
        </w:rPr>
        <w:t>Sistema de seguimiento y evaluación</w:t>
      </w:r>
      <w:bookmarkEnd w:id="54"/>
    </w:p>
    <w:p w14:paraId="15970AD6" w14:textId="7DC5AE28" w:rsidR="00B1378B" w:rsidRPr="00E12020" w:rsidRDefault="005121F6" w:rsidP="00B1378B">
      <w:r w:rsidRPr="00E12020">
        <w:t>S</w:t>
      </w:r>
      <w:r w:rsidR="00B1378B" w:rsidRPr="00E12020">
        <w:t xml:space="preserve">iguiendo la referencia de la </w:t>
      </w:r>
      <w:r w:rsidRPr="00E12020">
        <w:rPr>
          <w:rStyle w:val="KursivaCar"/>
        </w:rPr>
        <w:t>ley orgánica de igualdad 3/2007</w:t>
      </w:r>
      <w:r w:rsidR="00B1378B" w:rsidRPr="00E12020">
        <w:rPr>
          <w:rStyle w:val="KursivaCar"/>
        </w:rPr>
        <w:t xml:space="preserve"> </w:t>
      </w:r>
      <w:r w:rsidR="00B1378B" w:rsidRPr="00E12020">
        <w:t>(artículo 46.1)</w:t>
      </w:r>
      <w:r w:rsidRPr="00E12020">
        <w:rPr>
          <w:rStyle w:val="ResaltadoCar"/>
        </w:rPr>
        <w:t xml:space="preserve"> </w:t>
      </w:r>
      <w:r w:rsidRPr="00E12020">
        <w:t>y del</w:t>
      </w:r>
      <w:r w:rsidRPr="00E12020">
        <w:rPr>
          <w:rStyle w:val="ResaltadoCar"/>
        </w:rPr>
        <w:t xml:space="preserve"> </w:t>
      </w:r>
      <w:r w:rsidRPr="00E12020">
        <w:rPr>
          <w:rStyle w:val="KursivaCar"/>
        </w:rPr>
        <w:t>RD 901/2020</w:t>
      </w:r>
      <w:r w:rsidR="00EA1643" w:rsidRPr="00E12020">
        <w:rPr>
          <w:rStyle w:val="KursivaCar"/>
        </w:rPr>
        <w:t>, de 13 de octubre</w:t>
      </w:r>
      <w:r w:rsidRPr="00E12020">
        <w:t xml:space="preserve"> </w:t>
      </w:r>
      <w:r w:rsidR="00B1378B" w:rsidRPr="00E12020">
        <w:t xml:space="preserve">(artículo 8), </w:t>
      </w:r>
      <w:r w:rsidRPr="00E12020">
        <w:t xml:space="preserve">los planes de igualdad deberán definir un sistema eficaz de seguimiento y evaluación de </w:t>
      </w:r>
      <w:r w:rsidR="00B1378B" w:rsidRPr="00E12020">
        <w:t>sus</w:t>
      </w:r>
      <w:r w:rsidRPr="00E12020">
        <w:t xml:space="preserve"> objetivos. </w:t>
      </w:r>
    </w:p>
    <w:p w14:paraId="0D8AAE97" w14:textId="411AF967" w:rsidR="005121F6" w:rsidRPr="0063066D" w:rsidRDefault="00B1378B" w:rsidP="005121F6">
      <w:pPr>
        <w:rPr>
          <w:rStyle w:val="KursivaCar"/>
          <w:i w:val="0"/>
          <w:iCs w:val="0"/>
        </w:rPr>
      </w:pPr>
      <w:r>
        <w:t xml:space="preserve">Esta </w:t>
      </w:r>
      <w:r w:rsidR="005121F6">
        <w:t xml:space="preserve">última norma dicta </w:t>
      </w:r>
      <w:r>
        <w:t xml:space="preserve">además </w:t>
      </w:r>
      <w:r w:rsidR="005121F6">
        <w:t xml:space="preserve">que los planes de igualdad deberán especificar la </w:t>
      </w:r>
      <w:r w:rsidR="005121F6" w:rsidRPr="00B1378B">
        <w:t xml:space="preserve">composición y </w:t>
      </w:r>
      <w:r>
        <w:t xml:space="preserve">el </w:t>
      </w:r>
      <w:r w:rsidR="005121F6" w:rsidRPr="00B1378B">
        <w:t>funcionamiento de</w:t>
      </w:r>
      <w:r>
        <w:t xml:space="preserve">l </w:t>
      </w:r>
      <w:r w:rsidR="005121F6" w:rsidRPr="00B1378B">
        <w:t>órgano encargado del seguimiento, evaluación y revisión periódica de los planes de igualdad</w:t>
      </w:r>
      <w:r>
        <w:t>, que deberá ser paritario entre las dos partes. El sistema de seguimiento de</w:t>
      </w:r>
      <w:r w:rsidR="005121F6">
        <w:t xml:space="preserve"> los planes </w:t>
      </w:r>
      <w:r>
        <w:t xml:space="preserve">de igualdad </w:t>
      </w:r>
      <w:r w:rsidR="005121F6">
        <w:t>deberá</w:t>
      </w:r>
      <w:r>
        <w:t xml:space="preserve"> asimismo </w:t>
      </w:r>
      <w:r w:rsidR="005121F6">
        <w:t xml:space="preserve">establecer el </w:t>
      </w:r>
      <w:r w:rsidR="005121F6" w:rsidRPr="00B1378B">
        <w:t xml:space="preserve">procedimiento de modificación, </w:t>
      </w:r>
      <w:r>
        <w:t xml:space="preserve">en caso de que fuera necesario, y el de solución de </w:t>
      </w:r>
      <w:r w:rsidR="005121F6" w:rsidRPr="00B1378B">
        <w:t xml:space="preserve">posibles discrepancias que pudieran surgir </w:t>
      </w:r>
      <w:r>
        <w:t>durante el periodo de implementación del plan.</w:t>
      </w:r>
      <w:r w:rsidR="00EA1643">
        <w:t xml:space="preserve"> Finalmente</w:t>
      </w:r>
      <w:r w:rsidR="005121F6">
        <w:t xml:space="preserve">, </w:t>
      </w:r>
      <w:r w:rsidR="00EA1643">
        <w:t>la norma también recoge</w:t>
      </w:r>
      <w:r w:rsidR="005121F6">
        <w:t xml:space="preserve"> numerosas cuestiones relativas a los plazos de seguimiento, circunstancias de revisión, y criterios para la constitución de la Comisión de Seguimiento</w:t>
      </w:r>
      <w:r w:rsidR="00EA1643">
        <w:t xml:space="preserve"> (artículo 9)</w:t>
      </w:r>
      <w:r w:rsidR="005121F6">
        <w:t xml:space="preserve">. </w:t>
      </w:r>
    </w:p>
    <w:p w14:paraId="1C5888AF" w14:textId="1CE5082B" w:rsidR="005121F6" w:rsidRPr="00E12020" w:rsidRDefault="005121F6" w:rsidP="005121F6">
      <w:pPr>
        <w:rPr>
          <w:b/>
          <w:bCs/>
        </w:rPr>
      </w:pPr>
      <w:r w:rsidRPr="00E12020">
        <w:rPr>
          <w:b/>
          <w:bCs/>
        </w:rPr>
        <w:t xml:space="preserve">En cumplimiento con estos mandatos, la Comisión Negociadora del </w:t>
      </w:r>
      <w:r w:rsidR="00EA1643" w:rsidRPr="00E12020">
        <w:rPr>
          <w:rFonts w:cs="Arial"/>
          <w:b/>
          <w:bCs/>
        </w:rPr>
        <w:t>I Plan de Igualdad entre mujeres y hombres en la Administración General de la Comunidad Autónoma de La Rioja</w:t>
      </w:r>
      <w:r w:rsidR="00EA1643" w:rsidRPr="00E12020">
        <w:rPr>
          <w:b/>
          <w:bCs/>
        </w:rPr>
        <w:t xml:space="preserve"> </w:t>
      </w:r>
      <w:r w:rsidRPr="00E12020">
        <w:rPr>
          <w:b/>
          <w:bCs/>
        </w:rPr>
        <w:t xml:space="preserve">determina el siguiente sistema: </w:t>
      </w:r>
    </w:p>
    <w:p w14:paraId="0B807366" w14:textId="77777777" w:rsidR="005121F6" w:rsidRDefault="005121F6">
      <w:pPr>
        <w:pStyle w:val="Prrafodelista"/>
        <w:numPr>
          <w:ilvl w:val="0"/>
          <w:numId w:val="6"/>
        </w:numPr>
      </w:pPr>
      <w:r>
        <w:t>Reglamento de funcionamiento de la Comisión de Seguimiento.</w:t>
      </w:r>
    </w:p>
    <w:p w14:paraId="59D7D104" w14:textId="77777777" w:rsidR="005121F6" w:rsidRDefault="005121F6">
      <w:pPr>
        <w:pStyle w:val="Prrafodelista"/>
        <w:numPr>
          <w:ilvl w:val="0"/>
          <w:numId w:val="6"/>
        </w:numPr>
      </w:pPr>
      <w:r>
        <w:t>Calendario de seguimiento</w:t>
      </w:r>
    </w:p>
    <w:p w14:paraId="477A72CD" w14:textId="2AF7CE28" w:rsidR="005121F6" w:rsidRDefault="00EA1643">
      <w:pPr>
        <w:pStyle w:val="Prrafodelista"/>
        <w:numPr>
          <w:ilvl w:val="0"/>
          <w:numId w:val="6"/>
        </w:numPr>
      </w:pPr>
      <w:r>
        <w:t>H</w:t>
      </w:r>
      <w:r w:rsidR="005121F6">
        <w:t xml:space="preserve">erramienta de seguimiento </w:t>
      </w:r>
    </w:p>
    <w:p w14:paraId="3F92EEFA" w14:textId="77777777" w:rsidR="005121F6" w:rsidRPr="009678BD" w:rsidRDefault="005121F6" w:rsidP="005121F6">
      <w:pPr>
        <w:rPr>
          <w:szCs w:val="24"/>
        </w:rPr>
      </w:pPr>
    </w:p>
    <w:p w14:paraId="02E6B1C2" w14:textId="7FACA4A0" w:rsidR="005121F6" w:rsidRPr="009678BD" w:rsidRDefault="005121F6" w:rsidP="00024B4E">
      <w:pPr>
        <w:pStyle w:val="Ttulo2"/>
      </w:pPr>
      <w:bookmarkStart w:id="55" w:name="_Toc122080810"/>
      <w:r>
        <w:t>Reglamento</w:t>
      </w:r>
      <w:bookmarkEnd w:id="55"/>
      <w:r>
        <w:t xml:space="preserve"> </w:t>
      </w:r>
    </w:p>
    <w:p w14:paraId="673E1725" w14:textId="54ADDC89" w:rsidR="005121F6" w:rsidRDefault="00406794" w:rsidP="005121F6">
      <w:r>
        <w:rPr>
          <w:b/>
          <w:bCs/>
        </w:rPr>
        <w:t xml:space="preserve">La misión de la </w:t>
      </w:r>
      <w:r w:rsidR="005121F6" w:rsidRPr="00343906">
        <w:rPr>
          <w:b/>
          <w:bCs/>
        </w:rPr>
        <w:t xml:space="preserve">Comisión de Seguimiento, </w:t>
      </w:r>
      <w:r w:rsidR="005121F6" w:rsidRPr="00595ED5">
        <w:t xml:space="preserve">será la de vigilar </w:t>
      </w:r>
      <w:r w:rsidR="005121F6">
        <w:t>su</w:t>
      </w:r>
      <w:r w:rsidR="005121F6" w:rsidRPr="00595ED5">
        <w:t xml:space="preserve"> cumplimiento</w:t>
      </w:r>
      <w:r w:rsidR="005121F6">
        <w:t xml:space="preserve"> </w:t>
      </w:r>
      <w:r w:rsidR="00F56C58" w:rsidRPr="00595ED5">
        <w:t xml:space="preserve">en </w:t>
      </w:r>
      <w:r w:rsidR="00F56C58">
        <w:t>respuesta a</w:t>
      </w:r>
      <w:r w:rsidR="00F56C58" w:rsidRPr="00595ED5">
        <w:t xml:space="preserve"> la legalidad vigente </w:t>
      </w:r>
      <w:r w:rsidR="00F56C58">
        <w:t xml:space="preserve">y </w:t>
      </w:r>
      <w:r w:rsidR="005121F6" w:rsidRPr="00595ED5">
        <w:t xml:space="preserve">de acuerdo con los principios </w:t>
      </w:r>
      <w:r w:rsidR="00343906">
        <w:t>del propio Plan</w:t>
      </w:r>
      <w:r w:rsidR="005121F6" w:rsidRPr="00595ED5">
        <w:t>.</w:t>
      </w:r>
    </w:p>
    <w:p w14:paraId="4812D3DB" w14:textId="77777777" w:rsidR="002638A1" w:rsidRDefault="002638A1" w:rsidP="005121F6"/>
    <w:p w14:paraId="24723E05" w14:textId="77777777" w:rsidR="005121F6" w:rsidRDefault="005121F6" w:rsidP="005121F6">
      <w:pPr>
        <w:pStyle w:val="Ttulo3"/>
        <w:spacing w:line="276" w:lineRule="auto"/>
      </w:pPr>
      <w:r w:rsidRPr="009678BD">
        <w:t>Composición</w:t>
      </w:r>
    </w:p>
    <w:p w14:paraId="2741D038" w14:textId="2CF250D5" w:rsidR="004C7AF5" w:rsidRDefault="005121F6" w:rsidP="004C7AF5">
      <w:r w:rsidRPr="004C7AF5">
        <w:rPr>
          <w:b/>
          <w:bCs/>
        </w:rPr>
        <w:t xml:space="preserve">La Comisión de Seguimiento del </w:t>
      </w:r>
      <w:r w:rsidR="00343906" w:rsidRPr="004C7AF5">
        <w:rPr>
          <w:rFonts w:cs="Arial"/>
          <w:b/>
          <w:bCs/>
        </w:rPr>
        <w:t>I Plan de Igualdad entre mujeres y hombres en la Administración General de la Comunidad Autónoma de La Rioja</w:t>
      </w:r>
      <w:r w:rsidR="00343906" w:rsidRPr="004C7AF5">
        <w:rPr>
          <w:b/>
          <w:bCs/>
        </w:rPr>
        <w:t xml:space="preserve"> </w:t>
      </w:r>
      <w:r w:rsidR="004C7AF5" w:rsidRPr="004C7AF5">
        <w:rPr>
          <w:b/>
          <w:bCs/>
        </w:rPr>
        <w:t>será paritaria</w:t>
      </w:r>
      <w:r w:rsidR="004C7AF5">
        <w:t xml:space="preserve"> entre </w:t>
      </w:r>
      <w:r>
        <w:t xml:space="preserve">la parte de la </w:t>
      </w:r>
      <w:r w:rsidR="00343906">
        <w:t>Administración General</w:t>
      </w:r>
      <w:r>
        <w:t xml:space="preserve"> y</w:t>
      </w:r>
      <w:r w:rsidR="004C7AF5">
        <w:t xml:space="preserve"> </w:t>
      </w:r>
      <w:r w:rsidR="00406794">
        <w:t>de las Organizaciones Sindicales firmantes del Acuerdo por el que se aprueba el presente Plan.</w:t>
      </w:r>
      <w:r w:rsidR="004C7AF5">
        <w:t xml:space="preserve"> </w:t>
      </w:r>
    </w:p>
    <w:p w14:paraId="58797101" w14:textId="09751228" w:rsidR="00332DE1" w:rsidRDefault="004C7AF5" w:rsidP="004C7AF5">
      <w:r>
        <w:t xml:space="preserve">Se fomentará que exista composición equilibrada de mujeres y hombres, y que todas las personas estén formadas en </w:t>
      </w:r>
      <w:r w:rsidR="005121F6">
        <w:t xml:space="preserve">materia de igualdad. </w:t>
      </w:r>
      <w:r w:rsidR="00332DE1">
        <w:br w:type="page"/>
      </w:r>
    </w:p>
    <w:p w14:paraId="1899B932" w14:textId="77777777" w:rsidR="005121F6" w:rsidRDefault="005121F6" w:rsidP="005121F6">
      <w:pPr>
        <w:pStyle w:val="Ttulo3"/>
        <w:spacing w:line="276" w:lineRule="auto"/>
        <w:rPr>
          <w:rStyle w:val="jsgrdq"/>
        </w:rPr>
      </w:pPr>
      <w:r w:rsidRPr="009678BD">
        <w:rPr>
          <w:rStyle w:val="jsgrdq"/>
        </w:rPr>
        <w:t>Atribuciones</w:t>
      </w:r>
    </w:p>
    <w:p w14:paraId="5C626C55" w14:textId="1C837996" w:rsidR="005121F6" w:rsidRPr="00E04D6F" w:rsidRDefault="000E1F2A" w:rsidP="005121F6">
      <w:r w:rsidRPr="00E04D6F">
        <w:t>La Comisión de Seguimiento</w:t>
      </w:r>
      <w:r w:rsidR="005121F6" w:rsidRPr="00E04D6F">
        <w:t xml:space="preserve"> asume las siguientes </w:t>
      </w:r>
      <w:r w:rsidR="005121F6">
        <w:t>competencias</w:t>
      </w:r>
      <w:r w:rsidR="005121F6" w:rsidRPr="00E04D6F">
        <w:t xml:space="preserve">: </w:t>
      </w:r>
    </w:p>
    <w:p w14:paraId="46E2E96C" w14:textId="7B5AA427" w:rsidR="005121F6" w:rsidRDefault="000E1F2A">
      <w:pPr>
        <w:pStyle w:val="Prrafodelista"/>
        <w:numPr>
          <w:ilvl w:val="0"/>
          <w:numId w:val="3"/>
        </w:numPr>
      </w:pPr>
      <w:r w:rsidRPr="000E1F2A">
        <w:rPr>
          <w:b/>
          <w:bCs/>
        </w:rPr>
        <w:t>Exigir</w:t>
      </w:r>
      <w:r w:rsidR="005121F6" w:rsidRPr="000E1F2A">
        <w:rPr>
          <w:b/>
          <w:bCs/>
        </w:rPr>
        <w:t xml:space="preserve"> la implantación del Plan de Igualdad,</w:t>
      </w:r>
      <w:r w:rsidR="005121F6">
        <w:t xml:space="preserve"> </w:t>
      </w:r>
      <w:r>
        <w:t>vigilando</w:t>
      </w:r>
      <w:r w:rsidR="005121F6">
        <w:t xml:space="preserve"> el cumplimiento de los </w:t>
      </w:r>
      <w:r w:rsidR="005121F6" w:rsidRPr="007E3F6F">
        <w:t xml:space="preserve">plazos de ejecución </w:t>
      </w:r>
      <w:r w:rsidR="005121F6">
        <w:t>según el cronograma aprobado en el seno de la Comisión Negociadora</w:t>
      </w:r>
      <w:r w:rsidR="005121F6" w:rsidRPr="007E3F6F">
        <w:t xml:space="preserve">. </w:t>
      </w:r>
    </w:p>
    <w:p w14:paraId="0A21A755" w14:textId="77777777" w:rsidR="005121F6" w:rsidRDefault="005121F6" w:rsidP="00024B4E">
      <w:pPr>
        <w:ind w:left="1440"/>
      </w:pPr>
    </w:p>
    <w:p w14:paraId="215C983C" w14:textId="20A3CB40" w:rsidR="00543027" w:rsidRDefault="00543027">
      <w:pPr>
        <w:pStyle w:val="Prrafodelista"/>
        <w:numPr>
          <w:ilvl w:val="0"/>
          <w:numId w:val="3"/>
        </w:numPr>
      </w:pPr>
      <w:r w:rsidRPr="00E12020">
        <w:rPr>
          <w:b/>
          <w:bCs/>
        </w:rPr>
        <w:t>Responder a cuantas cuestiones vinculadas con el Plan de Igualdad</w:t>
      </w:r>
      <w:r w:rsidRPr="009C1500">
        <w:t xml:space="preserve"> pueda plantear cualquier trabajadora o trabajador de la Administración General,</w:t>
      </w:r>
      <w:r>
        <w:t xml:space="preserve"> que contará con el buzón de igualdad regulado en la Medida 6 del Plan. </w:t>
      </w:r>
    </w:p>
    <w:p w14:paraId="46B92CA4" w14:textId="77777777" w:rsidR="009C1500" w:rsidRDefault="009C1500" w:rsidP="00024B4E">
      <w:pPr>
        <w:ind w:left="1440"/>
      </w:pPr>
    </w:p>
    <w:p w14:paraId="5D36E1CE" w14:textId="5F2AC135" w:rsidR="000E1F2A" w:rsidRDefault="000E1F2A">
      <w:pPr>
        <w:pStyle w:val="Prrafodelista"/>
        <w:numPr>
          <w:ilvl w:val="0"/>
          <w:numId w:val="3"/>
        </w:numPr>
      </w:pPr>
      <w:r w:rsidRPr="00E12020">
        <w:rPr>
          <w:b/>
          <w:bCs/>
        </w:rPr>
        <w:t>Proponer, a petición de alguna de las partes, la revisión de las medidas</w:t>
      </w:r>
      <w:r w:rsidRPr="009C1500">
        <w:t xml:space="preserve"> contempladas para su mejora, reorientación, intensificación, atenuación, suma o fin</w:t>
      </w:r>
      <w:r>
        <w:t xml:space="preserve"> siempre que se estime necesario</w:t>
      </w:r>
      <w:r w:rsidRPr="007E3F6F">
        <w:t xml:space="preserve"> para alcanzar </w:t>
      </w:r>
      <w:r>
        <w:t>eficazmente los objetivos previstos</w:t>
      </w:r>
      <w:r w:rsidR="00EE4D01">
        <w:t xml:space="preserve"> o siempre que se den las siguientes circunstancias:</w:t>
      </w:r>
    </w:p>
    <w:p w14:paraId="53862795" w14:textId="77777777" w:rsidR="00E12020" w:rsidRDefault="00E12020" w:rsidP="00E12020">
      <w:pPr>
        <w:pStyle w:val="Prrafodelista"/>
        <w:numPr>
          <w:ilvl w:val="0"/>
          <w:numId w:val="0"/>
        </w:numPr>
        <w:ind w:left="720"/>
      </w:pPr>
    </w:p>
    <w:p w14:paraId="064300E6" w14:textId="77777777" w:rsidR="00E12020" w:rsidRDefault="00E12020" w:rsidP="00E12020">
      <w:pPr>
        <w:pStyle w:val="Prrafodelista"/>
        <w:numPr>
          <w:ilvl w:val="0"/>
          <w:numId w:val="0"/>
        </w:numPr>
        <w:ind w:left="720"/>
      </w:pPr>
    </w:p>
    <w:p w14:paraId="115A8A14" w14:textId="651FD07D" w:rsidR="00543027" w:rsidRDefault="002638A1" w:rsidP="00E12020">
      <w:pPr>
        <w:pStyle w:val="Prrafodelista"/>
        <w:ind w:left="1276"/>
      </w:pPr>
      <w:r>
        <w:t>Obligación</w:t>
      </w:r>
      <w:r w:rsidR="00EE4D01">
        <w:t xml:space="preserve"> de cumplimiento a mandatos de igualdad vinculantes a la Administración Pública provenientes de nuevas leyes o de la revisión de leyes existentes. </w:t>
      </w:r>
    </w:p>
    <w:p w14:paraId="02926282" w14:textId="2AA1843B" w:rsidR="00EE4D01" w:rsidRPr="00565BDC" w:rsidRDefault="002638A1" w:rsidP="00E12020">
      <w:pPr>
        <w:pStyle w:val="Prrafodelista"/>
        <w:ind w:left="1276"/>
      </w:pPr>
      <w:r>
        <w:t>Adaptación de las medidas</w:t>
      </w:r>
      <w:r w:rsidR="00EE4D01">
        <w:t xml:space="preserve"> como consecuencia de los resultados de los Informes de seguimiento. </w:t>
      </w:r>
    </w:p>
    <w:p w14:paraId="590D4282" w14:textId="77777777" w:rsidR="00EE4D01" w:rsidRDefault="00EE4D01" w:rsidP="00024B4E">
      <w:pPr>
        <w:ind w:left="1440"/>
      </w:pPr>
    </w:p>
    <w:p w14:paraId="1B69327E" w14:textId="77777777" w:rsidR="009C1500" w:rsidRDefault="000E1F2A" w:rsidP="009C1500">
      <w:pPr>
        <w:ind w:left="708"/>
      </w:pPr>
      <w:r>
        <w:t>Estas decisiones podrán afectar a los plazos de ejecución previstos inicialmente, a los recursos, a las acciones necesarias para su correcta ejecución o los indicadores asociados a las medidas.</w:t>
      </w:r>
    </w:p>
    <w:p w14:paraId="2001D7AB" w14:textId="2AE7D87E" w:rsidR="000E1F2A" w:rsidRDefault="0081091D" w:rsidP="009C1500">
      <w:pPr>
        <w:ind w:left="708"/>
      </w:pPr>
      <w:r>
        <w:t>Todas las decisiones derivadas de la revisión</w:t>
      </w:r>
      <w:r w:rsidR="000E1F2A">
        <w:t xml:space="preserve"> deberá</w:t>
      </w:r>
      <w:r>
        <w:t>n</w:t>
      </w:r>
      <w:r w:rsidR="000E1F2A">
        <w:t xml:space="preserve"> ser aprobad</w:t>
      </w:r>
      <w:r>
        <w:t>as</w:t>
      </w:r>
      <w:r w:rsidR="000E1F2A">
        <w:t xml:space="preserve"> en los términos definidos</w:t>
      </w:r>
      <w:r>
        <w:t xml:space="preserve"> en este Reglamento</w:t>
      </w:r>
      <w:r w:rsidR="000E1F2A">
        <w:t xml:space="preserve">. </w:t>
      </w:r>
    </w:p>
    <w:p w14:paraId="0C574BC6" w14:textId="0C02AA9F" w:rsidR="000E1F2A" w:rsidRDefault="000E1F2A" w:rsidP="00024B4E">
      <w:pPr>
        <w:ind w:left="1440"/>
      </w:pPr>
    </w:p>
    <w:p w14:paraId="3F5DEB60" w14:textId="30DE7237" w:rsidR="00543027" w:rsidRDefault="00543027">
      <w:pPr>
        <w:pStyle w:val="Prrafodelista"/>
        <w:numPr>
          <w:ilvl w:val="0"/>
          <w:numId w:val="3"/>
        </w:numPr>
      </w:pPr>
      <w:r w:rsidRPr="009C1500">
        <w:rPr>
          <w:b/>
          <w:bCs/>
        </w:rPr>
        <w:t xml:space="preserve">Resolver de buena fe los posibles conflictos que </w:t>
      </w:r>
      <w:r w:rsidR="009C1500">
        <w:rPr>
          <w:b/>
          <w:bCs/>
        </w:rPr>
        <w:t>pudieran</w:t>
      </w:r>
      <w:r w:rsidRPr="009C1500">
        <w:rPr>
          <w:b/>
          <w:bCs/>
        </w:rPr>
        <w:t xml:space="preserve"> surgir</w:t>
      </w:r>
      <w:r w:rsidRPr="007E3F6F">
        <w:t xml:space="preserve"> de la interpretación de lo recogido en el Plan de Igualdad</w:t>
      </w:r>
      <w:r w:rsidR="009C1500">
        <w:t xml:space="preserve"> y</w:t>
      </w:r>
      <w:r>
        <w:t xml:space="preserve"> atendiendo</w:t>
      </w:r>
      <w:r w:rsidR="009C1500">
        <w:t>, si fuera preciso,</w:t>
      </w:r>
      <w:r>
        <w:t xml:space="preserve"> al sistema de toma de decisiones </w:t>
      </w:r>
      <w:r w:rsidR="009C1500">
        <w:t xml:space="preserve">y solución de discrepancias </w:t>
      </w:r>
      <w:r>
        <w:t xml:space="preserve">contemplado en este Reglamento. </w:t>
      </w:r>
    </w:p>
    <w:p w14:paraId="238BC7C9" w14:textId="77777777" w:rsidR="009C1500" w:rsidRPr="009C1500" w:rsidRDefault="009C1500" w:rsidP="00024B4E">
      <w:pPr>
        <w:ind w:left="720"/>
      </w:pPr>
    </w:p>
    <w:p w14:paraId="1E6519AE" w14:textId="77777777" w:rsidR="009C1500" w:rsidRDefault="005121F6">
      <w:pPr>
        <w:pStyle w:val="Prrafodelista"/>
        <w:numPr>
          <w:ilvl w:val="0"/>
          <w:numId w:val="3"/>
        </w:numPr>
      </w:pPr>
      <w:r w:rsidRPr="002638A1">
        <w:rPr>
          <w:b/>
          <w:bCs/>
        </w:rPr>
        <w:t>Revisar la evolución de la implantación del Plan cada seis meses</w:t>
      </w:r>
      <w:r>
        <w:t>,</w:t>
      </w:r>
      <w:r w:rsidR="002638A1">
        <w:t xml:space="preserve"> actualizando la información de la Herramienta de seguimiento y poniendo en común la información disponible. </w:t>
      </w:r>
    </w:p>
    <w:p w14:paraId="2796F35E" w14:textId="77777777" w:rsidR="009C1500" w:rsidRDefault="009C1500" w:rsidP="00024B4E">
      <w:pPr>
        <w:ind w:left="1440"/>
      </w:pPr>
    </w:p>
    <w:p w14:paraId="0DA947BA" w14:textId="4047D28C" w:rsidR="005121F6" w:rsidRDefault="005121F6">
      <w:pPr>
        <w:pStyle w:val="Prrafodelista"/>
        <w:numPr>
          <w:ilvl w:val="0"/>
          <w:numId w:val="3"/>
        </w:numPr>
      </w:pPr>
      <w:r w:rsidRPr="009C1500">
        <w:rPr>
          <w:b/>
          <w:bCs/>
        </w:rPr>
        <w:t>Elaborar un Informe anual de seguimiento</w:t>
      </w:r>
      <w:r w:rsidRPr="002638A1">
        <w:t xml:space="preserve"> apoyado en </w:t>
      </w:r>
      <w:r w:rsidR="002638A1" w:rsidRPr="002638A1">
        <w:t xml:space="preserve">la información incluida en la Herramienta de seguimiento </w:t>
      </w:r>
      <w:r w:rsidR="002638A1">
        <w:t>y en la información adicional que sea preciso.</w:t>
      </w:r>
      <w:r>
        <w:t xml:space="preserve"> </w:t>
      </w:r>
    </w:p>
    <w:p w14:paraId="32315A00" w14:textId="77777777" w:rsidR="005121F6" w:rsidRDefault="005121F6" w:rsidP="00024B4E">
      <w:pPr>
        <w:ind w:left="1440"/>
      </w:pPr>
    </w:p>
    <w:p w14:paraId="280C0859" w14:textId="77777777" w:rsidR="009C1500" w:rsidRDefault="005121F6" w:rsidP="009C1500">
      <w:pPr>
        <w:ind w:left="709"/>
      </w:pPr>
      <w:r>
        <w:t xml:space="preserve">El Informe </w:t>
      </w:r>
      <w:r w:rsidRPr="007E3F6F">
        <w:t xml:space="preserve">reflejará el </w:t>
      </w:r>
      <w:r w:rsidR="002638A1">
        <w:t>estado</w:t>
      </w:r>
      <w:r>
        <w:t xml:space="preserve"> de</w:t>
      </w:r>
      <w:r w:rsidRPr="007E3F6F">
        <w:t xml:space="preserve"> </w:t>
      </w:r>
      <w:r w:rsidR="002638A1">
        <w:t>implementación</w:t>
      </w:r>
      <w:r w:rsidRPr="007E3F6F">
        <w:t xml:space="preserve"> de </w:t>
      </w:r>
      <w:r>
        <w:t xml:space="preserve">las medidas y </w:t>
      </w:r>
      <w:r w:rsidR="002638A1">
        <w:t>el resultado de los indicadores previstos</w:t>
      </w:r>
      <w:r>
        <w:t>,</w:t>
      </w:r>
      <w:r w:rsidR="002638A1">
        <w:t xml:space="preserve"> así como</w:t>
      </w:r>
      <w:r>
        <w:t xml:space="preserve"> las posibles incidencias que se hubieran podido producir durante la implantación</w:t>
      </w:r>
      <w:r w:rsidR="002638A1">
        <w:t>, además de</w:t>
      </w:r>
      <w:r>
        <w:t xml:space="preserve"> toda cuanta otra información sea de interés.</w:t>
      </w:r>
    </w:p>
    <w:p w14:paraId="36D429B4" w14:textId="77777777" w:rsidR="00E12020" w:rsidRDefault="00543027" w:rsidP="00E12020">
      <w:pPr>
        <w:ind w:left="709"/>
      </w:pPr>
      <w:r>
        <w:t xml:space="preserve">Este Informe será difundido en los términos previstos en la Medida 1 del Plan de Igualdad. </w:t>
      </w:r>
    </w:p>
    <w:p w14:paraId="249C44EE" w14:textId="77777777" w:rsidR="00E12020" w:rsidRDefault="00E12020" w:rsidP="00E12020">
      <w:pPr>
        <w:ind w:left="709"/>
      </w:pPr>
    </w:p>
    <w:p w14:paraId="13753114" w14:textId="77777777" w:rsidR="00E12020" w:rsidRDefault="005121F6" w:rsidP="00E12020">
      <w:pPr>
        <w:pStyle w:val="Prrafodelista"/>
        <w:numPr>
          <w:ilvl w:val="0"/>
          <w:numId w:val="3"/>
        </w:numPr>
      </w:pPr>
      <w:r w:rsidRPr="00E12020">
        <w:rPr>
          <w:b/>
          <w:bCs/>
        </w:rPr>
        <w:t>Realizar la evaluación final del Plan de Igualdad una vez concluido el periodo de su vigencia,</w:t>
      </w:r>
      <w:r w:rsidRPr="00543027">
        <w:t xml:space="preserve"> atendiendo a los contenidos de los</w:t>
      </w:r>
      <w:r w:rsidR="00F70DB9">
        <w:t xml:space="preserve"> sucesivos</w:t>
      </w:r>
      <w:r w:rsidRPr="00543027">
        <w:t xml:space="preserve"> Informes de seguimiento anual y a cuantas observaciones e informaciones se precise. </w:t>
      </w:r>
    </w:p>
    <w:p w14:paraId="22286ECA" w14:textId="77777777" w:rsidR="00E12020" w:rsidRDefault="00E12020" w:rsidP="00E12020">
      <w:pPr>
        <w:pStyle w:val="Prrafodelista"/>
        <w:numPr>
          <w:ilvl w:val="0"/>
          <w:numId w:val="0"/>
        </w:numPr>
        <w:ind w:left="720"/>
        <w:rPr>
          <w:b/>
          <w:bCs/>
        </w:rPr>
      </w:pPr>
    </w:p>
    <w:p w14:paraId="55F4D84F" w14:textId="11E891A7" w:rsidR="00F70DB9" w:rsidRDefault="005121F6" w:rsidP="00E12020">
      <w:pPr>
        <w:pStyle w:val="Prrafodelista"/>
        <w:numPr>
          <w:ilvl w:val="0"/>
          <w:numId w:val="0"/>
        </w:numPr>
        <w:ind w:left="720"/>
      </w:pPr>
      <w:r w:rsidRPr="00543027">
        <w:t xml:space="preserve">El Informe de Evaluación recogerá una estimación de los logros alcanzados con la implementación del Plan, poniendo atención en los impactos de igualdad producidos en la </w:t>
      </w:r>
      <w:r w:rsidR="00F70DB9">
        <w:t xml:space="preserve">gestión, </w:t>
      </w:r>
      <w:r w:rsidRPr="00543027">
        <w:t xml:space="preserve">estructura, funcionamiento y </w:t>
      </w:r>
      <w:r w:rsidR="00F70DB9">
        <w:t>condiciones</w:t>
      </w:r>
      <w:r w:rsidRPr="00543027">
        <w:t xml:space="preserve"> de</w:t>
      </w:r>
      <w:r w:rsidR="00F70DB9">
        <w:t>l</w:t>
      </w:r>
      <w:r w:rsidRPr="00543027">
        <w:t xml:space="preserve"> personal de la </w:t>
      </w:r>
      <w:r w:rsidR="00F70DB9">
        <w:t>Administración General</w:t>
      </w:r>
      <w:r w:rsidRPr="00543027">
        <w:t xml:space="preserve">. </w:t>
      </w:r>
    </w:p>
    <w:p w14:paraId="12F18CAC" w14:textId="5C7A0DD9" w:rsidR="005121F6" w:rsidRPr="00543027" w:rsidRDefault="005121F6" w:rsidP="009C1500">
      <w:pPr>
        <w:ind w:left="720"/>
      </w:pPr>
      <w:r w:rsidRPr="00543027">
        <w:t xml:space="preserve">Sus contenidos </w:t>
      </w:r>
      <w:r w:rsidR="00F70DB9">
        <w:t xml:space="preserve">aportarán información para el siguiente Diagnóstico de situación y </w:t>
      </w:r>
      <w:r w:rsidRPr="00543027">
        <w:t xml:space="preserve">contribuirán a la reorientación del </w:t>
      </w:r>
      <w:r w:rsidR="00F70DB9">
        <w:t xml:space="preserve">nuevo </w:t>
      </w:r>
      <w:r w:rsidRPr="00543027">
        <w:t xml:space="preserve">Plan de Igualdad. </w:t>
      </w:r>
    </w:p>
    <w:p w14:paraId="7B54F4B0" w14:textId="77777777" w:rsidR="005121F6" w:rsidRPr="00024B4E" w:rsidRDefault="005121F6" w:rsidP="00024B4E">
      <w:pPr>
        <w:ind w:left="1440"/>
        <w:rPr>
          <w:rStyle w:val="jsgrdq"/>
          <w:color w:val="1E1E1E"/>
        </w:rPr>
      </w:pPr>
    </w:p>
    <w:p w14:paraId="2B1C6FD4" w14:textId="77777777" w:rsidR="00F70DB9" w:rsidRDefault="00F70DB9" w:rsidP="00343906">
      <w:pPr>
        <w:pStyle w:val="Ttulo3"/>
        <w:spacing w:line="276" w:lineRule="auto"/>
        <w:rPr>
          <w:rStyle w:val="jsgrdq"/>
        </w:rPr>
      </w:pPr>
      <w:r>
        <w:rPr>
          <w:rStyle w:val="jsgrdq"/>
        </w:rPr>
        <w:br w:type="page"/>
      </w:r>
    </w:p>
    <w:p w14:paraId="11E60628" w14:textId="77777777" w:rsidR="00AC3E61" w:rsidRDefault="00AC3E61" w:rsidP="00AC3E61">
      <w:pPr>
        <w:pStyle w:val="Ttulo3"/>
        <w:spacing w:line="276" w:lineRule="auto"/>
      </w:pPr>
      <w:r>
        <w:t>Roles</w:t>
      </w:r>
    </w:p>
    <w:p w14:paraId="4086FA9B" w14:textId="2D5E6B2A" w:rsidR="00AC3E61" w:rsidRDefault="00AC3E61" w:rsidP="00AC3E61">
      <w:r>
        <w:t xml:space="preserve">La Comisión de Seguimiento nombrará a la persona que ostente, por un lado, la Presidencia y, por el otro, la Secretaría, atendiendo a: </w:t>
      </w:r>
    </w:p>
    <w:p w14:paraId="444A639F" w14:textId="38969166" w:rsidR="00AC3E61" w:rsidRPr="00E25C4E" w:rsidRDefault="00AC3E61" w:rsidP="00024B4E">
      <w:pPr>
        <w:ind w:left="720"/>
      </w:pPr>
      <w:r w:rsidRPr="00024B4E">
        <w:rPr>
          <w:b/>
          <w:bCs/>
        </w:rPr>
        <w:t xml:space="preserve">Presidencia: </w:t>
      </w:r>
      <w:r w:rsidRPr="006E021B">
        <w:t>será</w:t>
      </w:r>
      <w:r w:rsidRPr="00024B4E">
        <w:rPr>
          <w:b/>
          <w:bCs/>
        </w:rPr>
        <w:t xml:space="preserve"> </w:t>
      </w:r>
      <w:r w:rsidRPr="00E013AC">
        <w:t xml:space="preserve">ocupada por </w:t>
      </w:r>
      <w:r>
        <w:t>la persona que ocupe el cargo de Dirección en el órgano con competencias en materia de Función Pública</w:t>
      </w:r>
      <w:r w:rsidR="00AC7659">
        <w:t>, o en la persona que delegue</w:t>
      </w:r>
      <w:r w:rsidRPr="00E013AC">
        <w:t xml:space="preserve">. </w:t>
      </w:r>
      <w:r w:rsidRPr="00E25C4E">
        <w:t xml:space="preserve">Le corresponderá </w:t>
      </w:r>
      <w:r>
        <w:t>la convocatoria y coordinación de las reuniones.</w:t>
      </w:r>
    </w:p>
    <w:p w14:paraId="2DE0D725" w14:textId="06F0F7FE" w:rsidR="00AC3E61" w:rsidRPr="00024B4E" w:rsidRDefault="00AC3E61" w:rsidP="00024B4E">
      <w:pPr>
        <w:ind w:left="720"/>
        <w:rPr>
          <w:b/>
          <w:bCs/>
        </w:rPr>
      </w:pPr>
      <w:r w:rsidRPr="00024B4E">
        <w:rPr>
          <w:b/>
          <w:bCs/>
        </w:rPr>
        <w:t xml:space="preserve">Secretaría: </w:t>
      </w:r>
      <w:r w:rsidRPr="00E013AC">
        <w:t xml:space="preserve">podrá ser </w:t>
      </w:r>
      <w:r>
        <w:t>ocupada</w:t>
      </w:r>
      <w:r w:rsidRPr="00E013AC">
        <w:t xml:space="preserve"> por cualquier persona integrante de la Comisión</w:t>
      </w:r>
      <w:r>
        <w:t xml:space="preserve"> de Seguimiento, bien sea de manera fija o rotativa</w:t>
      </w:r>
      <w:r w:rsidR="00105AFD">
        <w:t xml:space="preserve"> siguiendo el orden decidido en el seno de la Comisión. </w:t>
      </w:r>
      <w:r w:rsidRPr="00E25C4E">
        <w:t xml:space="preserve">Le corresponderá </w:t>
      </w:r>
      <w:r>
        <w:t>levantar el acta de las reuniones celebradas.</w:t>
      </w:r>
    </w:p>
    <w:p w14:paraId="0B319FE1" w14:textId="49C87AD1" w:rsidR="00343906" w:rsidRPr="009678BD" w:rsidRDefault="00343906" w:rsidP="00343906">
      <w:pPr>
        <w:pStyle w:val="Ttulo3"/>
        <w:spacing w:line="276" w:lineRule="auto"/>
        <w:rPr>
          <w:rStyle w:val="jsgrdq"/>
        </w:rPr>
      </w:pPr>
      <w:r w:rsidRPr="00EB32B2">
        <w:rPr>
          <w:rStyle w:val="jsgrdq"/>
        </w:rPr>
        <w:t>Funcionamiento</w:t>
      </w:r>
      <w:r w:rsidRPr="009678BD">
        <w:rPr>
          <w:rStyle w:val="jsgrdq"/>
        </w:rPr>
        <w:t xml:space="preserve"> </w:t>
      </w:r>
    </w:p>
    <w:p w14:paraId="09CF41C6" w14:textId="7496CF25" w:rsidR="00343906" w:rsidRPr="00E04D6F" w:rsidRDefault="00343906" w:rsidP="00343906">
      <w:r w:rsidRPr="00E04D6F">
        <w:t xml:space="preserve">El funcionamiento básico de </w:t>
      </w:r>
      <w:r>
        <w:t>la Comisión</w:t>
      </w:r>
      <w:r w:rsidRPr="00E04D6F">
        <w:t xml:space="preserve"> </w:t>
      </w:r>
      <w:r>
        <w:t xml:space="preserve">de Seguimiento </w:t>
      </w:r>
      <w:r w:rsidRPr="00E04D6F">
        <w:t xml:space="preserve">consistirá en: </w:t>
      </w:r>
    </w:p>
    <w:p w14:paraId="6F1B03E5" w14:textId="77777777" w:rsidR="00343906" w:rsidRPr="00E12020" w:rsidRDefault="00343906">
      <w:pPr>
        <w:pStyle w:val="Prrafodelista"/>
        <w:numPr>
          <w:ilvl w:val="0"/>
          <w:numId w:val="4"/>
        </w:numPr>
        <w:rPr>
          <w:b/>
          <w:bCs/>
        </w:rPr>
      </w:pPr>
      <w:r w:rsidRPr="00E12020">
        <w:rPr>
          <w:b/>
          <w:bCs/>
        </w:rPr>
        <w:t>Sesiones</w:t>
      </w:r>
    </w:p>
    <w:p w14:paraId="7A716684" w14:textId="4EE7937D" w:rsidR="00343906" w:rsidRDefault="00343906" w:rsidP="00343906">
      <w:pPr>
        <w:ind w:left="708"/>
      </w:pPr>
      <w:r w:rsidRPr="00E12020">
        <w:rPr>
          <w:b/>
          <w:bCs/>
        </w:rPr>
        <w:t>Se realizará una sesión semestral ordinaria y presencial.</w:t>
      </w:r>
      <w:r>
        <w:t xml:space="preserve"> Cuando circunstancias del contexto (sociales, sanitarias o de cualquier otro tipo) </w:t>
      </w:r>
      <w:r w:rsidR="005368E5">
        <w:t xml:space="preserve">o individuales </w:t>
      </w:r>
      <w:r>
        <w:t xml:space="preserve">no permitan la </w:t>
      </w:r>
      <w:proofErr w:type="spellStart"/>
      <w:r>
        <w:t>presencialidad</w:t>
      </w:r>
      <w:proofErr w:type="spellEnd"/>
      <w:r>
        <w:t xml:space="preserve">, </w:t>
      </w:r>
      <w:r w:rsidR="005368E5">
        <w:t>la</w:t>
      </w:r>
      <w:r>
        <w:t xml:space="preserve"> reunión </w:t>
      </w:r>
      <w:r w:rsidR="005368E5">
        <w:t>o la asistencia será</w:t>
      </w:r>
      <w:r>
        <w:t xml:space="preserve"> virtual.</w:t>
      </w:r>
      <w:r w:rsidR="005368E5">
        <w:t xml:space="preserve"> </w:t>
      </w:r>
    </w:p>
    <w:p w14:paraId="6B76DFBE" w14:textId="58F0185D" w:rsidR="00343906" w:rsidRDefault="00343906" w:rsidP="00343906">
      <w:pPr>
        <w:ind w:left="708"/>
      </w:pPr>
      <w:r>
        <w:t>Se celebrarán sesiones</w:t>
      </w:r>
      <w:r w:rsidRPr="000C3E65">
        <w:t xml:space="preserve"> extraordinarias a petición de</w:t>
      </w:r>
      <w:r w:rsidR="005368E5">
        <w:t xml:space="preserve"> la Presidencia de la Comisión de Seguimiento o</w:t>
      </w:r>
      <w:r>
        <w:t>,</w:t>
      </w:r>
      <w:r w:rsidRPr="000C3E65">
        <w:t xml:space="preserve"> al menos</w:t>
      </w:r>
      <w:r>
        <w:t>,</w:t>
      </w:r>
      <w:r w:rsidR="005368E5">
        <w:t xml:space="preserve"> de</w:t>
      </w:r>
      <w:r w:rsidRPr="000C3E65">
        <w:t xml:space="preserve"> la mitad </w:t>
      </w:r>
      <w:r w:rsidR="00406794">
        <w:t xml:space="preserve">de las Organizaciones Sindicales firmantes </w:t>
      </w:r>
      <w:r w:rsidR="00406794" w:rsidRPr="00406794">
        <w:t>del Acuerdo del presente Plan</w:t>
      </w:r>
      <w:r w:rsidR="00406794">
        <w:t>.</w:t>
      </w:r>
    </w:p>
    <w:p w14:paraId="4A727DB9" w14:textId="77777777" w:rsidR="00343906" w:rsidRPr="00E12020" w:rsidRDefault="00343906">
      <w:pPr>
        <w:pStyle w:val="Prrafodelista"/>
        <w:numPr>
          <w:ilvl w:val="0"/>
          <w:numId w:val="4"/>
        </w:numPr>
        <w:rPr>
          <w:b/>
          <w:bCs/>
        </w:rPr>
      </w:pPr>
      <w:r w:rsidRPr="00E12020">
        <w:rPr>
          <w:b/>
          <w:bCs/>
        </w:rPr>
        <w:t>Convocatoria</w:t>
      </w:r>
    </w:p>
    <w:p w14:paraId="254E0C3C" w14:textId="4072994A" w:rsidR="00343906" w:rsidRDefault="00343906" w:rsidP="00343906">
      <w:pPr>
        <w:ind w:left="709"/>
      </w:pPr>
      <w:r w:rsidRPr="00E12020">
        <w:rPr>
          <w:b/>
          <w:bCs/>
        </w:rPr>
        <w:t>La Presidencia efectuará la notificación correspondiente</w:t>
      </w:r>
      <w:r w:rsidRPr="000C3E65">
        <w:t xml:space="preserve"> </w:t>
      </w:r>
      <w:r w:rsidR="00AC7659" w:rsidRPr="000C3E65">
        <w:t>por correo electrónico a todas las personas integrantes</w:t>
      </w:r>
      <w:r w:rsidR="00AC7659">
        <w:t xml:space="preserve"> de la Comisión de Seguimiento, </w:t>
      </w:r>
      <w:r w:rsidRPr="000C3E65">
        <w:t xml:space="preserve">con una antelación mínima de siete días naturales </w:t>
      </w:r>
      <w:r w:rsidR="00AC7659">
        <w:t>para las sesiones ordinarias y de 48 horas para las extraordinarias</w:t>
      </w:r>
      <w:r w:rsidRPr="000C3E65">
        <w:t xml:space="preserve">. </w:t>
      </w:r>
    </w:p>
    <w:p w14:paraId="0781A6AF" w14:textId="27F3F0D9" w:rsidR="00343906" w:rsidRDefault="00343906" w:rsidP="005368E5">
      <w:pPr>
        <w:ind w:left="709"/>
      </w:pPr>
      <w:r w:rsidRPr="000C3E65">
        <w:t>En el escrito de convocatoria debe</w:t>
      </w:r>
      <w:r>
        <w:t>rá</w:t>
      </w:r>
      <w:r w:rsidRPr="000C3E65">
        <w:t xml:space="preserve">n </w:t>
      </w:r>
      <w:r w:rsidR="005368E5">
        <w:t>incluirse</w:t>
      </w:r>
      <w:r w:rsidRPr="000C3E65">
        <w:t xml:space="preserve"> los puntos del orden del </w:t>
      </w:r>
      <w:r w:rsidR="005368E5" w:rsidRPr="000C3E65">
        <w:t>día,</w:t>
      </w:r>
      <w:r w:rsidRPr="000C3E65">
        <w:t xml:space="preserve"> así como </w:t>
      </w:r>
      <w:r w:rsidR="005368E5">
        <w:t>adjuntase</w:t>
      </w:r>
      <w:r w:rsidRPr="000C3E65">
        <w:t xml:space="preserve"> la documentación necesaria, caso de haberla. </w:t>
      </w:r>
    </w:p>
    <w:p w14:paraId="13E433A3" w14:textId="77777777" w:rsidR="00343906" w:rsidRPr="00E12020" w:rsidRDefault="00343906">
      <w:pPr>
        <w:pStyle w:val="Prrafodelista"/>
        <w:numPr>
          <w:ilvl w:val="0"/>
          <w:numId w:val="4"/>
        </w:numPr>
        <w:rPr>
          <w:b/>
          <w:bCs/>
        </w:rPr>
      </w:pPr>
      <w:r w:rsidRPr="00E12020">
        <w:rPr>
          <w:b/>
          <w:bCs/>
        </w:rPr>
        <w:t>Acta</w:t>
      </w:r>
    </w:p>
    <w:p w14:paraId="1E178FE8" w14:textId="6EBBCF91" w:rsidR="00332DE1" w:rsidRDefault="00343906" w:rsidP="00343906">
      <w:pPr>
        <w:ind w:left="709"/>
      </w:pPr>
      <w:r w:rsidRPr="00E12020">
        <w:rPr>
          <w:b/>
          <w:bCs/>
        </w:rPr>
        <w:t>De cada reunión celebrada se levantará acta,</w:t>
      </w:r>
      <w:r>
        <w:t xml:space="preserve"> que </w:t>
      </w:r>
      <w:r w:rsidRPr="000C3E65">
        <w:t xml:space="preserve">recogerá necesariamente </w:t>
      </w:r>
      <w:r>
        <w:t xml:space="preserve">la fecha, </w:t>
      </w:r>
      <w:r w:rsidRPr="000C3E65">
        <w:t>la asistencia, el orden del día, los temas tratados, los acuerdos alcanzados</w:t>
      </w:r>
      <w:r>
        <w:t xml:space="preserve"> y</w:t>
      </w:r>
      <w:r w:rsidRPr="000C3E65">
        <w:t xml:space="preserve"> los documentos presentados.</w:t>
      </w:r>
      <w:r w:rsidR="00F01A49">
        <w:t xml:space="preserve"> </w:t>
      </w:r>
      <w:r w:rsidRPr="000C3E65">
        <w:t xml:space="preserve">El acta será enviada a todas las personas integrantes de la Comisión de </w:t>
      </w:r>
      <w:r>
        <w:t>Seguimiento para su aprobación y firma</w:t>
      </w:r>
      <w:r w:rsidRPr="000C3E65">
        <w:t xml:space="preserve">. </w:t>
      </w:r>
      <w:r w:rsidR="00F01A49">
        <w:t xml:space="preserve"> </w:t>
      </w:r>
    </w:p>
    <w:p w14:paraId="4D539B1B" w14:textId="77777777" w:rsidR="005121F6" w:rsidRPr="00E25C4E" w:rsidRDefault="005121F6" w:rsidP="005121F6">
      <w:pPr>
        <w:pStyle w:val="Ttulo3"/>
        <w:spacing w:line="276" w:lineRule="auto"/>
      </w:pPr>
      <w:r>
        <w:t>Toma de d</w:t>
      </w:r>
      <w:r w:rsidRPr="00E25C4E">
        <w:t xml:space="preserve">ecisiones </w:t>
      </w:r>
      <w:r>
        <w:t>y solución de discrepancias</w:t>
      </w:r>
    </w:p>
    <w:p w14:paraId="16BAB1C7" w14:textId="77777777" w:rsidR="00A92A46" w:rsidRPr="00E12020" w:rsidRDefault="00A92A46">
      <w:pPr>
        <w:pStyle w:val="Prrafodelista"/>
        <w:numPr>
          <w:ilvl w:val="0"/>
          <w:numId w:val="4"/>
        </w:numPr>
        <w:rPr>
          <w:b/>
          <w:bCs/>
        </w:rPr>
      </w:pPr>
      <w:r w:rsidRPr="00E12020">
        <w:rPr>
          <w:b/>
          <w:bCs/>
        </w:rPr>
        <w:t>Decisión</w:t>
      </w:r>
    </w:p>
    <w:p w14:paraId="19B1E58F" w14:textId="2B5A0D04" w:rsidR="00A92A46" w:rsidRPr="00E12020" w:rsidRDefault="00A92A46" w:rsidP="00A92A46">
      <w:pPr>
        <w:ind w:left="709"/>
        <w:rPr>
          <w:b/>
          <w:bCs/>
        </w:rPr>
      </w:pPr>
      <w:r w:rsidRPr="00E12020">
        <w:rPr>
          <w:b/>
          <w:bCs/>
        </w:rPr>
        <w:t>Los acuerdos tomados serán vinculantes para todas las partes</w:t>
      </w:r>
      <w:r w:rsidR="00127C96">
        <w:rPr>
          <w:b/>
          <w:bCs/>
        </w:rPr>
        <w:t>.</w:t>
      </w:r>
    </w:p>
    <w:p w14:paraId="3CEAF585" w14:textId="533AF1F3" w:rsidR="00A92A46" w:rsidRDefault="00A92A46" w:rsidP="00A92A46">
      <w:pPr>
        <w:ind w:left="709"/>
      </w:pPr>
      <w:r w:rsidRPr="009F0CED">
        <w:t xml:space="preserve">En caso de </w:t>
      </w:r>
      <w:r>
        <w:t>desacuerdo permanente sobre la interpretación, implementación, seguimiento, revisión o evaluación del Plan</w:t>
      </w:r>
      <w:r w:rsidRPr="009F0CED">
        <w:t xml:space="preserve">, </w:t>
      </w:r>
      <w:r>
        <w:t xml:space="preserve">se </w:t>
      </w:r>
      <w:r w:rsidR="00951F82">
        <w:t>acudirá a</w:t>
      </w:r>
      <w:r>
        <w:t xml:space="preserve"> </w:t>
      </w:r>
      <w:r w:rsidR="00951F82">
        <w:t xml:space="preserve">la Comisión Paritaria de Interpretación y Seguimiento del Acuerdo Convenio, según </w:t>
      </w:r>
      <w:r>
        <w:t xml:space="preserve">lo dispuesto en </w:t>
      </w:r>
      <w:r w:rsidR="00951F82">
        <w:t xml:space="preserve">su artículo 4. </w:t>
      </w:r>
    </w:p>
    <w:p w14:paraId="4F351C69" w14:textId="0A54240D" w:rsidR="00E6758D" w:rsidRPr="00E12020" w:rsidRDefault="00E6758D">
      <w:pPr>
        <w:pStyle w:val="Prrafodelista"/>
        <w:numPr>
          <w:ilvl w:val="0"/>
          <w:numId w:val="4"/>
        </w:numPr>
        <w:rPr>
          <w:b/>
          <w:bCs/>
        </w:rPr>
      </w:pPr>
      <w:r w:rsidRPr="00E12020">
        <w:rPr>
          <w:b/>
          <w:bCs/>
        </w:rPr>
        <w:t>Validez</w:t>
      </w:r>
    </w:p>
    <w:p w14:paraId="483372E0" w14:textId="15827AE4" w:rsidR="00E6758D" w:rsidRDefault="00E6758D" w:rsidP="00E6758D">
      <w:pPr>
        <w:ind w:left="709"/>
      </w:pPr>
      <w:r w:rsidRPr="00E12020">
        <w:rPr>
          <w:b/>
          <w:bCs/>
        </w:rPr>
        <w:t>La validez de los</w:t>
      </w:r>
      <w:r w:rsidR="005121F6" w:rsidRPr="00E12020">
        <w:rPr>
          <w:b/>
          <w:bCs/>
        </w:rPr>
        <w:t xml:space="preserve"> acuerdos tomados en </w:t>
      </w:r>
      <w:r w:rsidRPr="00E12020">
        <w:rPr>
          <w:b/>
          <w:bCs/>
        </w:rPr>
        <w:t>cada sesión de la Comisión de Seguimiento</w:t>
      </w:r>
      <w:r w:rsidR="005121F6" w:rsidRPr="00E12020">
        <w:rPr>
          <w:b/>
          <w:bCs/>
        </w:rPr>
        <w:t xml:space="preserve"> requerirá la presencia</w:t>
      </w:r>
      <w:r w:rsidR="005121F6" w:rsidRPr="000C3E65">
        <w:t xml:space="preserve"> de</w:t>
      </w:r>
      <w:r w:rsidR="005121F6">
        <w:t>,</w:t>
      </w:r>
      <w:r w:rsidR="005121F6" w:rsidRPr="000C3E65">
        <w:t xml:space="preserve"> al menos</w:t>
      </w:r>
      <w:r w:rsidR="005121F6">
        <w:t>,</w:t>
      </w:r>
      <w:r w:rsidR="005121F6" w:rsidRPr="000C3E65">
        <w:t xml:space="preserve"> la mitad de la representación de cada parte</w:t>
      </w:r>
      <w:r w:rsidR="005121F6">
        <w:t xml:space="preserve">. </w:t>
      </w:r>
      <w:r>
        <w:t xml:space="preserve">La representación podrá ser delegada. </w:t>
      </w:r>
    </w:p>
    <w:p w14:paraId="1B7226DD" w14:textId="3F6CE97C" w:rsidR="005121F6" w:rsidRDefault="005121F6" w:rsidP="00E6758D">
      <w:pPr>
        <w:ind w:left="709"/>
      </w:pPr>
      <w:r>
        <w:t>En estos acuerdos</w:t>
      </w:r>
      <w:r w:rsidRPr="000C3E65">
        <w:t xml:space="preserve"> </w:t>
      </w:r>
      <w:bookmarkStart w:id="56" w:name="_Hlk53665244"/>
      <w:r>
        <w:t xml:space="preserve">se incluye la </w:t>
      </w:r>
      <w:r w:rsidR="00E6758D">
        <w:t xml:space="preserve">revisión de las </w:t>
      </w:r>
      <w:r>
        <w:t>medidas</w:t>
      </w:r>
      <w:r w:rsidR="00E6758D">
        <w:t xml:space="preserve"> según la atribución número 3</w:t>
      </w:r>
      <w:r>
        <w:t xml:space="preserve">, </w:t>
      </w:r>
      <w:bookmarkEnd w:id="56"/>
      <w:r>
        <w:t xml:space="preserve">la solución de discrepancias respecto a la </w:t>
      </w:r>
      <w:r w:rsidRPr="007E3F6F">
        <w:t>interpretación de lo recogido en el Plan</w:t>
      </w:r>
      <w:r>
        <w:t>, y las conclusiones de</w:t>
      </w:r>
      <w:r w:rsidR="00E6758D">
        <w:t xml:space="preserve">l </w:t>
      </w:r>
      <w:r>
        <w:t>seguimiento o evaluación</w:t>
      </w:r>
      <w:r w:rsidR="00E6758D">
        <w:t>.</w:t>
      </w:r>
      <w:r>
        <w:t xml:space="preserve"> </w:t>
      </w:r>
    </w:p>
    <w:p w14:paraId="5358718F" w14:textId="65CF883C" w:rsidR="00E37E09" w:rsidRDefault="00E37E09" w:rsidP="004E745F"/>
    <w:p w14:paraId="65AA4E18" w14:textId="77777777" w:rsidR="004E745F" w:rsidRPr="004E745F" w:rsidRDefault="004E745F" w:rsidP="004E745F">
      <w:pPr>
        <w:rPr>
          <w:lang w:val="es-ES_tradnl"/>
        </w:rPr>
      </w:pPr>
    </w:p>
    <w:p w14:paraId="2FE54854" w14:textId="06D5CE4F" w:rsidR="005121F6" w:rsidRDefault="005121F6" w:rsidP="00024B4E">
      <w:pPr>
        <w:pStyle w:val="Ttulo2"/>
      </w:pPr>
      <w:bookmarkStart w:id="57" w:name="_Toc122080811"/>
      <w:r>
        <w:t>Calendario de seguimiento</w:t>
      </w:r>
      <w:bookmarkEnd w:id="57"/>
    </w:p>
    <w:p w14:paraId="4E1CE657" w14:textId="77777777" w:rsidR="00E37E09" w:rsidRDefault="00E37E09" w:rsidP="005121F6">
      <w:r>
        <w:t xml:space="preserve">Tomando nuevamente como referencia el </w:t>
      </w:r>
      <w:r w:rsidRPr="00E37E09">
        <w:rPr>
          <w:rStyle w:val="KursivaCar"/>
        </w:rPr>
        <w:t>RD 901/2020, de 13 de octubre</w:t>
      </w:r>
      <w:r w:rsidRPr="00E37E09">
        <w:t xml:space="preserve"> </w:t>
      </w:r>
      <w:r w:rsidR="005121F6">
        <w:t>deberá realizarse</w:t>
      </w:r>
      <w:r>
        <w:t>, al menos,</w:t>
      </w:r>
      <w:r w:rsidR="005121F6">
        <w:t xml:space="preserve"> una evaluación intermedia y una final</w:t>
      </w:r>
      <w:r>
        <w:t xml:space="preserve"> del plan de igualdad</w:t>
      </w:r>
      <w:r w:rsidR="005121F6">
        <w:t xml:space="preserve"> (artículo 9.6)</w:t>
      </w:r>
      <w:r>
        <w:t xml:space="preserve">. </w:t>
      </w:r>
    </w:p>
    <w:p w14:paraId="5014F009" w14:textId="085162D5" w:rsidR="005121F6" w:rsidRPr="00E12020" w:rsidRDefault="00E37E09" w:rsidP="005121F6">
      <w:pPr>
        <w:rPr>
          <w:b/>
          <w:bCs/>
        </w:rPr>
      </w:pPr>
      <w:r>
        <w:t xml:space="preserve">En suma, a las atribuciones número 5 y 6 de este Reglamento, el cronograma de actuación de la Comisión de Seguimiento </w:t>
      </w:r>
      <w:r w:rsidRPr="00E12020">
        <w:rPr>
          <w:b/>
          <w:bCs/>
        </w:rPr>
        <w:t>consistirá en 2 reuniones semestrales anuales correspondientes con cada año de ejecución.</w:t>
      </w:r>
      <w:r w:rsidR="005121F6" w:rsidRPr="00E12020">
        <w:rPr>
          <w:b/>
          <w:bCs/>
        </w:rPr>
        <w:t xml:space="preserve"> </w:t>
      </w:r>
    </w:p>
    <w:p w14:paraId="4E496F2C" w14:textId="4CAB2498" w:rsidR="005121F6" w:rsidRDefault="005121F6" w:rsidP="005121F6">
      <w:r>
        <w:t xml:space="preserve">El seguimiento queda así representado: </w:t>
      </w:r>
    </w:p>
    <w:p w14:paraId="723AC605" w14:textId="5182E8ED" w:rsidR="004E745F" w:rsidRDefault="004E745F">
      <w:pPr>
        <w:spacing w:before="0" w:after="160" w:line="259" w:lineRule="auto"/>
        <w:jc w:val="left"/>
      </w:pPr>
      <w:r>
        <w:br w:type="page"/>
      </w:r>
    </w:p>
    <w:tbl>
      <w:tblPr>
        <w:tblStyle w:val="Tablaconcuadrcula"/>
        <w:tblW w:w="0" w:type="auto"/>
        <w:tblLook w:val="04A0" w:firstRow="1" w:lastRow="0" w:firstColumn="1" w:lastColumn="0" w:noHBand="0" w:noVBand="1"/>
      </w:tblPr>
      <w:tblGrid>
        <w:gridCol w:w="1526"/>
        <w:gridCol w:w="3484"/>
        <w:gridCol w:w="3484"/>
      </w:tblGrid>
      <w:tr w:rsidR="0083787F" w14:paraId="19FA2DA6" w14:textId="77777777" w:rsidTr="00E37E09">
        <w:trPr>
          <w:trHeight w:val="397"/>
        </w:trPr>
        <w:tc>
          <w:tcPr>
            <w:tcW w:w="1526" w:type="dxa"/>
            <w:vMerge w:val="restart"/>
            <w:vAlign w:val="center"/>
          </w:tcPr>
          <w:p w14:paraId="53CBA241" w14:textId="77777777" w:rsidR="0083787F" w:rsidRPr="00E37E09" w:rsidRDefault="0083787F" w:rsidP="0083787F">
            <w:pPr>
              <w:spacing w:before="0" w:after="0" w:line="240" w:lineRule="auto"/>
              <w:jc w:val="left"/>
              <w:rPr>
                <w:b/>
                <w:bCs/>
                <w:color w:val="78BE20"/>
              </w:rPr>
            </w:pPr>
            <w:r w:rsidRPr="00E37E09">
              <w:rPr>
                <w:b/>
                <w:bCs/>
                <w:color w:val="78BE20"/>
              </w:rPr>
              <w:t>Año 1</w:t>
            </w:r>
          </w:p>
        </w:tc>
        <w:tc>
          <w:tcPr>
            <w:tcW w:w="3484" w:type="dxa"/>
            <w:vAlign w:val="center"/>
          </w:tcPr>
          <w:p w14:paraId="461C7BF1" w14:textId="77777777" w:rsidR="0083787F" w:rsidRPr="00985422" w:rsidRDefault="0083787F" w:rsidP="0083787F">
            <w:pPr>
              <w:spacing w:before="0" w:after="0" w:line="240" w:lineRule="auto"/>
              <w:jc w:val="left"/>
              <w:rPr>
                <w:sz w:val="20"/>
                <w:szCs w:val="18"/>
              </w:rPr>
            </w:pPr>
            <w:r w:rsidRPr="00985422">
              <w:rPr>
                <w:sz w:val="20"/>
                <w:szCs w:val="18"/>
              </w:rPr>
              <w:t>Semestre 1</w:t>
            </w:r>
          </w:p>
        </w:tc>
        <w:tc>
          <w:tcPr>
            <w:tcW w:w="3484" w:type="dxa"/>
            <w:vAlign w:val="center"/>
          </w:tcPr>
          <w:p w14:paraId="4DCBAEB5" w14:textId="4F5ACD07" w:rsidR="0083787F" w:rsidRPr="00985422" w:rsidRDefault="0083787F" w:rsidP="0083787F">
            <w:pPr>
              <w:spacing w:before="0" w:after="0" w:line="240" w:lineRule="auto"/>
              <w:jc w:val="left"/>
              <w:rPr>
                <w:sz w:val="20"/>
                <w:szCs w:val="18"/>
              </w:rPr>
            </w:pPr>
            <w:r>
              <w:rPr>
                <w:sz w:val="20"/>
                <w:szCs w:val="18"/>
              </w:rPr>
              <w:t>Seguimiento</w:t>
            </w:r>
            <w:r w:rsidRPr="00985422">
              <w:rPr>
                <w:sz w:val="20"/>
                <w:szCs w:val="18"/>
              </w:rPr>
              <w:t xml:space="preserve"> </w:t>
            </w:r>
          </w:p>
        </w:tc>
      </w:tr>
      <w:tr w:rsidR="0083787F" w14:paraId="51657232" w14:textId="77777777" w:rsidTr="00E37E09">
        <w:trPr>
          <w:trHeight w:val="397"/>
        </w:trPr>
        <w:tc>
          <w:tcPr>
            <w:tcW w:w="1526" w:type="dxa"/>
            <w:vMerge/>
            <w:vAlign w:val="center"/>
          </w:tcPr>
          <w:p w14:paraId="2DB5EF41" w14:textId="77777777" w:rsidR="0083787F" w:rsidRPr="00985422" w:rsidRDefault="0083787F" w:rsidP="0083787F">
            <w:pPr>
              <w:spacing w:before="0" w:after="0" w:line="240" w:lineRule="auto"/>
              <w:jc w:val="left"/>
              <w:rPr>
                <w:b/>
                <w:bCs/>
                <w:color w:val="FF0000"/>
              </w:rPr>
            </w:pPr>
          </w:p>
        </w:tc>
        <w:tc>
          <w:tcPr>
            <w:tcW w:w="3484" w:type="dxa"/>
            <w:vAlign w:val="center"/>
          </w:tcPr>
          <w:p w14:paraId="37A86210" w14:textId="77777777" w:rsidR="0083787F" w:rsidRPr="00985422" w:rsidRDefault="0083787F" w:rsidP="0083787F">
            <w:pPr>
              <w:spacing w:before="0" w:after="0" w:line="240" w:lineRule="auto"/>
              <w:jc w:val="left"/>
              <w:rPr>
                <w:sz w:val="20"/>
                <w:szCs w:val="18"/>
              </w:rPr>
            </w:pPr>
            <w:r w:rsidRPr="00985422">
              <w:rPr>
                <w:sz w:val="20"/>
                <w:szCs w:val="18"/>
              </w:rPr>
              <w:t>Semestre 2</w:t>
            </w:r>
          </w:p>
        </w:tc>
        <w:tc>
          <w:tcPr>
            <w:tcW w:w="3484" w:type="dxa"/>
            <w:vAlign w:val="center"/>
          </w:tcPr>
          <w:p w14:paraId="51C6C44C" w14:textId="738D84E6" w:rsidR="0083787F" w:rsidRPr="00985422" w:rsidRDefault="0083787F" w:rsidP="0083787F">
            <w:pPr>
              <w:spacing w:before="0" w:after="0" w:line="240" w:lineRule="auto"/>
              <w:jc w:val="left"/>
              <w:rPr>
                <w:sz w:val="20"/>
                <w:szCs w:val="18"/>
              </w:rPr>
            </w:pPr>
            <w:r>
              <w:rPr>
                <w:sz w:val="20"/>
                <w:szCs w:val="18"/>
              </w:rPr>
              <w:t>Seguimiento</w:t>
            </w:r>
          </w:p>
        </w:tc>
      </w:tr>
      <w:tr w:rsidR="0083787F" w14:paraId="348E6CE0" w14:textId="77777777" w:rsidTr="00E37E09">
        <w:trPr>
          <w:trHeight w:val="340"/>
        </w:trPr>
        <w:tc>
          <w:tcPr>
            <w:tcW w:w="1526" w:type="dxa"/>
            <w:vMerge/>
            <w:vAlign w:val="center"/>
          </w:tcPr>
          <w:p w14:paraId="3BDAD928" w14:textId="77777777" w:rsidR="0083787F" w:rsidRPr="00985422" w:rsidRDefault="0083787F" w:rsidP="0083787F">
            <w:pPr>
              <w:spacing w:before="0" w:after="0" w:line="240" w:lineRule="auto"/>
              <w:jc w:val="left"/>
              <w:rPr>
                <w:b/>
                <w:bCs/>
                <w:color w:val="FF0000"/>
              </w:rPr>
            </w:pPr>
          </w:p>
        </w:tc>
        <w:tc>
          <w:tcPr>
            <w:tcW w:w="6968" w:type="dxa"/>
            <w:gridSpan w:val="2"/>
            <w:shd w:val="clear" w:color="auto" w:fill="F2F2F2" w:themeFill="background1" w:themeFillShade="F2"/>
            <w:vAlign w:val="center"/>
          </w:tcPr>
          <w:p w14:paraId="55C9AA13" w14:textId="288593EC" w:rsidR="0083787F" w:rsidRPr="00985422" w:rsidRDefault="0083787F" w:rsidP="0083787F">
            <w:pPr>
              <w:spacing w:before="0" w:after="0" w:line="240" w:lineRule="auto"/>
              <w:jc w:val="left"/>
              <w:rPr>
                <w:b/>
                <w:bCs/>
              </w:rPr>
            </w:pPr>
            <w:r w:rsidRPr="00985422">
              <w:rPr>
                <w:b/>
                <w:bCs/>
              </w:rPr>
              <w:t xml:space="preserve">Informe anual </w:t>
            </w:r>
          </w:p>
        </w:tc>
      </w:tr>
      <w:tr w:rsidR="0083787F" w14:paraId="6861BA11" w14:textId="77777777" w:rsidTr="0083787F">
        <w:trPr>
          <w:trHeight w:val="397"/>
        </w:trPr>
        <w:tc>
          <w:tcPr>
            <w:tcW w:w="1526" w:type="dxa"/>
            <w:vMerge w:val="restart"/>
            <w:vAlign w:val="center"/>
          </w:tcPr>
          <w:p w14:paraId="56F39C46" w14:textId="77777777" w:rsidR="0083787F" w:rsidRPr="00E37E09" w:rsidRDefault="0083787F" w:rsidP="0083787F">
            <w:pPr>
              <w:spacing w:before="0" w:after="0" w:line="240" w:lineRule="auto"/>
              <w:jc w:val="left"/>
              <w:rPr>
                <w:b/>
                <w:bCs/>
                <w:color w:val="78BE20"/>
              </w:rPr>
            </w:pPr>
            <w:r w:rsidRPr="00E37E09">
              <w:rPr>
                <w:b/>
                <w:bCs/>
                <w:color w:val="78BE20"/>
              </w:rPr>
              <w:t>Año 2</w:t>
            </w:r>
          </w:p>
        </w:tc>
        <w:tc>
          <w:tcPr>
            <w:tcW w:w="3484" w:type="dxa"/>
            <w:vAlign w:val="center"/>
          </w:tcPr>
          <w:p w14:paraId="5ABF0D88" w14:textId="77777777" w:rsidR="0083787F" w:rsidRPr="00985422" w:rsidRDefault="0083787F" w:rsidP="0083787F">
            <w:pPr>
              <w:spacing w:before="0" w:after="0" w:line="240" w:lineRule="auto"/>
              <w:jc w:val="left"/>
              <w:rPr>
                <w:sz w:val="20"/>
                <w:szCs w:val="18"/>
              </w:rPr>
            </w:pPr>
            <w:r w:rsidRPr="00985422">
              <w:rPr>
                <w:sz w:val="20"/>
                <w:szCs w:val="18"/>
              </w:rPr>
              <w:t>Semestre 1</w:t>
            </w:r>
          </w:p>
        </w:tc>
        <w:tc>
          <w:tcPr>
            <w:tcW w:w="3484" w:type="dxa"/>
            <w:vAlign w:val="center"/>
          </w:tcPr>
          <w:p w14:paraId="6E770E05" w14:textId="52874DA2" w:rsidR="0083787F" w:rsidRPr="00985422" w:rsidRDefault="0083787F" w:rsidP="0083787F">
            <w:pPr>
              <w:spacing w:before="0" w:after="0" w:line="240" w:lineRule="auto"/>
              <w:jc w:val="left"/>
              <w:rPr>
                <w:sz w:val="20"/>
                <w:szCs w:val="18"/>
              </w:rPr>
            </w:pPr>
            <w:r w:rsidRPr="00034DBC">
              <w:rPr>
                <w:sz w:val="20"/>
                <w:szCs w:val="18"/>
              </w:rPr>
              <w:t xml:space="preserve">Seguimiento </w:t>
            </w:r>
          </w:p>
        </w:tc>
      </w:tr>
      <w:tr w:rsidR="0083787F" w14:paraId="4EAEDF8D" w14:textId="77777777" w:rsidTr="0083787F">
        <w:trPr>
          <w:trHeight w:val="397"/>
        </w:trPr>
        <w:tc>
          <w:tcPr>
            <w:tcW w:w="1526" w:type="dxa"/>
            <w:vMerge/>
            <w:vAlign w:val="center"/>
          </w:tcPr>
          <w:p w14:paraId="082C1FE1" w14:textId="77777777" w:rsidR="0083787F" w:rsidRPr="00985422" w:rsidRDefault="0083787F" w:rsidP="0083787F">
            <w:pPr>
              <w:spacing w:before="0" w:after="0" w:line="240" w:lineRule="auto"/>
              <w:jc w:val="left"/>
              <w:rPr>
                <w:b/>
                <w:bCs/>
                <w:color w:val="FF0000"/>
              </w:rPr>
            </w:pPr>
          </w:p>
        </w:tc>
        <w:tc>
          <w:tcPr>
            <w:tcW w:w="3484" w:type="dxa"/>
            <w:vAlign w:val="center"/>
          </w:tcPr>
          <w:p w14:paraId="1FCFBE53" w14:textId="77777777" w:rsidR="0083787F" w:rsidRPr="00985422" w:rsidRDefault="0083787F" w:rsidP="0083787F">
            <w:pPr>
              <w:spacing w:before="0" w:after="0" w:line="240" w:lineRule="auto"/>
              <w:jc w:val="left"/>
              <w:rPr>
                <w:sz w:val="20"/>
                <w:szCs w:val="18"/>
              </w:rPr>
            </w:pPr>
            <w:r w:rsidRPr="00985422">
              <w:rPr>
                <w:sz w:val="20"/>
                <w:szCs w:val="18"/>
              </w:rPr>
              <w:t>Semestre 2</w:t>
            </w:r>
          </w:p>
        </w:tc>
        <w:tc>
          <w:tcPr>
            <w:tcW w:w="3484" w:type="dxa"/>
            <w:vAlign w:val="center"/>
          </w:tcPr>
          <w:p w14:paraId="7FC549D8" w14:textId="1DB1EA63" w:rsidR="0083787F" w:rsidRPr="00985422" w:rsidRDefault="0083787F" w:rsidP="0083787F">
            <w:pPr>
              <w:spacing w:before="0" w:after="0" w:line="240" w:lineRule="auto"/>
              <w:jc w:val="left"/>
              <w:rPr>
                <w:sz w:val="20"/>
                <w:szCs w:val="18"/>
              </w:rPr>
            </w:pPr>
            <w:r w:rsidRPr="00034DBC">
              <w:rPr>
                <w:sz w:val="20"/>
                <w:szCs w:val="18"/>
              </w:rPr>
              <w:t xml:space="preserve">Seguimiento </w:t>
            </w:r>
          </w:p>
        </w:tc>
      </w:tr>
      <w:tr w:rsidR="0083787F" w14:paraId="02D4D2D0" w14:textId="77777777" w:rsidTr="0083787F">
        <w:trPr>
          <w:trHeight w:val="397"/>
        </w:trPr>
        <w:tc>
          <w:tcPr>
            <w:tcW w:w="1526" w:type="dxa"/>
            <w:vMerge/>
            <w:vAlign w:val="center"/>
          </w:tcPr>
          <w:p w14:paraId="25C2F645" w14:textId="77777777" w:rsidR="0083787F" w:rsidRPr="00985422" w:rsidRDefault="0083787F" w:rsidP="0083787F">
            <w:pPr>
              <w:spacing w:before="0" w:after="0" w:line="240" w:lineRule="auto"/>
              <w:jc w:val="left"/>
              <w:rPr>
                <w:b/>
                <w:bCs/>
                <w:color w:val="FF0000"/>
              </w:rPr>
            </w:pPr>
          </w:p>
        </w:tc>
        <w:tc>
          <w:tcPr>
            <w:tcW w:w="6968" w:type="dxa"/>
            <w:gridSpan w:val="2"/>
            <w:shd w:val="clear" w:color="auto" w:fill="F2F2F2" w:themeFill="background1" w:themeFillShade="F2"/>
            <w:vAlign w:val="center"/>
          </w:tcPr>
          <w:p w14:paraId="436E8AEF" w14:textId="77777777" w:rsidR="0083787F" w:rsidRPr="00E37E09" w:rsidRDefault="0083787F" w:rsidP="0083787F">
            <w:pPr>
              <w:spacing w:before="0" w:after="0" w:line="240" w:lineRule="auto"/>
              <w:jc w:val="left"/>
              <w:rPr>
                <w:b/>
                <w:bCs/>
                <w:color w:val="FF0000"/>
              </w:rPr>
            </w:pPr>
            <w:r w:rsidRPr="00E37E09">
              <w:rPr>
                <w:b/>
                <w:bCs/>
              </w:rPr>
              <w:t>Informe de evaluación intermedia</w:t>
            </w:r>
          </w:p>
        </w:tc>
      </w:tr>
      <w:tr w:rsidR="0083787F" w14:paraId="0B9F400C" w14:textId="77777777" w:rsidTr="0083787F">
        <w:trPr>
          <w:trHeight w:val="397"/>
        </w:trPr>
        <w:tc>
          <w:tcPr>
            <w:tcW w:w="1526" w:type="dxa"/>
            <w:vMerge w:val="restart"/>
            <w:vAlign w:val="center"/>
          </w:tcPr>
          <w:p w14:paraId="39A81CD3" w14:textId="77777777" w:rsidR="0083787F" w:rsidRPr="00E37E09" w:rsidRDefault="0083787F" w:rsidP="0083787F">
            <w:pPr>
              <w:spacing w:before="0" w:after="0" w:line="240" w:lineRule="auto"/>
              <w:jc w:val="left"/>
              <w:rPr>
                <w:b/>
                <w:bCs/>
                <w:color w:val="78BE20"/>
              </w:rPr>
            </w:pPr>
            <w:r w:rsidRPr="00E37E09">
              <w:rPr>
                <w:b/>
                <w:bCs/>
                <w:color w:val="78BE20"/>
              </w:rPr>
              <w:t>Año 3</w:t>
            </w:r>
          </w:p>
        </w:tc>
        <w:tc>
          <w:tcPr>
            <w:tcW w:w="3484" w:type="dxa"/>
            <w:vAlign w:val="center"/>
          </w:tcPr>
          <w:p w14:paraId="0166AB64" w14:textId="77777777" w:rsidR="0083787F" w:rsidRPr="00985422" w:rsidRDefault="0083787F" w:rsidP="0083787F">
            <w:pPr>
              <w:spacing w:before="0" w:after="0" w:line="240" w:lineRule="auto"/>
              <w:jc w:val="left"/>
              <w:rPr>
                <w:sz w:val="20"/>
                <w:szCs w:val="18"/>
              </w:rPr>
            </w:pPr>
            <w:r w:rsidRPr="00985422">
              <w:rPr>
                <w:sz w:val="20"/>
                <w:szCs w:val="18"/>
              </w:rPr>
              <w:t>Semestre 1</w:t>
            </w:r>
          </w:p>
        </w:tc>
        <w:tc>
          <w:tcPr>
            <w:tcW w:w="3484" w:type="dxa"/>
            <w:vAlign w:val="center"/>
          </w:tcPr>
          <w:p w14:paraId="5AC9D28D" w14:textId="453423B3" w:rsidR="0083787F" w:rsidRPr="00985422" w:rsidRDefault="0083787F" w:rsidP="0083787F">
            <w:pPr>
              <w:spacing w:before="0" w:after="0" w:line="240" w:lineRule="auto"/>
              <w:jc w:val="left"/>
              <w:rPr>
                <w:sz w:val="20"/>
                <w:szCs w:val="18"/>
              </w:rPr>
            </w:pPr>
            <w:r w:rsidRPr="00C912CE">
              <w:rPr>
                <w:sz w:val="20"/>
                <w:szCs w:val="18"/>
              </w:rPr>
              <w:t xml:space="preserve">Seguimiento </w:t>
            </w:r>
          </w:p>
        </w:tc>
      </w:tr>
      <w:tr w:rsidR="0083787F" w14:paraId="18AB91EF" w14:textId="77777777" w:rsidTr="0083787F">
        <w:trPr>
          <w:trHeight w:val="397"/>
        </w:trPr>
        <w:tc>
          <w:tcPr>
            <w:tcW w:w="1526" w:type="dxa"/>
            <w:vMerge/>
            <w:vAlign w:val="center"/>
          </w:tcPr>
          <w:p w14:paraId="7768BC9C" w14:textId="77777777" w:rsidR="0083787F" w:rsidRPr="00985422" w:rsidRDefault="0083787F" w:rsidP="0083787F">
            <w:pPr>
              <w:spacing w:before="0" w:after="0" w:line="240" w:lineRule="auto"/>
              <w:jc w:val="left"/>
              <w:rPr>
                <w:b/>
                <w:bCs/>
                <w:color w:val="FF0000"/>
              </w:rPr>
            </w:pPr>
          </w:p>
        </w:tc>
        <w:tc>
          <w:tcPr>
            <w:tcW w:w="3484" w:type="dxa"/>
            <w:vAlign w:val="center"/>
          </w:tcPr>
          <w:p w14:paraId="0818ABFB" w14:textId="77777777" w:rsidR="0083787F" w:rsidRPr="00985422" w:rsidRDefault="0083787F" w:rsidP="0083787F">
            <w:pPr>
              <w:spacing w:before="0" w:after="0" w:line="240" w:lineRule="auto"/>
              <w:jc w:val="left"/>
              <w:rPr>
                <w:sz w:val="20"/>
                <w:szCs w:val="18"/>
              </w:rPr>
            </w:pPr>
            <w:r w:rsidRPr="00985422">
              <w:rPr>
                <w:sz w:val="20"/>
                <w:szCs w:val="18"/>
              </w:rPr>
              <w:t>Semestre 2</w:t>
            </w:r>
          </w:p>
        </w:tc>
        <w:tc>
          <w:tcPr>
            <w:tcW w:w="3484" w:type="dxa"/>
            <w:vAlign w:val="center"/>
          </w:tcPr>
          <w:p w14:paraId="358A60AD" w14:textId="4E10FFDF" w:rsidR="0083787F" w:rsidRPr="00985422" w:rsidRDefault="0083787F" w:rsidP="0083787F">
            <w:pPr>
              <w:spacing w:before="0" w:after="0" w:line="240" w:lineRule="auto"/>
              <w:jc w:val="left"/>
              <w:rPr>
                <w:sz w:val="20"/>
                <w:szCs w:val="18"/>
              </w:rPr>
            </w:pPr>
            <w:r w:rsidRPr="00C912CE">
              <w:rPr>
                <w:sz w:val="20"/>
                <w:szCs w:val="18"/>
              </w:rPr>
              <w:t xml:space="preserve">Seguimiento </w:t>
            </w:r>
          </w:p>
        </w:tc>
      </w:tr>
      <w:tr w:rsidR="0083787F" w14:paraId="7D3E34DE" w14:textId="77777777" w:rsidTr="0083787F">
        <w:trPr>
          <w:trHeight w:val="397"/>
        </w:trPr>
        <w:tc>
          <w:tcPr>
            <w:tcW w:w="1526" w:type="dxa"/>
            <w:vMerge/>
            <w:vAlign w:val="center"/>
          </w:tcPr>
          <w:p w14:paraId="090A4370" w14:textId="77777777" w:rsidR="0083787F" w:rsidRPr="00985422" w:rsidRDefault="0083787F" w:rsidP="0083787F">
            <w:pPr>
              <w:spacing w:before="0" w:after="0" w:line="240" w:lineRule="auto"/>
              <w:jc w:val="left"/>
              <w:rPr>
                <w:b/>
                <w:bCs/>
                <w:color w:val="FF0000"/>
              </w:rPr>
            </w:pPr>
          </w:p>
        </w:tc>
        <w:tc>
          <w:tcPr>
            <w:tcW w:w="6968" w:type="dxa"/>
            <w:gridSpan w:val="2"/>
            <w:shd w:val="clear" w:color="auto" w:fill="F2F2F2" w:themeFill="background1" w:themeFillShade="F2"/>
            <w:vAlign w:val="center"/>
          </w:tcPr>
          <w:p w14:paraId="69C9C958" w14:textId="27889642" w:rsidR="0083787F" w:rsidRPr="00E37E09" w:rsidRDefault="0083787F" w:rsidP="0083787F">
            <w:pPr>
              <w:spacing w:before="0" w:after="0" w:line="240" w:lineRule="auto"/>
              <w:jc w:val="left"/>
              <w:rPr>
                <w:b/>
                <w:bCs/>
              </w:rPr>
            </w:pPr>
            <w:r w:rsidRPr="00E37E09">
              <w:rPr>
                <w:b/>
                <w:bCs/>
              </w:rPr>
              <w:t xml:space="preserve">Informe anual </w:t>
            </w:r>
          </w:p>
        </w:tc>
      </w:tr>
      <w:tr w:rsidR="0083787F" w14:paraId="050BE1EE" w14:textId="77777777" w:rsidTr="0083787F">
        <w:trPr>
          <w:trHeight w:val="397"/>
        </w:trPr>
        <w:tc>
          <w:tcPr>
            <w:tcW w:w="1526" w:type="dxa"/>
            <w:vMerge w:val="restart"/>
            <w:vAlign w:val="center"/>
          </w:tcPr>
          <w:p w14:paraId="567F2B2C" w14:textId="77777777" w:rsidR="0083787F" w:rsidRPr="00E37E09" w:rsidRDefault="0083787F" w:rsidP="0083787F">
            <w:pPr>
              <w:spacing w:before="0" w:after="0" w:line="240" w:lineRule="auto"/>
              <w:jc w:val="left"/>
              <w:rPr>
                <w:b/>
                <w:bCs/>
                <w:color w:val="78BE20"/>
              </w:rPr>
            </w:pPr>
            <w:r w:rsidRPr="00E37E09">
              <w:rPr>
                <w:b/>
                <w:bCs/>
                <w:color w:val="78BE20"/>
              </w:rPr>
              <w:t>Año 4</w:t>
            </w:r>
          </w:p>
        </w:tc>
        <w:tc>
          <w:tcPr>
            <w:tcW w:w="3484" w:type="dxa"/>
            <w:vAlign w:val="center"/>
          </w:tcPr>
          <w:p w14:paraId="67A82101" w14:textId="77777777" w:rsidR="0083787F" w:rsidRPr="00985422" w:rsidRDefault="0083787F" w:rsidP="0083787F">
            <w:pPr>
              <w:spacing w:before="0" w:after="0" w:line="240" w:lineRule="auto"/>
              <w:jc w:val="left"/>
              <w:rPr>
                <w:sz w:val="20"/>
                <w:szCs w:val="18"/>
              </w:rPr>
            </w:pPr>
            <w:r w:rsidRPr="00985422">
              <w:rPr>
                <w:sz w:val="20"/>
                <w:szCs w:val="18"/>
              </w:rPr>
              <w:t>Semestre 1</w:t>
            </w:r>
          </w:p>
        </w:tc>
        <w:tc>
          <w:tcPr>
            <w:tcW w:w="3484" w:type="dxa"/>
            <w:vAlign w:val="center"/>
          </w:tcPr>
          <w:p w14:paraId="38072464" w14:textId="217559D6" w:rsidR="0083787F" w:rsidRPr="00985422" w:rsidRDefault="0083787F" w:rsidP="0083787F">
            <w:pPr>
              <w:spacing w:before="0" w:after="0" w:line="240" w:lineRule="auto"/>
              <w:jc w:val="left"/>
              <w:rPr>
                <w:sz w:val="20"/>
                <w:szCs w:val="18"/>
              </w:rPr>
            </w:pPr>
            <w:r w:rsidRPr="00E13E9E">
              <w:rPr>
                <w:sz w:val="20"/>
                <w:szCs w:val="18"/>
              </w:rPr>
              <w:t xml:space="preserve">Seguimiento </w:t>
            </w:r>
          </w:p>
        </w:tc>
      </w:tr>
      <w:tr w:rsidR="0083787F" w14:paraId="14093E37" w14:textId="77777777" w:rsidTr="0083787F">
        <w:trPr>
          <w:trHeight w:val="397"/>
        </w:trPr>
        <w:tc>
          <w:tcPr>
            <w:tcW w:w="1526" w:type="dxa"/>
            <w:vMerge/>
            <w:vAlign w:val="center"/>
          </w:tcPr>
          <w:p w14:paraId="33E71385" w14:textId="77777777" w:rsidR="0083787F" w:rsidRDefault="0083787F" w:rsidP="0083787F">
            <w:pPr>
              <w:spacing w:line="240" w:lineRule="auto"/>
              <w:jc w:val="left"/>
            </w:pPr>
          </w:p>
        </w:tc>
        <w:tc>
          <w:tcPr>
            <w:tcW w:w="3484" w:type="dxa"/>
            <w:vAlign w:val="center"/>
          </w:tcPr>
          <w:p w14:paraId="42E4A7AA" w14:textId="77777777" w:rsidR="0083787F" w:rsidRPr="00985422" w:rsidRDefault="0083787F" w:rsidP="0083787F">
            <w:pPr>
              <w:spacing w:before="0" w:after="0" w:line="240" w:lineRule="auto"/>
              <w:jc w:val="left"/>
              <w:rPr>
                <w:sz w:val="20"/>
                <w:szCs w:val="18"/>
              </w:rPr>
            </w:pPr>
            <w:r w:rsidRPr="00985422">
              <w:rPr>
                <w:sz w:val="20"/>
                <w:szCs w:val="18"/>
              </w:rPr>
              <w:t>Semestre 2</w:t>
            </w:r>
          </w:p>
        </w:tc>
        <w:tc>
          <w:tcPr>
            <w:tcW w:w="3484" w:type="dxa"/>
            <w:vAlign w:val="center"/>
          </w:tcPr>
          <w:p w14:paraId="5900F022" w14:textId="72261D35" w:rsidR="0083787F" w:rsidRPr="00985422" w:rsidRDefault="0083787F" w:rsidP="0083787F">
            <w:pPr>
              <w:spacing w:before="0" w:after="0" w:line="240" w:lineRule="auto"/>
              <w:jc w:val="left"/>
              <w:rPr>
                <w:sz w:val="20"/>
                <w:szCs w:val="18"/>
              </w:rPr>
            </w:pPr>
            <w:r w:rsidRPr="00E13E9E">
              <w:rPr>
                <w:sz w:val="20"/>
                <w:szCs w:val="18"/>
              </w:rPr>
              <w:t xml:space="preserve">Seguimiento </w:t>
            </w:r>
          </w:p>
        </w:tc>
      </w:tr>
      <w:tr w:rsidR="0083787F" w14:paraId="28F15A65" w14:textId="77777777" w:rsidTr="0083787F">
        <w:trPr>
          <w:trHeight w:val="397"/>
        </w:trPr>
        <w:tc>
          <w:tcPr>
            <w:tcW w:w="1526" w:type="dxa"/>
            <w:vMerge/>
            <w:vAlign w:val="center"/>
          </w:tcPr>
          <w:p w14:paraId="41A4931B" w14:textId="77777777" w:rsidR="0083787F" w:rsidRPr="00E37E09" w:rsidRDefault="0083787F" w:rsidP="00E37E09">
            <w:pPr>
              <w:spacing w:before="0" w:after="0" w:line="240" w:lineRule="auto"/>
              <w:jc w:val="left"/>
              <w:rPr>
                <w:b/>
                <w:bCs/>
                <w:color w:val="FF0000"/>
              </w:rPr>
            </w:pPr>
          </w:p>
        </w:tc>
        <w:tc>
          <w:tcPr>
            <w:tcW w:w="6968" w:type="dxa"/>
            <w:gridSpan w:val="2"/>
            <w:shd w:val="clear" w:color="auto" w:fill="F2F2F2" w:themeFill="background1" w:themeFillShade="F2"/>
            <w:vAlign w:val="center"/>
          </w:tcPr>
          <w:p w14:paraId="61AC4574" w14:textId="77777777" w:rsidR="0083787F" w:rsidRPr="00E37E09" w:rsidRDefault="0083787F" w:rsidP="00E37E09">
            <w:pPr>
              <w:spacing w:before="0" w:after="0" w:line="240" w:lineRule="auto"/>
              <w:jc w:val="left"/>
              <w:rPr>
                <w:b/>
                <w:bCs/>
                <w:color w:val="FF0000"/>
              </w:rPr>
            </w:pPr>
            <w:r w:rsidRPr="00E37E09">
              <w:rPr>
                <w:b/>
                <w:bCs/>
              </w:rPr>
              <w:t>Informe de evaluación final</w:t>
            </w:r>
          </w:p>
        </w:tc>
      </w:tr>
    </w:tbl>
    <w:p w14:paraId="4E2593B5" w14:textId="77777777" w:rsidR="005121F6" w:rsidRDefault="005121F6" w:rsidP="005121F6"/>
    <w:p w14:paraId="5E486BDE" w14:textId="3B9703DA" w:rsidR="00C1109B" w:rsidRDefault="00C1109B" w:rsidP="004E745F"/>
    <w:p w14:paraId="2C44E8CD" w14:textId="1D298E65" w:rsidR="005121F6" w:rsidRPr="000970EC" w:rsidRDefault="005121F6" w:rsidP="00024B4E">
      <w:pPr>
        <w:pStyle w:val="Ttulo2"/>
      </w:pPr>
      <w:bookmarkStart w:id="58" w:name="_Toc122080812"/>
      <w:r>
        <w:t>Herramienta</w:t>
      </w:r>
      <w:r w:rsidRPr="000970EC">
        <w:t xml:space="preserve"> de seguimiento</w:t>
      </w:r>
      <w:bookmarkEnd w:id="58"/>
    </w:p>
    <w:p w14:paraId="6AA3BBAA" w14:textId="1E1FC76E" w:rsidR="005121F6" w:rsidRPr="00E12020" w:rsidRDefault="005121F6" w:rsidP="005121F6">
      <w:pPr>
        <w:rPr>
          <w:b/>
          <w:bCs/>
        </w:rPr>
      </w:pPr>
      <w:r w:rsidRPr="00E12020">
        <w:rPr>
          <w:b/>
          <w:bCs/>
        </w:rPr>
        <w:t xml:space="preserve">La Comisión de Seguimiento podrá </w:t>
      </w:r>
      <w:r w:rsidR="00C1109B" w:rsidRPr="00E12020">
        <w:rPr>
          <w:b/>
          <w:bCs/>
        </w:rPr>
        <w:t>utilizar</w:t>
      </w:r>
      <w:r w:rsidRPr="00E12020">
        <w:rPr>
          <w:b/>
          <w:bCs/>
        </w:rPr>
        <w:t xml:space="preserve"> una Herramienta </w:t>
      </w:r>
      <w:r w:rsidR="00C1109B" w:rsidRPr="00E12020">
        <w:rPr>
          <w:b/>
          <w:bCs/>
        </w:rPr>
        <w:t xml:space="preserve">propia </w:t>
      </w:r>
      <w:r w:rsidRPr="00E12020">
        <w:rPr>
          <w:b/>
          <w:bCs/>
        </w:rPr>
        <w:t>que unifi</w:t>
      </w:r>
      <w:r w:rsidR="00C1109B" w:rsidRPr="00E12020">
        <w:rPr>
          <w:b/>
          <w:bCs/>
        </w:rPr>
        <w:t>que</w:t>
      </w:r>
      <w:r w:rsidRPr="00E12020">
        <w:rPr>
          <w:b/>
          <w:bCs/>
        </w:rPr>
        <w:t xml:space="preserve"> la información sobre la paulatina implementación de las medidas del Plan de Igualdad. </w:t>
      </w:r>
    </w:p>
    <w:p w14:paraId="266355A1" w14:textId="7F2659BB" w:rsidR="005121F6" w:rsidRDefault="005121F6" w:rsidP="005121F6">
      <w:r>
        <w:t xml:space="preserve">Esta Herramienta será custodiada por quien ostenta la Presidencia o, en su ausencia, por la Secretaría, a quienes las personas u órganos responsables de la puesta en marcha de </w:t>
      </w:r>
      <w:r w:rsidR="00C1109B">
        <w:t>cada una de las</w:t>
      </w:r>
      <w:r>
        <w:t xml:space="preserve"> medidas </w:t>
      </w:r>
      <w:proofErr w:type="gramStart"/>
      <w:r>
        <w:t>le</w:t>
      </w:r>
      <w:proofErr w:type="gramEnd"/>
      <w:r>
        <w:t xml:space="preserve"> deberá reportar </w:t>
      </w:r>
      <w:r w:rsidR="00C1109B">
        <w:t>la información</w:t>
      </w:r>
      <w:r>
        <w:t xml:space="preserve"> que les sea relativa. </w:t>
      </w:r>
    </w:p>
    <w:p w14:paraId="4BD8D868" w14:textId="1B5EFFD0" w:rsidR="005121F6" w:rsidRDefault="005121F6" w:rsidP="005121F6">
      <w:r>
        <w:t xml:space="preserve">La Herramienta podrá incluir la siguiente información: </w:t>
      </w:r>
    </w:p>
    <w:p w14:paraId="58F2DC3B" w14:textId="62EDCA29" w:rsidR="005121F6" w:rsidRDefault="005121F6">
      <w:pPr>
        <w:pStyle w:val="Prrafodelista"/>
        <w:numPr>
          <w:ilvl w:val="0"/>
          <w:numId w:val="5"/>
        </w:numPr>
      </w:pPr>
      <w:r>
        <w:t>Estado de ejecución</w:t>
      </w:r>
      <w:r w:rsidR="00C1109B">
        <w:t xml:space="preserve"> de cada medida</w:t>
      </w:r>
      <w:r>
        <w:t xml:space="preserve"> (finalizada, en proceso, no implantada)</w:t>
      </w:r>
    </w:p>
    <w:p w14:paraId="77F7A417" w14:textId="77777777" w:rsidR="005121F6" w:rsidRDefault="005121F6">
      <w:pPr>
        <w:pStyle w:val="Prrafodelista"/>
        <w:numPr>
          <w:ilvl w:val="0"/>
          <w:numId w:val="5"/>
        </w:numPr>
      </w:pPr>
      <w:r>
        <w:t>Fecha de ejecución</w:t>
      </w:r>
    </w:p>
    <w:p w14:paraId="725EEC55" w14:textId="6FDCD3F1" w:rsidR="005121F6" w:rsidRDefault="00C1109B">
      <w:pPr>
        <w:pStyle w:val="Prrafodelista"/>
        <w:numPr>
          <w:ilvl w:val="0"/>
          <w:numId w:val="5"/>
        </w:numPr>
      </w:pPr>
      <w:r>
        <w:t>Resultado de los indicadores</w:t>
      </w:r>
    </w:p>
    <w:p w14:paraId="3E9D5AF6" w14:textId="73B26E58" w:rsidR="005121F6" w:rsidRDefault="005121F6">
      <w:pPr>
        <w:pStyle w:val="Prrafodelista"/>
        <w:numPr>
          <w:ilvl w:val="0"/>
          <w:numId w:val="5"/>
        </w:numPr>
      </w:pPr>
      <w:r>
        <w:t>Observaciones</w:t>
      </w:r>
      <w:r w:rsidR="00C1109B">
        <w:t xml:space="preserve"> e incidencias</w:t>
      </w:r>
    </w:p>
    <w:sectPr w:rsidR="005121F6" w:rsidSect="008678C3">
      <w:headerReference w:type="even" r:id="rId69"/>
      <w:headerReference w:type="default" r:id="rId70"/>
      <w:footerReference w:type="default" r:id="rId71"/>
      <w:headerReference w:type="first" r:id="rId72"/>
      <w:pgSz w:w="11906" w:h="16838"/>
      <w:pgMar w:top="1985" w:right="1701"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91ECA" w14:textId="77777777" w:rsidR="00167C53" w:rsidRDefault="00167C53" w:rsidP="001F4F86">
      <w:pPr>
        <w:spacing w:after="0" w:line="240" w:lineRule="auto"/>
      </w:pPr>
      <w:r>
        <w:separator/>
      </w:r>
    </w:p>
  </w:endnote>
  <w:endnote w:type="continuationSeparator" w:id="0">
    <w:p w14:paraId="50198265" w14:textId="77777777" w:rsidR="00167C53" w:rsidRDefault="00167C53" w:rsidP="001F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ligh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Neue">
    <w:charset w:val="00"/>
    <w:family w:val="auto"/>
    <w:pitch w:val="variable"/>
    <w:sig w:usb0="A000002F" w:usb1="40000048" w:usb2="00000000" w:usb3="00000000" w:csb0="00000111" w:csb1="00000000"/>
  </w:font>
  <w:font w:name="HelveticaNeue LT 55 Roman">
    <w:altName w:val="Arial"/>
    <w:panose1 w:val="02000503040000020004"/>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324B5" w14:textId="329F5F66" w:rsidR="00406794" w:rsidRPr="006061A5" w:rsidRDefault="00406794" w:rsidP="006061A5">
    <w:pPr>
      <w:tabs>
        <w:tab w:val="center" w:pos="4550"/>
        <w:tab w:val="left" w:pos="5818"/>
      </w:tabs>
      <w:spacing w:after="0"/>
      <w:ind w:right="-1"/>
      <w:jc w:val="right"/>
      <w:rPr>
        <w:color w:val="C00000"/>
        <w:sz w:val="18"/>
        <w:szCs w:val="18"/>
      </w:rPr>
    </w:pPr>
    <w:r>
      <w:rPr>
        <w:color w:val="C00000"/>
        <w:sz w:val="18"/>
        <w:szCs w:val="18"/>
      </w:rPr>
      <w:tab/>
    </w:r>
    <w:r>
      <w:rPr>
        <w:color w:val="C00000"/>
        <w:sz w:val="18"/>
        <w:szCs w:val="18"/>
      </w:rPr>
      <w:tab/>
    </w:r>
    <w:r>
      <w:rPr>
        <w:color w:val="C00000"/>
        <w:sz w:val="18"/>
        <w:szCs w:val="18"/>
      </w:rPr>
      <w:tab/>
    </w:r>
    <w:r w:rsidRPr="006061A5">
      <w:rPr>
        <w:color w:val="C00000"/>
        <w:sz w:val="18"/>
        <w:szCs w:val="18"/>
      </w:rPr>
      <w:t xml:space="preserve">            </w:t>
    </w:r>
    <w:r w:rsidRPr="006061A5">
      <w:rPr>
        <w:color w:val="78BE20"/>
        <w:sz w:val="20"/>
        <w:szCs w:val="20"/>
      </w:rPr>
      <w:fldChar w:fldCharType="begin"/>
    </w:r>
    <w:r w:rsidRPr="006061A5">
      <w:rPr>
        <w:color w:val="78BE20"/>
        <w:sz w:val="20"/>
        <w:szCs w:val="20"/>
      </w:rPr>
      <w:instrText>PAGE   \* MERGEFORMAT</w:instrText>
    </w:r>
    <w:r w:rsidRPr="006061A5">
      <w:rPr>
        <w:color w:val="78BE20"/>
        <w:sz w:val="20"/>
        <w:szCs w:val="20"/>
      </w:rPr>
      <w:fldChar w:fldCharType="separate"/>
    </w:r>
    <w:r w:rsidR="00D414D5">
      <w:rPr>
        <w:noProof/>
        <w:color w:val="78BE20"/>
        <w:sz w:val="20"/>
        <w:szCs w:val="20"/>
      </w:rPr>
      <w:t>8</w:t>
    </w:r>
    <w:r w:rsidRPr="006061A5">
      <w:rPr>
        <w:color w:val="78BE20"/>
        <w:sz w:val="20"/>
        <w:szCs w:val="20"/>
      </w:rPr>
      <w:fldChar w:fldCharType="end"/>
    </w:r>
    <w:r w:rsidRPr="006061A5">
      <w:rPr>
        <w:color w:val="78BE20"/>
        <w:sz w:val="20"/>
        <w:szCs w:val="20"/>
      </w:rPr>
      <w:t xml:space="preserve"> | </w:t>
    </w:r>
    <w:r w:rsidRPr="006061A5">
      <w:rPr>
        <w:color w:val="78BE20"/>
        <w:sz w:val="20"/>
        <w:szCs w:val="20"/>
      </w:rPr>
      <w:fldChar w:fldCharType="begin"/>
    </w:r>
    <w:r w:rsidRPr="006061A5">
      <w:rPr>
        <w:color w:val="78BE20"/>
        <w:sz w:val="20"/>
        <w:szCs w:val="20"/>
      </w:rPr>
      <w:instrText>NUMPAGES  \* Arabic  \* MERGEFORMAT</w:instrText>
    </w:r>
    <w:r w:rsidRPr="006061A5">
      <w:rPr>
        <w:color w:val="78BE20"/>
        <w:sz w:val="20"/>
        <w:szCs w:val="20"/>
      </w:rPr>
      <w:fldChar w:fldCharType="separate"/>
    </w:r>
    <w:r w:rsidR="00D414D5">
      <w:rPr>
        <w:noProof/>
        <w:color w:val="78BE20"/>
        <w:sz w:val="20"/>
        <w:szCs w:val="20"/>
      </w:rPr>
      <w:t>139</w:t>
    </w:r>
    <w:r w:rsidRPr="006061A5">
      <w:rPr>
        <w:color w:val="78BE20"/>
        <w:sz w:val="20"/>
        <w:szCs w:val="20"/>
      </w:rPr>
      <w:fldChar w:fldCharType="end"/>
    </w:r>
  </w:p>
  <w:p w14:paraId="241642CC" w14:textId="77777777" w:rsidR="00406794" w:rsidRDefault="004067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48FCB" w14:textId="77777777" w:rsidR="00167C53" w:rsidRDefault="00167C53" w:rsidP="001F4F86">
      <w:pPr>
        <w:spacing w:after="0" w:line="240" w:lineRule="auto"/>
      </w:pPr>
      <w:r>
        <w:separator/>
      </w:r>
    </w:p>
  </w:footnote>
  <w:footnote w:type="continuationSeparator" w:id="0">
    <w:p w14:paraId="009D3D84" w14:textId="77777777" w:rsidR="00167C53" w:rsidRDefault="00167C53" w:rsidP="001F4F86">
      <w:pPr>
        <w:spacing w:after="0" w:line="240" w:lineRule="auto"/>
      </w:pPr>
      <w:r>
        <w:continuationSeparator/>
      </w:r>
    </w:p>
  </w:footnote>
  <w:footnote w:id="1">
    <w:p w14:paraId="1A0F403B" w14:textId="14E910E6" w:rsidR="00406794" w:rsidRDefault="00406794">
      <w:pPr>
        <w:pStyle w:val="Textonotapie"/>
      </w:pPr>
      <w:r>
        <w:rPr>
          <w:rStyle w:val="Refdenotaalpie"/>
        </w:rPr>
        <w:footnoteRef/>
      </w:r>
      <w:r>
        <w:t xml:space="preserve"> El </w:t>
      </w:r>
      <w:r>
        <w:rPr>
          <w:rFonts w:cs="Arial"/>
        </w:rPr>
        <w:t xml:space="preserve">texto completo del Diagnóstico fue aprobado en el seno de la Comisión Negociadora del Plan de Igualdad </w:t>
      </w:r>
      <w:r w:rsidRPr="006531D9">
        <w:rPr>
          <w:rFonts w:cs="Arial"/>
        </w:rPr>
        <w:t>el día 5 de octubre de 2022</w:t>
      </w:r>
      <w:r>
        <w:rPr>
          <w:rFonts w:cs="Arial"/>
        </w:rPr>
        <w:t xml:space="preserve">. </w:t>
      </w:r>
    </w:p>
  </w:footnote>
  <w:footnote w:id="2">
    <w:p w14:paraId="59CF16FB" w14:textId="77777777" w:rsidR="00406794" w:rsidRDefault="00406794" w:rsidP="00100742">
      <w:pPr>
        <w:pStyle w:val="Textonotapie"/>
      </w:pPr>
      <w:r>
        <w:rPr>
          <w:rStyle w:val="Refdenotaalpie"/>
        </w:rPr>
        <w:footnoteRef/>
      </w:r>
      <w:r>
        <w:t xml:space="preserve"> La composición de la Comisión Negociadora está concretamente recogida en el texto completo del Diagnóstico de situación, así como en el Acta de constitución de 1 de julio de 2021. </w:t>
      </w:r>
    </w:p>
  </w:footnote>
  <w:footnote w:id="3">
    <w:p w14:paraId="1FF4AF26" w14:textId="1F82AA3C" w:rsidR="00406794" w:rsidRPr="00B86C2A" w:rsidRDefault="00406794" w:rsidP="00B94B28">
      <w:pPr>
        <w:spacing w:line="240" w:lineRule="auto"/>
      </w:pPr>
      <w:r>
        <w:rPr>
          <w:rStyle w:val="Refdenotaalpie"/>
        </w:rPr>
        <w:footnoteRef/>
      </w:r>
      <w:r>
        <w:t xml:space="preserve"> </w:t>
      </w:r>
      <w:r>
        <w:rPr>
          <w:rFonts w:ascii="Helvetica" w:eastAsia="Times New Roman" w:hAnsi="Helvetica" w:cs="Times New Roman"/>
          <w:sz w:val="20"/>
          <w:szCs w:val="20"/>
        </w:rPr>
        <w:t>Tal y como se detalla en el Diagnóstico completo, el Plan</w:t>
      </w:r>
      <w:r w:rsidRPr="00B94B28">
        <w:rPr>
          <w:rFonts w:ascii="Helvetica" w:eastAsia="Times New Roman" w:hAnsi="Helvetica" w:cs="Times New Roman"/>
          <w:sz w:val="20"/>
          <w:szCs w:val="20"/>
        </w:rPr>
        <w:t xml:space="preserve"> no será de aplicación sobre el </w:t>
      </w:r>
      <w:r w:rsidR="00636995">
        <w:rPr>
          <w:rFonts w:ascii="Helvetica" w:eastAsia="Times New Roman" w:hAnsi="Helvetica" w:cs="Times New Roman"/>
          <w:sz w:val="20"/>
          <w:szCs w:val="20"/>
        </w:rPr>
        <w:t xml:space="preserve">personal docente universitario </w:t>
      </w:r>
      <w:r w:rsidRPr="00B94B28">
        <w:rPr>
          <w:rFonts w:ascii="Helvetica" w:eastAsia="Times New Roman" w:hAnsi="Helvetica" w:cs="Times New Roman"/>
          <w:sz w:val="20"/>
          <w:szCs w:val="20"/>
        </w:rPr>
        <w:t>y el personal de Justicia.</w:t>
      </w:r>
      <w:r>
        <w:t xml:space="preserve"> </w:t>
      </w:r>
    </w:p>
    <w:p w14:paraId="1D002599" w14:textId="08F00E76" w:rsidR="00406794" w:rsidRDefault="00406794">
      <w:pPr>
        <w:pStyle w:val="Textonotapie"/>
      </w:pPr>
    </w:p>
  </w:footnote>
  <w:footnote w:id="4">
    <w:p w14:paraId="0BAB2F55" w14:textId="77777777" w:rsidR="00406794" w:rsidRPr="00FF61C2" w:rsidRDefault="00406794" w:rsidP="00FE61D3">
      <w:pPr>
        <w:pStyle w:val="Textonotapie"/>
        <w:rPr>
          <w:rFonts w:ascii="Arial" w:hAnsi="Arial" w:cs="Arial"/>
        </w:rPr>
      </w:pPr>
      <w:r>
        <w:rPr>
          <w:rStyle w:val="Refdenotaalpie"/>
        </w:rPr>
        <w:footnoteRef/>
      </w:r>
      <w:r>
        <w:t xml:space="preserve"> </w:t>
      </w:r>
      <w:r w:rsidRPr="00FF61C2">
        <w:rPr>
          <w:rFonts w:ascii="Arial" w:hAnsi="Arial" w:cs="Arial"/>
        </w:rPr>
        <w:t xml:space="preserve">Ministerio de Política Territorial y Función Pública, nota de prensa del 07/03/2021, </w:t>
      </w:r>
    </w:p>
    <w:p w14:paraId="41438DB2" w14:textId="77777777" w:rsidR="00406794" w:rsidRDefault="00D414D5" w:rsidP="00FE61D3">
      <w:pPr>
        <w:pStyle w:val="Textonotapie"/>
      </w:pPr>
      <w:hyperlink r:id="rId1" w:history="1">
        <w:r w:rsidR="00406794" w:rsidRPr="00FF61C2">
          <w:rPr>
            <w:rStyle w:val="Hipervnculo"/>
            <w:rFonts w:ascii="Arial" w:hAnsi="Arial" w:cs="Arial"/>
          </w:rPr>
          <w:t>https://www.mptfp.gob.es/portal/prensa/actualidad/noticias/2021/03/20210307.html</w:t>
        </w:r>
      </w:hyperlink>
      <w:r w:rsidR="00406794">
        <w:t xml:space="preserve"> </w:t>
      </w:r>
    </w:p>
  </w:footnote>
  <w:footnote w:id="5">
    <w:p w14:paraId="7D34B4B7" w14:textId="77777777" w:rsidR="00406794" w:rsidRPr="00FF61C2" w:rsidRDefault="00406794" w:rsidP="001D4369">
      <w:pPr>
        <w:pStyle w:val="Textonotapie"/>
        <w:rPr>
          <w:rFonts w:ascii="Arial" w:hAnsi="Arial" w:cs="Arial"/>
        </w:rPr>
      </w:pPr>
      <w:r w:rsidRPr="00FF61C2">
        <w:rPr>
          <w:rStyle w:val="Refdenotaalpie"/>
          <w:rFonts w:ascii="Arial" w:hAnsi="Arial" w:cs="Arial"/>
        </w:rPr>
        <w:footnoteRef/>
      </w:r>
      <w:r w:rsidRPr="00FF61C2">
        <w:rPr>
          <w:rFonts w:ascii="Arial" w:hAnsi="Arial" w:cs="Arial"/>
        </w:rPr>
        <w:t xml:space="preserve"> Cuando los conceptos salariales son percibidos por una muestra pequeña de personas, o solamente por uno de los sexos, la herramienta no realiza el cálculo. Esta fórmula es, por consiguiente, solo válida cuando el concepto salarial es percibido por un número más o menos semejante de empleadas y empleados. Por este motivo, la Herramienta solo muestra resultados de un mínimo número de conceptos salariales. </w:t>
      </w:r>
    </w:p>
  </w:footnote>
  <w:footnote w:id="6">
    <w:p w14:paraId="1E7A8411" w14:textId="77777777" w:rsidR="00406794" w:rsidRPr="00FF61C2" w:rsidRDefault="00406794" w:rsidP="001D4369">
      <w:pPr>
        <w:pStyle w:val="Textonotapie"/>
        <w:rPr>
          <w:rFonts w:ascii="Arial" w:hAnsi="Arial" w:cs="Arial"/>
        </w:rPr>
      </w:pPr>
      <w:r w:rsidRPr="00FF61C2">
        <w:rPr>
          <w:rStyle w:val="Refdenotaalpie"/>
          <w:rFonts w:ascii="Arial" w:hAnsi="Arial" w:cs="Arial"/>
        </w:rPr>
        <w:footnoteRef/>
      </w:r>
      <w:r w:rsidRPr="00FF61C2">
        <w:rPr>
          <w:rFonts w:ascii="Arial" w:hAnsi="Arial" w:cs="Arial"/>
        </w:rPr>
        <w:t xml:space="preserve"> Recuérdese la desviación en el abono de la retribución variable que ha sido señala al inicio del análisis, y que afecta, por ejemplo a algunas de estas Categorías (Oficial 1ª de Oficio, Personal Operario especializado, Personal Técnico Auxiliar de obras).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CF8D8" w14:textId="07969565" w:rsidR="00406794" w:rsidRDefault="004067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92C04" w14:textId="6BA18442" w:rsidR="00406794" w:rsidRDefault="00406794" w:rsidP="00730539">
    <w:pPr>
      <w:pStyle w:val="Encabezado"/>
      <w:jc w:val="right"/>
      <w:rPr>
        <w:noProof/>
        <w:sz w:val="20"/>
        <w:szCs w:val="20"/>
      </w:rPr>
    </w:pPr>
    <w:bookmarkStart w:id="59" w:name="_Hlk94004907"/>
    <w:bookmarkStart w:id="60" w:name="_Hlk94004908"/>
    <w:r w:rsidRPr="00BA5D36">
      <w:rPr>
        <w:noProof/>
        <w:sz w:val="16"/>
        <w:szCs w:val="14"/>
        <w:lang w:eastAsia="es-ES"/>
      </w:rPr>
      <w:drawing>
        <wp:anchor distT="0" distB="0" distL="114300" distR="114300" simplePos="0" relativeHeight="251693568" behindDoc="0" locked="0" layoutInCell="1" allowOverlap="1" wp14:anchorId="1B8F5C45" wp14:editId="4B6D05FD">
          <wp:simplePos x="0" y="0"/>
          <wp:positionH relativeFrom="column">
            <wp:posOffset>2143125</wp:posOffset>
          </wp:positionH>
          <wp:positionV relativeFrom="paragraph">
            <wp:posOffset>-7620</wp:posOffset>
          </wp:positionV>
          <wp:extent cx="929640" cy="262890"/>
          <wp:effectExtent l="0" t="0" r="3810" b="3810"/>
          <wp:wrapSquare wrapText="bothSides"/>
          <wp:docPr id="40" name="Imagen 40"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Descripción generada automáticamente"/>
                  <pic:cNvPicPr/>
                </pic:nvPicPr>
                <pic:blipFill rotWithShape="1">
                  <a:blip r:embed="rId1">
                    <a:extLst>
                      <a:ext uri="{28A0092B-C50C-407E-A947-70E740481C1C}">
                        <a14:useLocalDpi xmlns:a14="http://schemas.microsoft.com/office/drawing/2010/main" val="0"/>
                      </a:ext>
                    </a:extLst>
                  </a:blip>
                  <a:srcRect l="9736" t="14126" r="10536" b="21292"/>
                  <a:stretch/>
                </pic:blipFill>
                <pic:spPr bwMode="auto">
                  <a:xfrm>
                    <a:off x="0" y="0"/>
                    <a:ext cx="929640" cy="262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2286D2" w14:textId="397442AC" w:rsidR="00406794" w:rsidRDefault="00406794" w:rsidP="00576FBB">
    <w:pPr>
      <w:spacing w:line="240" w:lineRule="auto"/>
      <w:jc w:val="center"/>
    </w:pPr>
    <w:r>
      <w:rPr>
        <w:noProof/>
        <w:sz w:val="20"/>
        <w:szCs w:val="20"/>
        <w:lang w:eastAsia="es-ES"/>
      </w:rPr>
      <mc:AlternateContent>
        <mc:Choice Requires="wps">
          <w:drawing>
            <wp:anchor distT="0" distB="0" distL="114300" distR="114300" simplePos="0" relativeHeight="251656704" behindDoc="0" locked="0" layoutInCell="1" allowOverlap="1" wp14:anchorId="168D944B" wp14:editId="1EDDAE4B">
              <wp:simplePos x="0" y="0"/>
              <wp:positionH relativeFrom="column">
                <wp:posOffset>6350</wp:posOffset>
              </wp:positionH>
              <wp:positionV relativeFrom="paragraph">
                <wp:posOffset>281940</wp:posOffset>
              </wp:positionV>
              <wp:extent cx="5398135" cy="52070"/>
              <wp:effectExtent l="6350" t="5715" r="5715" b="0"/>
              <wp:wrapSquare wrapText="bothSides"/>
              <wp:docPr id="47"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8135" cy="52070"/>
                      </a:xfrm>
                      <a:custGeom>
                        <a:avLst/>
                        <a:gdLst>
                          <a:gd name="T0" fmla="*/ 0 w 5759450"/>
                          <a:gd name="T1" fmla="*/ 0 h 45085"/>
                          <a:gd name="T2" fmla="*/ 5398135 w 5759450"/>
                          <a:gd name="T3" fmla="*/ 0 h 45085"/>
                          <a:gd name="T4" fmla="*/ 0 60000 65536"/>
                          <a:gd name="T5" fmla="*/ 0 60000 65536"/>
                          <a:gd name="T6" fmla="*/ 0 w 5759450"/>
                          <a:gd name="T7" fmla="*/ 0 h 45085"/>
                          <a:gd name="T8" fmla="*/ 5759450 w 5759450"/>
                          <a:gd name="T9" fmla="*/ 45085 h 45085"/>
                        </a:gdLst>
                        <a:ahLst/>
                        <a:cxnLst>
                          <a:cxn ang="T4">
                            <a:pos x="T0" y="T1"/>
                          </a:cxn>
                          <a:cxn ang="T5">
                            <a:pos x="T2" y="T3"/>
                          </a:cxn>
                        </a:cxnLst>
                        <a:rect l="T6" t="T7" r="T8" b="T9"/>
                        <a:pathLst>
                          <a:path w="5759450" h="45085">
                            <a:moveTo>
                              <a:pt x="0" y="0"/>
                            </a:moveTo>
                            <a:lnTo>
                              <a:pt x="5759450" y="0"/>
                            </a:lnTo>
                          </a:path>
                        </a:pathLst>
                      </a:custGeom>
                      <a:noFill/>
                      <a:ln w="9525">
                        <a:solidFill>
                          <a:srgbClr val="2537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108115" id="Forma libre: forma 3" o:spid="_x0000_s1026" style="position:absolute;margin-left:.5pt;margin-top:22.2pt;width:425.05pt;height: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59450,4508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mdqn3gIAAJ4GAAAOAAAAZHJzL2Uyb0RvYy54bWysVclu2zAQvRfoPxA8Fmgky5IXIXJQJE1R IF2AqB9AU5RFlCJZkracfn2GlKzIKdxDUR8IjuZxljeLr2+OrUAHZixXssCzqxgjJqmquNwV+Ed5 /36FkXVEVkQoyQr8xCy+2bx9c93pnCWqUaJiBoERafNOF7hxTudRZGnDWmKvlGYSlLUyLXEgml1U GdKB9VZESRwvok6ZShtFmbXw9a5X4k2wX9eMum91bZlDosAQmwunCefWn9HmmuQ7Q3TD6RAG+Yco WsIlOB1N3RFH0N7wP0y1nBplVe2uqGojVdecspADZDOLX2Xz2BDNQi5AjtUjTfb/maVfD4/6u/Gh W/2g6E8LjESdtvmo8YIFDNp2X1QFNSR7p0Kyx9q0/iWkgY6B06eRU3Z0iMLHbL5ezeYZRhR0WRIv A+cRyU+P6d66T0wFQ+TwYF1fkgpugdAKSdKC1xLKV7cCqvMuQjHqULbM1ml2KuEIm53BGgSQVTbU eQQlE9AQ4WWL8wk4RhcspmegRQw/tMiy+eK1a6BiksZfgIsz4MV8l2ewC9HBFI5OB94u57uegAN7 05yhcrtTbUhzKhc9yqFecEPED3+Zhh7Ryvre8NWDBihnng6wATBf3Rd0doaG+nj0fIruXw1uDEy2 n+kSWIKhLoEFmOoS8oSxLtc96Zo4H6F35K+ogw4cmgY1Be47w2tbdWClCjj3qpPB64tWyClqtHXq esD2CLh4hyHTMQgf/6TXpbrnQoRmF9KHts6SngSrBK+80gdkzW57Kww6EMg2yebLNHQUGDuDtdzB HhW8LfDK994wFg0j1UdZBS+OcNHfQ5zDmPvJ9tvS5ltVPcGUG9UvSVjqcGmU+Y1RBwuywPbXnhiG kfgsYQOtZ2nqN2oQ0myZgGCmmu1UQyQFUwV2GLrDX28dSPBkrw3fNeBpFhpAqg+wXWrut0BYQ31U gwBLMHA6LGy/ZadyQL38rWyeAQAA//8DAFBLAwQUAAYACAAAACEAlHynZ90AAAAHAQAADwAAAGRy cy9kb3ducmV2LnhtbEyPQU+EMBSE7yb+h+aZeHMLDYsEKRtiNN5MXIyRW5d2gZW+Elp28d/7POlx MpOZb4rdakd2NrMfHEqINxEwg63TA3YS3uvnuwyYDwq1Gh0aCd/Gw668vipUrt0F38x5HzpGJehz JaEPYco5921vrPIbNxkk7+hmqwLJueN6VhcqtyMXUZRyqwakhV5N5rE37dd+sRL0/cvT61J/iM/m VIsmFVWDWSXl7c1aPQALZg1/YfjFJ3QoiengFtSejaTpSZCQJAkwsrNtHAM7SNiKFHhZ8P/85Q8A AAD//wMAUEsBAi0AFAAGAAgAAAAhALaDOJL+AAAA4QEAABMAAAAAAAAAAAAAAAAAAAAAAFtDb250 ZW50X1R5cGVzXS54bWxQSwECLQAUAAYACAAAACEAOP0h/9YAAACUAQAACwAAAAAAAAAAAAAAAAAv AQAAX3JlbHMvLnJlbHNQSwECLQAUAAYACAAAACEAp5nap94CAACeBgAADgAAAAAAAAAAAAAAAAAu AgAAZHJzL2Uyb0RvYy54bWxQSwECLQAUAAYACAAAACEAlHynZ90AAAAHAQAADwAAAAAAAAAAAAAA AAA4BQAAZHJzL2Rvd25yZXYueG1sUEsFBgAAAAAEAAQA8wAAAEIGAAAAAA== " path="m,l5759450,e" filled="f" strokecolor="#253746">
              <v:stroke joinstyle="miter"/>
              <v:path arrowok="t" o:connecttype="custom" o:connectlocs="0,0;5059487,0" o:connectangles="0,0" textboxrect="0,0,5759450,45085"/>
              <w10:wrap type="square"/>
            </v:shape>
          </w:pict>
        </mc:Fallback>
      </mc:AlternateContent>
    </w:r>
    <w:bookmarkEnd w:id="59"/>
    <w:bookmarkEnd w:id="60"/>
    <w:r w:rsidRPr="004523D0">
      <w:rPr>
        <w:noProof/>
        <w:sz w:val="20"/>
        <w:szCs w:val="20"/>
      </w:rPr>
      <w:t xml:space="preserve">I Plan de </w:t>
    </w:r>
    <w:r>
      <w:rPr>
        <w:noProof/>
        <w:sz w:val="20"/>
        <w:szCs w:val="20"/>
      </w:rPr>
      <w:t>I</w:t>
    </w:r>
    <w:r w:rsidRPr="00BA5D36">
      <w:rPr>
        <w:noProof/>
        <w:sz w:val="20"/>
        <w:szCs w:val="20"/>
      </w:rPr>
      <w:t>gualdad</w:t>
    </w:r>
    <w:r>
      <w:rPr>
        <w:noProof/>
        <w:sz w:val="20"/>
        <w:szCs w:val="20"/>
      </w:rPr>
      <w:t xml:space="preserve"> entre mujeres y hombres de la Administración General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F1BD2" w14:textId="32A88F84" w:rsidR="00406794" w:rsidRDefault="004067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1C0"/>
    <w:multiLevelType w:val="hybridMultilevel"/>
    <w:tmpl w:val="C1AA0FDE"/>
    <w:lvl w:ilvl="0" w:tplc="E8AA57D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B9E2100"/>
    <w:multiLevelType w:val="hybridMultilevel"/>
    <w:tmpl w:val="90467AD0"/>
    <w:lvl w:ilvl="0" w:tplc="060E9062">
      <w:numFmt w:val="bullet"/>
      <w:lvlText w:val="-"/>
      <w:lvlJc w:val="left"/>
      <w:pPr>
        <w:ind w:left="457" w:hanging="360"/>
      </w:pPr>
      <w:rPr>
        <w:rFonts w:ascii="Arial" w:eastAsiaTheme="minorHAnsi" w:hAnsi="Arial" w:cs="Arial" w:hint="default"/>
      </w:rPr>
    </w:lvl>
    <w:lvl w:ilvl="1" w:tplc="0C0A0003" w:tentative="1">
      <w:start w:val="1"/>
      <w:numFmt w:val="bullet"/>
      <w:lvlText w:val="o"/>
      <w:lvlJc w:val="left"/>
      <w:pPr>
        <w:ind w:left="1177" w:hanging="360"/>
      </w:pPr>
      <w:rPr>
        <w:rFonts w:ascii="Courier New" w:hAnsi="Courier New" w:cs="Courier New" w:hint="default"/>
      </w:rPr>
    </w:lvl>
    <w:lvl w:ilvl="2" w:tplc="0C0A0005" w:tentative="1">
      <w:start w:val="1"/>
      <w:numFmt w:val="bullet"/>
      <w:lvlText w:val=""/>
      <w:lvlJc w:val="left"/>
      <w:pPr>
        <w:ind w:left="1897" w:hanging="360"/>
      </w:pPr>
      <w:rPr>
        <w:rFonts w:ascii="Wingdings" w:hAnsi="Wingdings" w:hint="default"/>
      </w:rPr>
    </w:lvl>
    <w:lvl w:ilvl="3" w:tplc="0C0A0001" w:tentative="1">
      <w:start w:val="1"/>
      <w:numFmt w:val="bullet"/>
      <w:lvlText w:val=""/>
      <w:lvlJc w:val="left"/>
      <w:pPr>
        <w:ind w:left="2617" w:hanging="360"/>
      </w:pPr>
      <w:rPr>
        <w:rFonts w:ascii="Symbol" w:hAnsi="Symbol" w:hint="default"/>
      </w:rPr>
    </w:lvl>
    <w:lvl w:ilvl="4" w:tplc="0C0A0003" w:tentative="1">
      <w:start w:val="1"/>
      <w:numFmt w:val="bullet"/>
      <w:lvlText w:val="o"/>
      <w:lvlJc w:val="left"/>
      <w:pPr>
        <w:ind w:left="3337" w:hanging="360"/>
      </w:pPr>
      <w:rPr>
        <w:rFonts w:ascii="Courier New" w:hAnsi="Courier New" w:cs="Courier New" w:hint="default"/>
      </w:rPr>
    </w:lvl>
    <w:lvl w:ilvl="5" w:tplc="0C0A0005" w:tentative="1">
      <w:start w:val="1"/>
      <w:numFmt w:val="bullet"/>
      <w:lvlText w:val=""/>
      <w:lvlJc w:val="left"/>
      <w:pPr>
        <w:ind w:left="4057" w:hanging="360"/>
      </w:pPr>
      <w:rPr>
        <w:rFonts w:ascii="Wingdings" w:hAnsi="Wingdings" w:hint="default"/>
      </w:rPr>
    </w:lvl>
    <w:lvl w:ilvl="6" w:tplc="0C0A0001" w:tentative="1">
      <w:start w:val="1"/>
      <w:numFmt w:val="bullet"/>
      <w:lvlText w:val=""/>
      <w:lvlJc w:val="left"/>
      <w:pPr>
        <w:ind w:left="4777" w:hanging="360"/>
      </w:pPr>
      <w:rPr>
        <w:rFonts w:ascii="Symbol" w:hAnsi="Symbol" w:hint="default"/>
      </w:rPr>
    </w:lvl>
    <w:lvl w:ilvl="7" w:tplc="0C0A0003" w:tentative="1">
      <w:start w:val="1"/>
      <w:numFmt w:val="bullet"/>
      <w:lvlText w:val="o"/>
      <w:lvlJc w:val="left"/>
      <w:pPr>
        <w:ind w:left="5497" w:hanging="360"/>
      </w:pPr>
      <w:rPr>
        <w:rFonts w:ascii="Courier New" w:hAnsi="Courier New" w:cs="Courier New" w:hint="default"/>
      </w:rPr>
    </w:lvl>
    <w:lvl w:ilvl="8" w:tplc="0C0A0005" w:tentative="1">
      <w:start w:val="1"/>
      <w:numFmt w:val="bullet"/>
      <w:lvlText w:val=""/>
      <w:lvlJc w:val="left"/>
      <w:pPr>
        <w:ind w:left="6217" w:hanging="360"/>
      </w:pPr>
      <w:rPr>
        <w:rFonts w:ascii="Wingdings" w:hAnsi="Wingdings" w:hint="default"/>
      </w:rPr>
    </w:lvl>
  </w:abstractNum>
  <w:abstractNum w:abstractNumId="2">
    <w:nsid w:val="1F0C346F"/>
    <w:multiLevelType w:val="hybridMultilevel"/>
    <w:tmpl w:val="948EA116"/>
    <w:lvl w:ilvl="0" w:tplc="71F417D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8ED6276"/>
    <w:multiLevelType w:val="hybridMultilevel"/>
    <w:tmpl w:val="484E6008"/>
    <w:lvl w:ilvl="0" w:tplc="124EA66A">
      <w:start w:val="1"/>
      <w:numFmt w:val="bullet"/>
      <w:lvlText w:val="-"/>
      <w:lvlJc w:val="left"/>
      <w:pPr>
        <w:ind w:left="720" w:hanging="360"/>
      </w:pPr>
      <w:rPr>
        <w:rFonts w:ascii="Helvetica light" w:eastAsiaTheme="minorHAnsi" w:hAnsi="Helvetica ligh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0B1379D"/>
    <w:multiLevelType w:val="hybridMultilevel"/>
    <w:tmpl w:val="A2AAC06C"/>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7864EA4"/>
    <w:multiLevelType w:val="hybridMultilevel"/>
    <w:tmpl w:val="34DC6920"/>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6F56072D"/>
    <w:multiLevelType w:val="hybridMultilevel"/>
    <w:tmpl w:val="651C5A9E"/>
    <w:lvl w:ilvl="0" w:tplc="F416905C">
      <w:start w:val="1"/>
      <w:numFmt w:val="bullet"/>
      <w:pStyle w:val="Prrafodelis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54B04E9"/>
    <w:multiLevelType w:val="hybridMultilevel"/>
    <w:tmpl w:val="07D2461C"/>
    <w:lvl w:ilvl="0" w:tplc="275C7EA0">
      <w:numFmt w:val="bullet"/>
      <w:lvlText w:val="-"/>
      <w:lvlJc w:val="left"/>
      <w:pPr>
        <w:ind w:left="720" w:hanging="360"/>
      </w:pPr>
      <w:rPr>
        <w:rFonts w:ascii="Helvetica" w:eastAsia="Times New Roman"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7"/>
  </w:num>
  <w:num w:numId="6">
    <w:abstractNumId w:val="3"/>
  </w:num>
  <w:num w:numId="7">
    <w:abstractNumId w:val="6"/>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F86"/>
    <w:rsid w:val="00000684"/>
    <w:rsid w:val="00000C4F"/>
    <w:rsid w:val="00001287"/>
    <w:rsid w:val="00001408"/>
    <w:rsid w:val="00001B17"/>
    <w:rsid w:val="00002188"/>
    <w:rsid w:val="000030BC"/>
    <w:rsid w:val="00003B0D"/>
    <w:rsid w:val="000050C8"/>
    <w:rsid w:val="00007385"/>
    <w:rsid w:val="00007481"/>
    <w:rsid w:val="00010F61"/>
    <w:rsid w:val="000117C4"/>
    <w:rsid w:val="00011DF0"/>
    <w:rsid w:val="00012476"/>
    <w:rsid w:val="00012D61"/>
    <w:rsid w:val="00012E11"/>
    <w:rsid w:val="0001599F"/>
    <w:rsid w:val="00015A18"/>
    <w:rsid w:val="000167F3"/>
    <w:rsid w:val="000177A4"/>
    <w:rsid w:val="00017D42"/>
    <w:rsid w:val="0002069A"/>
    <w:rsid w:val="00020EF2"/>
    <w:rsid w:val="0002186A"/>
    <w:rsid w:val="000218A8"/>
    <w:rsid w:val="00021AF6"/>
    <w:rsid w:val="00022236"/>
    <w:rsid w:val="0002295F"/>
    <w:rsid w:val="00022DCF"/>
    <w:rsid w:val="000243E9"/>
    <w:rsid w:val="00024487"/>
    <w:rsid w:val="00024B4E"/>
    <w:rsid w:val="000251D2"/>
    <w:rsid w:val="00025DE2"/>
    <w:rsid w:val="00027311"/>
    <w:rsid w:val="000327E1"/>
    <w:rsid w:val="000329EC"/>
    <w:rsid w:val="000330B2"/>
    <w:rsid w:val="00034823"/>
    <w:rsid w:val="0003668D"/>
    <w:rsid w:val="000367E1"/>
    <w:rsid w:val="000372B6"/>
    <w:rsid w:val="000379C7"/>
    <w:rsid w:val="00040AC9"/>
    <w:rsid w:val="00042EAB"/>
    <w:rsid w:val="0004337C"/>
    <w:rsid w:val="00046A29"/>
    <w:rsid w:val="00047C6E"/>
    <w:rsid w:val="000524E1"/>
    <w:rsid w:val="000525A1"/>
    <w:rsid w:val="000530AD"/>
    <w:rsid w:val="00053275"/>
    <w:rsid w:val="00053BC5"/>
    <w:rsid w:val="00053CD6"/>
    <w:rsid w:val="00054331"/>
    <w:rsid w:val="000548A4"/>
    <w:rsid w:val="000549BD"/>
    <w:rsid w:val="00056A3E"/>
    <w:rsid w:val="000608F7"/>
    <w:rsid w:val="00061369"/>
    <w:rsid w:val="000627FC"/>
    <w:rsid w:val="0006336F"/>
    <w:rsid w:val="00064B72"/>
    <w:rsid w:val="000657B2"/>
    <w:rsid w:val="00065E10"/>
    <w:rsid w:val="00066B8A"/>
    <w:rsid w:val="0007025C"/>
    <w:rsid w:val="00070896"/>
    <w:rsid w:val="00072096"/>
    <w:rsid w:val="000738F2"/>
    <w:rsid w:val="00075D60"/>
    <w:rsid w:val="0007659F"/>
    <w:rsid w:val="000776F6"/>
    <w:rsid w:val="00081FFD"/>
    <w:rsid w:val="00082020"/>
    <w:rsid w:val="000828F0"/>
    <w:rsid w:val="00082976"/>
    <w:rsid w:val="00083384"/>
    <w:rsid w:val="000852EA"/>
    <w:rsid w:val="000861F1"/>
    <w:rsid w:val="000863BC"/>
    <w:rsid w:val="0008682E"/>
    <w:rsid w:val="00087078"/>
    <w:rsid w:val="000870E3"/>
    <w:rsid w:val="0009042A"/>
    <w:rsid w:val="00090D3D"/>
    <w:rsid w:val="00091737"/>
    <w:rsid w:val="00092539"/>
    <w:rsid w:val="00095567"/>
    <w:rsid w:val="00095F97"/>
    <w:rsid w:val="00096A5B"/>
    <w:rsid w:val="000976FE"/>
    <w:rsid w:val="000A0ABE"/>
    <w:rsid w:val="000A1D8A"/>
    <w:rsid w:val="000A25DD"/>
    <w:rsid w:val="000A4626"/>
    <w:rsid w:val="000A4913"/>
    <w:rsid w:val="000A6E10"/>
    <w:rsid w:val="000A700A"/>
    <w:rsid w:val="000A7F4A"/>
    <w:rsid w:val="000A7FC9"/>
    <w:rsid w:val="000B056A"/>
    <w:rsid w:val="000B185D"/>
    <w:rsid w:val="000B1CEE"/>
    <w:rsid w:val="000B24A4"/>
    <w:rsid w:val="000B29B0"/>
    <w:rsid w:val="000B2B36"/>
    <w:rsid w:val="000B420F"/>
    <w:rsid w:val="000B46AC"/>
    <w:rsid w:val="000B5EED"/>
    <w:rsid w:val="000B7E21"/>
    <w:rsid w:val="000C0B93"/>
    <w:rsid w:val="000C0DBF"/>
    <w:rsid w:val="000C1316"/>
    <w:rsid w:val="000C1CE8"/>
    <w:rsid w:val="000C1CF7"/>
    <w:rsid w:val="000C2649"/>
    <w:rsid w:val="000C31FF"/>
    <w:rsid w:val="000C3380"/>
    <w:rsid w:val="000C4453"/>
    <w:rsid w:val="000C4A8C"/>
    <w:rsid w:val="000C5807"/>
    <w:rsid w:val="000C601C"/>
    <w:rsid w:val="000C6765"/>
    <w:rsid w:val="000C6C18"/>
    <w:rsid w:val="000C77DE"/>
    <w:rsid w:val="000D1ACC"/>
    <w:rsid w:val="000D3A28"/>
    <w:rsid w:val="000D3E40"/>
    <w:rsid w:val="000D4D46"/>
    <w:rsid w:val="000D7C6F"/>
    <w:rsid w:val="000D7FD8"/>
    <w:rsid w:val="000E005B"/>
    <w:rsid w:val="000E0DC5"/>
    <w:rsid w:val="000E1CFD"/>
    <w:rsid w:val="000E1F2A"/>
    <w:rsid w:val="000E2605"/>
    <w:rsid w:val="000E271D"/>
    <w:rsid w:val="000E2B01"/>
    <w:rsid w:val="000E3082"/>
    <w:rsid w:val="000E3988"/>
    <w:rsid w:val="000E39DB"/>
    <w:rsid w:val="000E3D32"/>
    <w:rsid w:val="000E3FB7"/>
    <w:rsid w:val="000E514B"/>
    <w:rsid w:val="000E69B0"/>
    <w:rsid w:val="000E78B5"/>
    <w:rsid w:val="000F079E"/>
    <w:rsid w:val="000F0852"/>
    <w:rsid w:val="000F1929"/>
    <w:rsid w:val="000F2C23"/>
    <w:rsid w:val="000F3378"/>
    <w:rsid w:val="000F376F"/>
    <w:rsid w:val="000F39B8"/>
    <w:rsid w:val="000F4CC1"/>
    <w:rsid w:val="000F5D47"/>
    <w:rsid w:val="000F5FEA"/>
    <w:rsid w:val="000F6684"/>
    <w:rsid w:val="000F67EA"/>
    <w:rsid w:val="000F6A96"/>
    <w:rsid w:val="000F6F88"/>
    <w:rsid w:val="000F7F74"/>
    <w:rsid w:val="00100545"/>
    <w:rsid w:val="00100742"/>
    <w:rsid w:val="001039BD"/>
    <w:rsid w:val="00104633"/>
    <w:rsid w:val="00104B70"/>
    <w:rsid w:val="00105732"/>
    <w:rsid w:val="00105AFD"/>
    <w:rsid w:val="00106376"/>
    <w:rsid w:val="00106E59"/>
    <w:rsid w:val="00110CD8"/>
    <w:rsid w:val="001113DB"/>
    <w:rsid w:val="001118E8"/>
    <w:rsid w:val="00111DC0"/>
    <w:rsid w:val="00112231"/>
    <w:rsid w:val="001145FA"/>
    <w:rsid w:val="00114FF6"/>
    <w:rsid w:val="00117CCC"/>
    <w:rsid w:val="001205B7"/>
    <w:rsid w:val="001224A2"/>
    <w:rsid w:val="001236C0"/>
    <w:rsid w:val="00123888"/>
    <w:rsid w:val="00123972"/>
    <w:rsid w:val="00123E82"/>
    <w:rsid w:val="00124A76"/>
    <w:rsid w:val="00124CFD"/>
    <w:rsid w:val="00127C92"/>
    <w:rsid w:val="00127C96"/>
    <w:rsid w:val="001302BC"/>
    <w:rsid w:val="001306EE"/>
    <w:rsid w:val="00131DBA"/>
    <w:rsid w:val="00132238"/>
    <w:rsid w:val="00132943"/>
    <w:rsid w:val="00132C85"/>
    <w:rsid w:val="00132E78"/>
    <w:rsid w:val="00134591"/>
    <w:rsid w:val="00134A80"/>
    <w:rsid w:val="00134E7C"/>
    <w:rsid w:val="00137678"/>
    <w:rsid w:val="00137F99"/>
    <w:rsid w:val="001408D3"/>
    <w:rsid w:val="00140AF8"/>
    <w:rsid w:val="00140E43"/>
    <w:rsid w:val="0014160C"/>
    <w:rsid w:val="0014249D"/>
    <w:rsid w:val="001426DE"/>
    <w:rsid w:val="00143270"/>
    <w:rsid w:val="001447F3"/>
    <w:rsid w:val="001468E9"/>
    <w:rsid w:val="00146B21"/>
    <w:rsid w:val="00147E66"/>
    <w:rsid w:val="0015085A"/>
    <w:rsid w:val="001516D7"/>
    <w:rsid w:val="00153F38"/>
    <w:rsid w:val="001547EF"/>
    <w:rsid w:val="00154B22"/>
    <w:rsid w:val="00154ED9"/>
    <w:rsid w:val="00155408"/>
    <w:rsid w:val="0015635D"/>
    <w:rsid w:val="00156EF1"/>
    <w:rsid w:val="001574B1"/>
    <w:rsid w:val="001601ED"/>
    <w:rsid w:val="00160C81"/>
    <w:rsid w:val="001626F9"/>
    <w:rsid w:val="00162A46"/>
    <w:rsid w:val="001632C2"/>
    <w:rsid w:val="00163371"/>
    <w:rsid w:val="001639EA"/>
    <w:rsid w:val="001649DF"/>
    <w:rsid w:val="00165DEF"/>
    <w:rsid w:val="001673BD"/>
    <w:rsid w:val="001677C1"/>
    <w:rsid w:val="001679CE"/>
    <w:rsid w:val="00167C53"/>
    <w:rsid w:val="00170636"/>
    <w:rsid w:val="00171EA2"/>
    <w:rsid w:val="001721AA"/>
    <w:rsid w:val="00172FAF"/>
    <w:rsid w:val="00173B22"/>
    <w:rsid w:val="0017525F"/>
    <w:rsid w:val="00175E46"/>
    <w:rsid w:val="00176B63"/>
    <w:rsid w:val="0017750A"/>
    <w:rsid w:val="0017789F"/>
    <w:rsid w:val="00177B5A"/>
    <w:rsid w:val="00177C52"/>
    <w:rsid w:val="001802B3"/>
    <w:rsid w:val="00181F15"/>
    <w:rsid w:val="00182019"/>
    <w:rsid w:val="00182377"/>
    <w:rsid w:val="001829F7"/>
    <w:rsid w:val="00183866"/>
    <w:rsid w:val="00184244"/>
    <w:rsid w:val="001868BB"/>
    <w:rsid w:val="00191207"/>
    <w:rsid w:val="001912F0"/>
    <w:rsid w:val="001929ED"/>
    <w:rsid w:val="00193511"/>
    <w:rsid w:val="001937AD"/>
    <w:rsid w:val="001940A9"/>
    <w:rsid w:val="00194389"/>
    <w:rsid w:val="00195518"/>
    <w:rsid w:val="001959FE"/>
    <w:rsid w:val="00195BEB"/>
    <w:rsid w:val="0019623C"/>
    <w:rsid w:val="00196555"/>
    <w:rsid w:val="001A12AC"/>
    <w:rsid w:val="001A16ED"/>
    <w:rsid w:val="001A17FD"/>
    <w:rsid w:val="001A2476"/>
    <w:rsid w:val="001A282F"/>
    <w:rsid w:val="001A3242"/>
    <w:rsid w:val="001A47F3"/>
    <w:rsid w:val="001A565F"/>
    <w:rsid w:val="001A6201"/>
    <w:rsid w:val="001A7920"/>
    <w:rsid w:val="001A79D4"/>
    <w:rsid w:val="001B0093"/>
    <w:rsid w:val="001B0747"/>
    <w:rsid w:val="001B32C0"/>
    <w:rsid w:val="001B4920"/>
    <w:rsid w:val="001B564E"/>
    <w:rsid w:val="001B5CC1"/>
    <w:rsid w:val="001B6085"/>
    <w:rsid w:val="001B625B"/>
    <w:rsid w:val="001B6D3B"/>
    <w:rsid w:val="001C1E84"/>
    <w:rsid w:val="001C27E6"/>
    <w:rsid w:val="001C28EB"/>
    <w:rsid w:val="001C5785"/>
    <w:rsid w:val="001C7CF2"/>
    <w:rsid w:val="001D0EE8"/>
    <w:rsid w:val="001D1017"/>
    <w:rsid w:val="001D1735"/>
    <w:rsid w:val="001D20F8"/>
    <w:rsid w:val="001D21E9"/>
    <w:rsid w:val="001D3F3F"/>
    <w:rsid w:val="001D4301"/>
    <w:rsid w:val="001D4369"/>
    <w:rsid w:val="001D46EC"/>
    <w:rsid w:val="001D7E48"/>
    <w:rsid w:val="001E1A18"/>
    <w:rsid w:val="001E2444"/>
    <w:rsid w:val="001E273B"/>
    <w:rsid w:val="001E2FB8"/>
    <w:rsid w:val="001E3024"/>
    <w:rsid w:val="001E34C1"/>
    <w:rsid w:val="001E651C"/>
    <w:rsid w:val="001E6AC6"/>
    <w:rsid w:val="001E717E"/>
    <w:rsid w:val="001E7A80"/>
    <w:rsid w:val="001F0477"/>
    <w:rsid w:val="001F1132"/>
    <w:rsid w:val="001F15C5"/>
    <w:rsid w:val="001F1722"/>
    <w:rsid w:val="001F1E0E"/>
    <w:rsid w:val="001F1F20"/>
    <w:rsid w:val="001F2200"/>
    <w:rsid w:val="001F2A49"/>
    <w:rsid w:val="001F32FA"/>
    <w:rsid w:val="001F4F86"/>
    <w:rsid w:val="001F52D0"/>
    <w:rsid w:val="001F5FD2"/>
    <w:rsid w:val="001F6899"/>
    <w:rsid w:val="001F6D3D"/>
    <w:rsid w:val="001F6F15"/>
    <w:rsid w:val="001F7092"/>
    <w:rsid w:val="001F7269"/>
    <w:rsid w:val="001F7A12"/>
    <w:rsid w:val="002010BA"/>
    <w:rsid w:val="002015CF"/>
    <w:rsid w:val="002020AC"/>
    <w:rsid w:val="00202153"/>
    <w:rsid w:val="00202F70"/>
    <w:rsid w:val="002036F9"/>
    <w:rsid w:val="00204723"/>
    <w:rsid w:val="00204E57"/>
    <w:rsid w:val="00205252"/>
    <w:rsid w:val="0020588B"/>
    <w:rsid w:val="00205F2C"/>
    <w:rsid w:val="0020609B"/>
    <w:rsid w:val="0020712F"/>
    <w:rsid w:val="002072E0"/>
    <w:rsid w:val="0020741E"/>
    <w:rsid w:val="0020763D"/>
    <w:rsid w:val="0021002C"/>
    <w:rsid w:val="002107ED"/>
    <w:rsid w:val="00210B83"/>
    <w:rsid w:val="0021299B"/>
    <w:rsid w:val="00212B2F"/>
    <w:rsid w:val="00213892"/>
    <w:rsid w:val="00214120"/>
    <w:rsid w:val="00214423"/>
    <w:rsid w:val="00214631"/>
    <w:rsid w:val="00214BFF"/>
    <w:rsid w:val="00214C00"/>
    <w:rsid w:val="00214C64"/>
    <w:rsid w:val="00214CD5"/>
    <w:rsid w:val="00215823"/>
    <w:rsid w:val="00216954"/>
    <w:rsid w:val="00216EB6"/>
    <w:rsid w:val="00220412"/>
    <w:rsid w:val="002206A4"/>
    <w:rsid w:val="00220AA3"/>
    <w:rsid w:val="00220CCC"/>
    <w:rsid w:val="00221458"/>
    <w:rsid w:val="00221865"/>
    <w:rsid w:val="0022286A"/>
    <w:rsid w:val="00222B69"/>
    <w:rsid w:val="00223697"/>
    <w:rsid w:val="0022391B"/>
    <w:rsid w:val="0022659F"/>
    <w:rsid w:val="00226AA0"/>
    <w:rsid w:val="0022705E"/>
    <w:rsid w:val="00227532"/>
    <w:rsid w:val="00230902"/>
    <w:rsid w:val="00232531"/>
    <w:rsid w:val="0023368F"/>
    <w:rsid w:val="00234421"/>
    <w:rsid w:val="00234B46"/>
    <w:rsid w:val="00235633"/>
    <w:rsid w:val="00236A29"/>
    <w:rsid w:val="0024182C"/>
    <w:rsid w:val="00241D44"/>
    <w:rsid w:val="00242227"/>
    <w:rsid w:val="00242931"/>
    <w:rsid w:val="00242DEB"/>
    <w:rsid w:val="00243CC1"/>
    <w:rsid w:val="00243D9E"/>
    <w:rsid w:val="002475E1"/>
    <w:rsid w:val="00250229"/>
    <w:rsid w:val="00250768"/>
    <w:rsid w:val="002507D8"/>
    <w:rsid w:val="00250D91"/>
    <w:rsid w:val="0025138E"/>
    <w:rsid w:val="0025205A"/>
    <w:rsid w:val="002533B2"/>
    <w:rsid w:val="0025600D"/>
    <w:rsid w:val="002563FC"/>
    <w:rsid w:val="00256B1E"/>
    <w:rsid w:val="00256B83"/>
    <w:rsid w:val="00260D6E"/>
    <w:rsid w:val="00262620"/>
    <w:rsid w:val="002638A1"/>
    <w:rsid w:val="00263C5F"/>
    <w:rsid w:val="00263C96"/>
    <w:rsid w:val="00264C3E"/>
    <w:rsid w:val="00265097"/>
    <w:rsid w:val="002662B1"/>
    <w:rsid w:val="002675C8"/>
    <w:rsid w:val="00267B3B"/>
    <w:rsid w:val="00267DE1"/>
    <w:rsid w:val="002703C8"/>
    <w:rsid w:val="00270CA2"/>
    <w:rsid w:val="00271B44"/>
    <w:rsid w:val="00272546"/>
    <w:rsid w:val="00272C57"/>
    <w:rsid w:val="00273B77"/>
    <w:rsid w:val="00274E76"/>
    <w:rsid w:val="002753F5"/>
    <w:rsid w:val="00276450"/>
    <w:rsid w:val="00277E4F"/>
    <w:rsid w:val="00281893"/>
    <w:rsid w:val="00282F8A"/>
    <w:rsid w:val="0028484C"/>
    <w:rsid w:val="0028570C"/>
    <w:rsid w:val="00286244"/>
    <w:rsid w:val="002905F3"/>
    <w:rsid w:val="0029171D"/>
    <w:rsid w:val="00293A10"/>
    <w:rsid w:val="00294107"/>
    <w:rsid w:val="00294EEF"/>
    <w:rsid w:val="00295262"/>
    <w:rsid w:val="00295A1E"/>
    <w:rsid w:val="00295D7C"/>
    <w:rsid w:val="00297018"/>
    <w:rsid w:val="002974DF"/>
    <w:rsid w:val="00297EEB"/>
    <w:rsid w:val="002A1B41"/>
    <w:rsid w:val="002A27BD"/>
    <w:rsid w:val="002A28F6"/>
    <w:rsid w:val="002A2C22"/>
    <w:rsid w:val="002A3F50"/>
    <w:rsid w:val="002A429A"/>
    <w:rsid w:val="002A47E6"/>
    <w:rsid w:val="002A4FBE"/>
    <w:rsid w:val="002A6051"/>
    <w:rsid w:val="002A61A4"/>
    <w:rsid w:val="002B150E"/>
    <w:rsid w:val="002B1C74"/>
    <w:rsid w:val="002B2F7A"/>
    <w:rsid w:val="002B332E"/>
    <w:rsid w:val="002B45FC"/>
    <w:rsid w:val="002B4F24"/>
    <w:rsid w:val="002B5D28"/>
    <w:rsid w:val="002B5FA2"/>
    <w:rsid w:val="002B6796"/>
    <w:rsid w:val="002B7968"/>
    <w:rsid w:val="002B7D11"/>
    <w:rsid w:val="002C0B2C"/>
    <w:rsid w:val="002C14BB"/>
    <w:rsid w:val="002C23AB"/>
    <w:rsid w:val="002C26C3"/>
    <w:rsid w:val="002C2B98"/>
    <w:rsid w:val="002C3C2E"/>
    <w:rsid w:val="002C4E0D"/>
    <w:rsid w:val="002C5E9B"/>
    <w:rsid w:val="002C6925"/>
    <w:rsid w:val="002C7865"/>
    <w:rsid w:val="002D0766"/>
    <w:rsid w:val="002D0887"/>
    <w:rsid w:val="002D08E8"/>
    <w:rsid w:val="002D0D8C"/>
    <w:rsid w:val="002D1072"/>
    <w:rsid w:val="002D1D33"/>
    <w:rsid w:val="002D2344"/>
    <w:rsid w:val="002D2B46"/>
    <w:rsid w:val="002D3511"/>
    <w:rsid w:val="002D3833"/>
    <w:rsid w:val="002D4DC0"/>
    <w:rsid w:val="002D53BA"/>
    <w:rsid w:val="002D6305"/>
    <w:rsid w:val="002D6D6D"/>
    <w:rsid w:val="002D6E43"/>
    <w:rsid w:val="002D7A0D"/>
    <w:rsid w:val="002E104A"/>
    <w:rsid w:val="002E26F9"/>
    <w:rsid w:val="002E48BE"/>
    <w:rsid w:val="002E5875"/>
    <w:rsid w:val="002E641F"/>
    <w:rsid w:val="002E742A"/>
    <w:rsid w:val="002E765F"/>
    <w:rsid w:val="002F10DF"/>
    <w:rsid w:val="002F526E"/>
    <w:rsid w:val="002F5507"/>
    <w:rsid w:val="002F62DA"/>
    <w:rsid w:val="002F62FD"/>
    <w:rsid w:val="002F63F9"/>
    <w:rsid w:val="002F73ED"/>
    <w:rsid w:val="002F7442"/>
    <w:rsid w:val="00302B31"/>
    <w:rsid w:val="00303224"/>
    <w:rsid w:val="003036E8"/>
    <w:rsid w:val="0030447D"/>
    <w:rsid w:val="00304BD3"/>
    <w:rsid w:val="003055C9"/>
    <w:rsid w:val="0030598C"/>
    <w:rsid w:val="00306D34"/>
    <w:rsid w:val="003070B4"/>
    <w:rsid w:val="00310185"/>
    <w:rsid w:val="003103BB"/>
    <w:rsid w:val="003131C1"/>
    <w:rsid w:val="00313F3C"/>
    <w:rsid w:val="00314792"/>
    <w:rsid w:val="00314AB7"/>
    <w:rsid w:val="00315B85"/>
    <w:rsid w:val="00316D5B"/>
    <w:rsid w:val="00317E6D"/>
    <w:rsid w:val="00320093"/>
    <w:rsid w:val="00321048"/>
    <w:rsid w:val="00321116"/>
    <w:rsid w:val="00322088"/>
    <w:rsid w:val="003221F2"/>
    <w:rsid w:val="0032257C"/>
    <w:rsid w:val="003228CF"/>
    <w:rsid w:val="00322E64"/>
    <w:rsid w:val="00323308"/>
    <w:rsid w:val="003235A8"/>
    <w:rsid w:val="00324706"/>
    <w:rsid w:val="003247F2"/>
    <w:rsid w:val="00324DFF"/>
    <w:rsid w:val="003252C1"/>
    <w:rsid w:val="00325A51"/>
    <w:rsid w:val="00325F0C"/>
    <w:rsid w:val="00326019"/>
    <w:rsid w:val="003267D0"/>
    <w:rsid w:val="0032742C"/>
    <w:rsid w:val="00330340"/>
    <w:rsid w:val="00330397"/>
    <w:rsid w:val="0033089C"/>
    <w:rsid w:val="003314A1"/>
    <w:rsid w:val="00332514"/>
    <w:rsid w:val="00332DE1"/>
    <w:rsid w:val="003342A6"/>
    <w:rsid w:val="003364D7"/>
    <w:rsid w:val="00336C5A"/>
    <w:rsid w:val="003374F5"/>
    <w:rsid w:val="00337B75"/>
    <w:rsid w:val="0034022F"/>
    <w:rsid w:val="0034032B"/>
    <w:rsid w:val="0034055B"/>
    <w:rsid w:val="0034058F"/>
    <w:rsid w:val="00341A0F"/>
    <w:rsid w:val="00343648"/>
    <w:rsid w:val="00343906"/>
    <w:rsid w:val="00343DAB"/>
    <w:rsid w:val="003442C7"/>
    <w:rsid w:val="00345AEC"/>
    <w:rsid w:val="00346785"/>
    <w:rsid w:val="0034745A"/>
    <w:rsid w:val="00350BA5"/>
    <w:rsid w:val="00351578"/>
    <w:rsid w:val="003516F5"/>
    <w:rsid w:val="00351EA2"/>
    <w:rsid w:val="00353517"/>
    <w:rsid w:val="003537F2"/>
    <w:rsid w:val="00353959"/>
    <w:rsid w:val="00354E42"/>
    <w:rsid w:val="003552AB"/>
    <w:rsid w:val="00355755"/>
    <w:rsid w:val="003559E1"/>
    <w:rsid w:val="00355BEA"/>
    <w:rsid w:val="00356279"/>
    <w:rsid w:val="0035673B"/>
    <w:rsid w:val="00356DBB"/>
    <w:rsid w:val="003601D5"/>
    <w:rsid w:val="00361662"/>
    <w:rsid w:val="00362C38"/>
    <w:rsid w:val="00363838"/>
    <w:rsid w:val="00363DD5"/>
    <w:rsid w:val="00363E1B"/>
    <w:rsid w:val="00364B08"/>
    <w:rsid w:val="00364B0E"/>
    <w:rsid w:val="00364D55"/>
    <w:rsid w:val="00364D9B"/>
    <w:rsid w:val="003667C3"/>
    <w:rsid w:val="003706C3"/>
    <w:rsid w:val="0037113D"/>
    <w:rsid w:val="00371611"/>
    <w:rsid w:val="003723A2"/>
    <w:rsid w:val="0037244A"/>
    <w:rsid w:val="003725B2"/>
    <w:rsid w:val="00373FA8"/>
    <w:rsid w:val="00374A8F"/>
    <w:rsid w:val="00374D2A"/>
    <w:rsid w:val="00375B4B"/>
    <w:rsid w:val="00377143"/>
    <w:rsid w:val="00380398"/>
    <w:rsid w:val="00381A6D"/>
    <w:rsid w:val="00382106"/>
    <w:rsid w:val="00382AAF"/>
    <w:rsid w:val="00384EE8"/>
    <w:rsid w:val="0038508D"/>
    <w:rsid w:val="0038524E"/>
    <w:rsid w:val="00385867"/>
    <w:rsid w:val="003867D5"/>
    <w:rsid w:val="00386FA5"/>
    <w:rsid w:val="0039100D"/>
    <w:rsid w:val="003926CA"/>
    <w:rsid w:val="003936EF"/>
    <w:rsid w:val="00393E59"/>
    <w:rsid w:val="00395546"/>
    <w:rsid w:val="00395F1F"/>
    <w:rsid w:val="00396CC9"/>
    <w:rsid w:val="00396F9D"/>
    <w:rsid w:val="003979E1"/>
    <w:rsid w:val="003A0D4E"/>
    <w:rsid w:val="003A2443"/>
    <w:rsid w:val="003A24BE"/>
    <w:rsid w:val="003A3852"/>
    <w:rsid w:val="003A3F6F"/>
    <w:rsid w:val="003A4565"/>
    <w:rsid w:val="003A4EF8"/>
    <w:rsid w:val="003A7722"/>
    <w:rsid w:val="003A7AC4"/>
    <w:rsid w:val="003B0593"/>
    <w:rsid w:val="003B069E"/>
    <w:rsid w:val="003B0FCA"/>
    <w:rsid w:val="003B17BA"/>
    <w:rsid w:val="003B2499"/>
    <w:rsid w:val="003B2D19"/>
    <w:rsid w:val="003B2E60"/>
    <w:rsid w:val="003B31DE"/>
    <w:rsid w:val="003B3452"/>
    <w:rsid w:val="003B34FC"/>
    <w:rsid w:val="003B35EF"/>
    <w:rsid w:val="003B3D18"/>
    <w:rsid w:val="003C0944"/>
    <w:rsid w:val="003C175D"/>
    <w:rsid w:val="003C253E"/>
    <w:rsid w:val="003C387C"/>
    <w:rsid w:val="003C3DBC"/>
    <w:rsid w:val="003C53D6"/>
    <w:rsid w:val="003C6036"/>
    <w:rsid w:val="003C62E5"/>
    <w:rsid w:val="003C6391"/>
    <w:rsid w:val="003C6F6C"/>
    <w:rsid w:val="003C7EB7"/>
    <w:rsid w:val="003D04D0"/>
    <w:rsid w:val="003D1508"/>
    <w:rsid w:val="003D24AA"/>
    <w:rsid w:val="003D3AD6"/>
    <w:rsid w:val="003D3B62"/>
    <w:rsid w:val="003D46C6"/>
    <w:rsid w:val="003D47FC"/>
    <w:rsid w:val="003D530A"/>
    <w:rsid w:val="003D5DB6"/>
    <w:rsid w:val="003D68D6"/>
    <w:rsid w:val="003D7031"/>
    <w:rsid w:val="003D7FA8"/>
    <w:rsid w:val="003E03BC"/>
    <w:rsid w:val="003E16F6"/>
    <w:rsid w:val="003E1D29"/>
    <w:rsid w:val="003E22E2"/>
    <w:rsid w:val="003E39B4"/>
    <w:rsid w:val="003E4680"/>
    <w:rsid w:val="003E554A"/>
    <w:rsid w:val="003E55E5"/>
    <w:rsid w:val="003E5633"/>
    <w:rsid w:val="003E5B5F"/>
    <w:rsid w:val="003E5C07"/>
    <w:rsid w:val="003E5D53"/>
    <w:rsid w:val="003E5FFC"/>
    <w:rsid w:val="003E65D8"/>
    <w:rsid w:val="003E679A"/>
    <w:rsid w:val="003E6943"/>
    <w:rsid w:val="003E6D40"/>
    <w:rsid w:val="003E7E0A"/>
    <w:rsid w:val="003F1736"/>
    <w:rsid w:val="003F1919"/>
    <w:rsid w:val="003F24B8"/>
    <w:rsid w:val="003F2FA1"/>
    <w:rsid w:val="003F4EE2"/>
    <w:rsid w:val="003F5FED"/>
    <w:rsid w:val="00400796"/>
    <w:rsid w:val="00400D74"/>
    <w:rsid w:val="004010A2"/>
    <w:rsid w:val="004015DE"/>
    <w:rsid w:val="00401FDD"/>
    <w:rsid w:val="00403380"/>
    <w:rsid w:val="00403455"/>
    <w:rsid w:val="0040347C"/>
    <w:rsid w:val="0040433F"/>
    <w:rsid w:val="00404746"/>
    <w:rsid w:val="00405ECF"/>
    <w:rsid w:val="00406794"/>
    <w:rsid w:val="004067C4"/>
    <w:rsid w:val="00407706"/>
    <w:rsid w:val="00411D4B"/>
    <w:rsid w:val="004123EC"/>
    <w:rsid w:val="00412625"/>
    <w:rsid w:val="00412A6C"/>
    <w:rsid w:val="004160D1"/>
    <w:rsid w:val="004165BD"/>
    <w:rsid w:val="00417567"/>
    <w:rsid w:val="00417D14"/>
    <w:rsid w:val="00420357"/>
    <w:rsid w:val="00423665"/>
    <w:rsid w:val="00425BA2"/>
    <w:rsid w:val="00427985"/>
    <w:rsid w:val="00430236"/>
    <w:rsid w:val="0043219D"/>
    <w:rsid w:val="00433554"/>
    <w:rsid w:val="004349DE"/>
    <w:rsid w:val="004361AD"/>
    <w:rsid w:val="004365C6"/>
    <w:rsid w:val="00436B40"/>
    <w:rsid w:val="00436D90"/>
    <w:rsid w:val="0043763D"/>
    <w:rsid w:val="00437FC3"/>
    <w:rsid w:val="00440EF9"/>
    <w:rsid w:val="00441AB7"/>
    <w:rsid w:val="00441CA3"/>
    <w:rsid w:val="00441E09"/>
    <w:rsid w:val="00441FAD"/>
    <w:rsid w:val="0044221C"/>
    <w:rsid w:val="004426EF"/>
    <w:rsid w:val="00442D76"/>
    <w:rsid w:val="00442F9C"/>
    <w:rsid w:val="00443628"/>
    <w:rsid w:val="00443843"/>
    <w:rsid w:val="00445C0B"/>
    <w:rsid w:val="00446A90"/>
    <w:rsid w:val="0044714F"/>
    <w:rsid w:val="00450C36"/>
    <w:rsid w:val="00450DF4"/>
    <w:rsid w:val="004514D2"/>
    <w:rsid w:val="0045182D"/>
    <w:rsid w:val="00451F47"/>
    <w:rsid w:val="004523D0"/>
    <w:rsid w:val="004525DB"/>
    <w:rsid w:val="004527BB"/>
    <w:rsid w:val="00453402"/>
    <w:rsid w:val="00453505"/>
    <w:rsid w:val="004541FF"/>
    <w:rsid w:val="004549AD"/>
    <w:rsid w:val="00454ACD"/>
    <w:rsid w:val="004551B5"/>
    <w:rsid w:val="0045586A"/>
    <w:rsid w:val="00456006"/>
    <w:rsid w:val="0045734D"/>
    <w:rsid w:val="00457F89"/>
    <w:rsid w:val="00460CA9"/>
    <w:rsid w:val="00460E3B"/>
    <w:rsid w:val="00461395"/>
    <w:rsid w:val="004617A2"/>
    <w:rsid w:val="004627AE"/>
    <w:rsid w:val="00462841"/>
    <w:rsid w:val="00463139"/>
    <w:rsid w:val="0046579C"/>
    <w:rsid w:val="00465921"/>
    <w:rsid w:val="00465F1C"/>
    <w:rsid w:val="00466C4B"/>
    <w:rsid w:val="004716EC"/>
    <w:rsid w:val="004729A7"/>
    <w:rsid w:val="00472ECF"/>
    <w:rsid w:val="004733A5"/>
    <w:rsid w:val="00475105"/>
    <w:rsid w:val="00475116"/>
    <w:rsid w:val="00475B52"/>
    <w:rsid w:val="00480839"/>
    <w:rsid w:val="004810DF"/>
    <w:rsid w:val="00481E63"/>
    <w:rsid w:val="0048344F"/>
    <w:rsid w:val="0048375F"/>
    <w:rsid w:val="00483845"/>
    <w:rsid w:val="004842C0"/>
    <w:rsid w:val="004855BD"/>
    <w:rsid w:val="00485D3D"/>
    <w:rsid w:val="00485E30"/>
    <w:rsid w:val="00485F43"/>
    <w:rsid w:val="004861BC"/>
    <w:rsid w:val="004862AA"/>
    <w:rsid w:val="004864D6"/>
    <w:rsid w:val="00486A79"/>
    <w:rsid w:val="004909C7"/>
    <w:rsid w:val="00490A88"/>
    <w:rsid w:val="0049160E"/>
    <w:rsid w:val="00491D63"/>
    <w:rsid w:val="00492D41"/>
    <w:rsid w:val="00493421"/>
    <w:rsid w:val="004938BF"/>
    <w:rsid w:val="00494AB0"/>
    <w:rsid w:val="00494B6B"/>
    <w:rsid w:val="00494B79"/>
    <w:rsid w:val="00494C00"/>
    <w:rsid w:val="0049741A"/>
    <w:rsid w:val="004977D0"/>
    <w:rsid w:val="004A02A2"/>
    <w:rsid w:val="004A18B8"/>
    <w:rsid w:val="004A25A9"/>
    <w:rsid w:val="004A3128"/>
    <w:rsid w:val="004A3307"/>
    <w:rsid w:val="004A3B92"/>
    <w:rsid w:val="004A3F26"/>
    <w:rsid w:val="004A41D7"/>
    <w:rsid w:val="004A46D7"/>
    <w:rsid w:val="004A4F8A"/>
    <w:rsid w:val="004A4FBC"/>
    <w:rsid w:val="004A5ED2"/>
    <w:rsid w:val="004A709F"/>
    <w:rsid w:val="004A7D7E"/>
    <w:rsid w:val="004B036B"/>
    <w:rsid w:val="004B0D23"/>
    <w:rsid w:val="004B1957"/>
    <w:rsid w:val="004B1C10"/>
    <w:rsid w:val="004B1DBA"/>
    <w:rsid w:val="004B1F30"/>
    <w:rsid w:val="004B2611"/>
    <w:rsid w:val="004B2F10"/>
    <w:rsid w:val="004B351E"/>
    <w:rsid w:val="004B4437"/>
    <w:rsid w:val="004B45C7"/>
    <w:rsid w:val="004B49FB"/>
    <w:rsid w:val="004B5762"/>
    <w:rsid w:val="004B5A08"/>
    <w:rsid w:val="004B5F98"/>
    <w:rsid w:val="004B696B"/>
    <w:rsid w:val="004B6A1B"/>
    <w:rsid w:val="004B6AED"/>
    <w:rsid w:val="004B6EF6"/>
    <w:rsid w:val="004B712D"/>
    <w:rsid w:val="004B77E2"/>
    <w:rsid w:val="004B7C0E"/>
    <w:rsid w:val="004B7D0F"/>
    <w:rsid w:val="004C14A7"/>
    <w:rsid w:val="004C240A"/>
    <w:rsid w:val="004C2971"/>
    <w:rsid w:val="004C2D1F"/>
    <w:rsid w:val="004C388E"/>
    <w:rsid w:val="004C49C1"/>
    <w:rsid w:val="004C49F2"/>
    <w:rsid w:val="004C5D75"/>
    <w:rsid w:val="004C6BF0"/>
    <w:rsid w:val="004C72F7"/>
    <w:rsid w:val="004C7A4C"/>
    <w:rsid w:val="004C7AF5"/>
    <w:rsid w:val="004C7DAC"/>
    <w:rsid w:val="004D07C3"/>
    <w:rsid w:val="004D0FB1"/>
    <w:rsid w:val="004D1810"/>
    <w:rsid w:val="004D2399"/>
    <w:rsid w:val="004D32BC"/>
    <w:rsid w:val="004D4150"/>
    <w:rsid w:val="004D4CB7"/>
    <w:rsid w:val="004D4F71"/>
    <w:rsid w:val="004D4FDF"/>
    <w:rsid w:val="004D5D98"/>
    <w:rsid w:val="004D650B"/>
    <w:rsid w:val="004D6744"/>
    <w:rsid w:val="004E1ED8"/>
    <w:rsid w:val="004E241F"/>
    <w:rsid w:val="004E287C"/>
    <w:rsid w:val="004E2CBC"/>
    <w:rsid w:val="004E3206"/>
    <w:rsid w:val="004E33BA"/>
    <w:rsid w:val="004E4C8E"/>
    <w:rsid w:val="004E5136"/>
    <w:rsid w:val="004E6751"/>
    <w:rsid w:val="004E6ECE"/>
    <w:rsid w:val="004E729C"/>
    <w:rsid w:val="004E745F"/>
    <w:rsid w:val="004E7805"/>
    <w:rsid w:val="004F0C94"/>
    <w:rsid w:val="004F0F22"/>
    <w:rsid w:val="004F120C"/>
    <w:rsid w:val="004F16E3"/>
    <w:rsid w:val="004F1E98"/>
    <w:rsid w:val="004F20FE"/>
    <w:rsid w:val="004F3C5F"/>
    <w:rsid w:val="004F40B8"/>
    <w:rsid w:val="004F4466"/>
    <w:rsid w:val="004F4C6B"/>
    <w:rsid w:val="004F5A71"/>
    <w:rsid w:val="004F68AA"/>
    <w:rsid w:val="004F7031"/>
    <w:rsid w:val="004F76C1"/>
    <w:rsid w:val="004F7745"/>
    <w:rsid w:val="004F7A70"/>
    <w:rsid w:val="00500491"/>
    <w:rsid w:val="00500511"/>
    <w:rsid w:val="00501A05"/>
    <w:rsid w:val="00501CF5"/>
    <w:rsid w:val="00501EE3"/>
    <w:rsid w:val="00503085"/>
    <w:rsid w:val="00503922"/>
    <w:rsid w:val="00503940"/>
    <w:rsid w:val="005047C9"/>
    <w:rsid w:val="00504A4D"/>
    <w:rsid w:val="00505EFF"/>
    <w:rsid w:val="005062C9"/>
    <w:rsid w:val="00506C98"/>
    <w:rsid w:val="00507746"/>
    <w:rsid w:val="005121F6"/>
    <w:rsid w:val="0051231B"/>
    <w:rsid w:val="00513B22"/>
    <w:rsid w:val="00513C79"/>
    <w:rsid w:val="00515011"/>
    <w:rsid w:val="0051507F"/>
    <w:rsid w:val="0051527C"/>
    <w:rsid w:val="00515428"/>
    <w:rsid w:val="00517BFF"/>
    <w:rsid w:val="00520155"/>
    <w:rsid w:val="00520AC9"/>
    <w:rsid w:val="005211EB"/>
    <w:rsid w:val="0052262E"/>
    <w:rsid w:val="00522F0B"/>
    <w:rsid w:val="00523661"/>
    <w:rsid w:val="00523D66"/>
    <w:rsid w:val="005241E3"/>
    <w:rsid w:val="0052430A"/>
    <w:rsid w:val="00524C21"/>
    <w:rsid w:val="00525118"/>
    <w:rsid w:val="00525598"/>
    <w:rsid w:val="00525ABF"/>
    <w:rsid w:val="00525EE1"/>
    <w:rsid w:val="00526AD4"/>
    <w:rsid w:val="005271A1"/>
    <w:rsid w:val="00527773"/>
    <w:rsid w:val="00530166"/>
    <w:rsid w:val="00530B0E"/>
    <w:rsid w:val="00530B88"/>
    <w:rsid w:val="00530BE0"/>
    <w:rsid w:val="005315D1"/>
    <w:rsid w:val="005322FF"/>
    <w:rsid w:val="00532A6D"/>
    <w:rsid w:val="00532B17"/>
    <w:rsid w:val="005337F5"/>
    <w:rsid w:val="00533CF9"/>
    <w:rsid w:val="00534C6B"/>
    <w:rsid w:val="00534FD1"/>
    <w:rsid w:val="00535693"/>
    <w:rsid w:val="005357E5"/>
    <w:rsid w:val="005368E5"/>
    <w:rsid w:val="00536CF9"/>
    <w:rsid w:val="00537F91"/>
    <w:rsid w:val="0054044C"/>
    <w:rsid w:val="00540B45"/>
    <w:rsid w:val="00540CEB"/>
    <w:rsid w:val="00540FF8"/>
    <w:rsid w:val="00541A08"/>
    <w:rsid w:val="00543027"/>
    <w:rsid w:val="00543B33"/>
    <w:rsid w:val="0054444C"/>
    <w:rsid w:val="005462FC"/>
    <w:rsid w:val="00546507"/>
    <w:rsid w:val="0054697B"/>
    <w:rsid w:val="0055050E"/>
    <w:rsid w:val="0055079A"/>
    <w:rsid w:val="005509CC"/>
    <w:rsid w:val="005520AC"/>
    <w:rsid w:val="00552282"/>
    <w:rsid w:val="005528E7"/>
    <w:rsid w:val="00552D30"/>
    <w:rsid w:val="0055326D"/>
    <w:rsid w:val="005557FA"/>
    <w:rsid w:val="00555F2F"/>
    <w:rsid w:val="00556EF2"/>
    <w:rsid w:val="00561AA1"/>
    <w:rsid w:val="00561DF2"/>
    <w:rsid w:val="00563317"/>
    <w:rsid w:val="005635FA"/>
    <w:rsid w:val="00564374"/>
    <w:rsid w:val="005646F4"/>
    <w:rsid w:val="00564912"/>
    <w:rsid w:val="00564C28"/>
    <w:rsid w:val="00564CC6"/>
    <w:rsid w:val="005655C8"/>
    <w:rsid w:val="0057051D"/>
    <w:rsid w:val="005709E6"/>
    <w:rsid w:val="00571E73"/>
    <w:rsid w:val="005722C3"/>
    <w:rsid w:val="005730F1"/>
    <w:rsid w:val="00573F38"/>
    <w:rsid w:val="005740C7"/>
    <w:rsid w:val="00574ACA"/>
    <w:rsid w:val="00574CA1"/>
    <w:rsid w:val="00574FEB"/>
    <w:rsid w:val="00575F0F"/>
    <w:rsid w:val="00576FBB"/>
    <w:rsid w:val="00577DB1"/>
    <w:rsid w:val="005802E1"/>
    <w:rsid w:val="00580E87"/>
    <w:rsid w:val="00580F94"/>
    <w:rsid w:val="0058134E"/>
    <w:rsid w:val="00581352"/>
    <w:rsid w:val="00582034"/>
    <w:rsid w:val="00582C75"/>
    <w:rsid w:val="0058333A"/>
    <w:rsid w:val="005833A0"/>
    <w:rsid w:val="005868B3"/>
    <w:rsid w:val="005876BF"/>
    <w:rsid w:val="0059074A"/>
    <w:rsid w:val="00590B75"/>
    <w:rsid w:val="005912E9"/>
    <w:rsid w:val="00591837"/>
    <w:rsid w:val="005939BF"/>
    <w:rsid w:val="005943F1"/>
    <w:rsid w:val="0059533B"/>
    <w:rsid w:val="00595ED5"/>
    <w:rsid w:val="00596774"/>
    <w:rsid w:val="00596B85"/>
    <w:rsid w:val="00596C1D"/>
    <w:rsid w:val="00597EE7"/>
    <w:rsid w:val="005A0D87"/>
    <w:rsid w:val="005A1078"/>
    <w:rsid w:val="005A1DCB"/>
    <w:rsid w:val="005A1DFB"/>
    <w:rsid w:val="005A3B48"/>
    <w:rsid w:val="005A4656"/>
    <w:rsid w:val="005A5BA7"/>
    <w:rsid w:val="005A5D43"/>
    <w:rsid w:val="005A5D55"/>
    <w:rsid w:val="005A6803"/>
    <w:rsid w:val="005B0042"/>
    <w:rsid w:val="005B07A4"/>
    <w:rsid w:val="005B2192"/>
    <w:rsid w:val="005B24C0"/>
    <w:rsid w:val="005B3393"/>
    <w:rsid w:val="005B34C1"/>
    <w:rsid w:val="005B4304"/>
    <w:rsid w:val="005B4BC3"/>
    <w:rsid w:val="005B622F"/>
    <w:rsid w:val="005B65E1"/>
    <w:rsid w:val="005B72F5"/>
    <w:rsid w:val="005B7692"/>
    <w:rsid w:val="005B7708"/>
    <w:rsid w:val="005B7830"/>
    <w:rsid w:val="005C1153"/>
    <w:rsid w:val="005C1176"/>
    <w:rsid w:val="005C1F1E"/>
    <w:rsid w:val="005C29D1"/>
    <w:rsid w:val="005C2B2A"/>
    <w:rsid w:val="005C39F1"/>
    <w:rsid w:val="005C4C19"/>
    <w:rsid w:val="005C51F8"/>
    <w:rsid w:val="005C6235"/>
    <w:rsid w:val="005C741B"/>
    <w:rsid w:val="005C7959"/>
    <w:rsid w:val="005D0751"/>
    <w:rsid w:val="005D0839"/>
    <w:rsid w:val="005D0B68"/>
    <w:rsid w:val="005D0C30"/>
    <w:rsid w:val="005D32EB"/>
    <w:rsid w:val="005D3A6B"/>
    <w:rsid w:val="005D4092"/>
    <w:rsid w:val="005D4CAC"/>
    <w:rsid w:val="005D4D7B"/>
    <w:rsid w:val="005D5C59"/>
    <w:rsid w:val="005D7493"/>
    <w:rsid w:val="005E0877"/>
    <w:rsid w:val="005E0980"/>
    <w:rsid w:val="005E1850"/>
    <w:rsid w:val="005E5DC8"/>
    <w:rsid w:val="005E6E39"/>
    <w:rsid w:val="005E6EF8"/>
    <w:rsid w:val="005F0216"/>
    <w:rsid w:val="005F08E6"/>
    <w:rsid w:val="005F0CE5"/>
    <w:rsid w:val="005F1459"/>
    <w:rsid w:val="005F22F6"/>
    <w:rsid w:val="005F23A5"/>
    <w:rsid w:val="005F3A64"/>
    <w:rsid w:val="005F4410"/>
    <w:rsid w:val="005F4646"/>
    <w:rsid w:val="005F4731"/>
    <w:rsid w:val="005F4EC2"/>
    <w:rsid w:val="005F58FB"/>
    <w:rsid w:val="005F5B31"/>
    <w:rsid w:val="00600B79"/>
    <w:rsid w:val="00600E38"/>
    <w:rsid w:val="00601374"/>
    <w:rsid w:val="00601D10"/>
    <w:rsid w:val="0060220E"/>
    <w:rsid w:val="0060288C"/>
    <w:rsid w:val="00602ECF"/>
    <w:rsid w:val="006035D4"/>
    <w:rsid w:val="00603C12"/>
    <w:rsid w:val="00604366"/>
    <w:rsid w:val="00605B39"/>
    <w:rsid w:val="00605BD8"/>
    <w:rsid w:val="006061A5"/>
    <w:rsid w:val="006066AC"/>
    <w:rsid w:val="00607376"/>
    <w:rsid w:val="00607DB2"/>
    <w:rsid w:val="006108D1"/>
    <w:rsid w:val="00611056"/>
    <w:rsid w:val="00612140"/>
    <w:rsid w:val="00612DB3"/>
    <w:rsid w:val="00613309"/>
    <w:rsid w:val="00613789"/>
    <w:rsid w:val="0061595C"/>
    <w:rsid w:val="00616EC7"/>
    <w:rsid w:val="006175E8"/>
    <w:rsid w:val="0062186B"/>
    <w:rsid w:val="00621B8D"/>
    <w:rsid w:val="00621D9D"/>
    <w:rsid w:val="00621DF5"/>
    <w:rsid w:val="006226F9"/>
    <w:rsid w:val="006236B1"/>
    <w:rsid w:val="006256BC"/>
    <w:rsid w:val="00625D18"/>
    <w:rsid w:val="0062636E"/>
    <w:rsid w:val="0062637A"/>
    <w:rsid w:val="0062642F"/>
    <w:rsid w:val="00626700"/>
    <w:rsid w:val="00626DD4"/>
    <w:rsid w:val="00627DA0"/>
    <w:rsid w:val="0063071F"/>
    <w:rsid w:val="00631022"/>
    <w:rsid w:val="0063121B"/>
    <w:rsid w:val="00631927"/>
    <w:rsid w:val="006335DE"/>
    <w:rsid w:val="006335E9"/>
    <w:rsid w:val="00635148"/>
    <w:rsid w:val="00636995"/>
    <w:rsid w:val="0063728B"/>
    <w:rsid w:val="00637336"/>
    <w:rsid w:val="00637EBD"/>
    <w:rsid w:val="00641B36"/>
    <w:rsid w:val="0064207C"/>
    <w:rsid w:val="00642161"/>
    <w:rsid w:val="006436AF"/>
    <w:rsid w:val="0064399E"/>
    <w:rsid w:val="00643BB1"/>
    <w:rsid w:val="00643FBB"/>
    <w:rsid w:val="00644441"/>
    <w:rsid w:val="0065126D"/>
    <w:rsid w:val="00652C3C"/>
    <w:rsid w:val="00652EE3"/>
    <w:rsid w:val="006531D9"/>
    <w:rsid w:val="00653E8A"/>
    <w:rsid w:val="006542EF"/>
    <w:rsid w:val="0065455C"/>
    <w:rsid w:val="0065708C"/>
    <w:rsid w:val="0066024A"/>
    <w:rsid w:val="00661F00"/>
    <w:rsid w:val="00667173"/>
    <w:rsid w:val="00667815"/>
    <w:rsid w:val="00667E90"/>
    <w:rsid w:val="00672003"/>
    <w:rsid w:val="0067244F"/>
    <w:rsid w:val="006729F8"/>
    <w:rsid w:val="00673346"/>
    <w:rsid w:val="00673C3E"/>
    <w:rsid w:val="006745DE"/>
    <w:rsid w:val="00674D06"/>
    <w:rsid w:val="00675D5B"/>
    <w:rsid w:val="00675F50"/>
    <w:rsid w:val="00676343"/>
    <w:rsid w:val="00676869"/>
    <w:rsid w:val="00676ED9"/>
    <w:rsid w:val="006778EF"/>
    <w:rsid w:val="00677FC3"/>
    <w:rsid w:val="00680126"/>
    <w:rsid w:val="0068024D"/>
    <w:rsid w:val="00680CE1"/>
    <w:rsid w:val="006811C0"/>
    <w:rsid w:val="00681A41"/>
    <w:rsid w:val="00681AB3"/>
    <w:rsid w:val="00681D3D"/>
    <w:rsid w:val="006821BF"/>
    <w:rsid w:val="00682304"/>
    <w:rsid w:val="00682CDB"/>
    <w:rsid w:val="00684EB6"/>
    <w:rsid w:val="00685529"/>
    <w:rsid w:val="0068588D"/>
    <w:rsid w:val="0068594A"/>
    <w:rsid w:val="00686946"/>
    <w:rsid w:val="00686EC0"/>
    <w:rsid w:val="00687A75"/>
    <w:rsid w:val="00687DB8"/>
    <w:rsid w:val="00690933"/>
    <w:rsid w:val="00690A46"/>
    <w:rsid w:val="00691513"/>
    <w:rsid w:val="006920B1"/>
    <w:rsid w:val="00692350"/>
    <w:rsid w:val="00693837"/>
    <w:rsid w:val="006939EA"/>
    <w:rsid w:val="00694504"/>
    <w:rsid w:val="006951C1"/>
    <w:rsid w:val="00696CB8"/>
    <w:rsid w:val="00696ECA"/>
    <w:rsid w:val="00697CDE"/>
    <w:rsid w:val="006A264A"/>
    <w:rsid w:val="006A3C70"/>
    <w:rsid w:val="006A3F1D"/>
    <w:rsid w:val="006A4970"/>
    <w:rsid w:val="006A4E08"/>
    <w:rsid w:val="006A53C2"/>
    <w:rsid w:val="006A6902"/>
    <w:rsid w:val="006A6A83"/>
    <w:rsid w:val="006A6ABE"/>
    <w:rsid w:val="006A77CC"/>
    <w:rsid w:val="006A78EF"/>
    <w:rsid w:val="006A7AA1"/>
    <w:rsid w:val="006B0E63"/>
    <w:rsid w:val="006B148D"/>
    <w:rsid w:val="006B1F7E"/>
    <w:rsid w:val="006B24B9"/>
    <w:rsid w:val="006B2753"/>
    <w:rsid w:val="006B2907"/>
    <w:rsid w:val="006B5E8D"/>
    <w:rsid w:val="006B7B4D"/>
    <w:rsid w:val="006B7C44"/>
    <w:rsid w:val="006B7D2F"/>
    <w:rsid w:val="006C0EF5"/>
    <w:rsid w:val="006C147A"/>
    <w:rsid w:val="006C17F0"/>
    <w:rsid w:val="006C2111"/>
    <w:rsid w:val="006C2297"/>
    <w:rsid w:val="006C251D"/>
    <w:rsid w:val="006C2618"/>
    <w:rsid w:val="006C2FC6"/>
    <w:rsid w:val="006C3C53"/>
    <w:rsid w:val="006C530A"/>
    <w:rsid w:val="006C5FC2"/>
    <w:rsid w:val="006C67F0"/>
    <w:rsid w:val="006C6A45"/>
    <w:rsid w:val="006C755B"/>
    <w:rsid w:val="006C75AF"/>
    <w:rsid w:val="006C79AC"/>
    <w:rsid w:val="006D04C8"/>
    <w:rsid w:val="006D122C"/>
    <w:rsid w:val="006D1766"/>
    <w:rsid w:val="006D1E79"/>
    <w:rsid w:val="006D257F"/>
    <w:rsid w:val="006D2B4F"/>
    <w:rsid w:val="006D2CFF"/>
    <w:rsid w:val="006D67D7"/>
    <w:rsid w:val="006D6976"/>
    <w:rsid w:val="006D6B32"/>
    <w:rsid w:val="006E1C92"/>
    <w:rsid w:val="006E2952"/>
    <w:rsid w:val="006E2E64"/>
    <w:rsid w:val="006E2FEE"/>
    <w:rsid w:val="006E3F9A"/>
    <w:rsid w:val="006E4691"/>
    <w:rsid w:val="006E469D"/>
    <w:rsid w:val="006E4C21"/>
    <w:rsid w:val="006E66B6"/>
    <w:rsid w:val="006E7F1D"/>
    <w:rsid w:val="006F0FCB"/>
    <w:rsid w:val="006F1AF8"/>
    <w:rsid w:val="006F2DE0"/>
    <w:rsid w:val="006F3991"/>
    <w:rsid w:val="006F414C"/>
    <w:rsid w:val="006F57F6"/>
    <w:rsid w:val="006F78E2"/>
    <w:rsid w:val="006F7AC6"/>
    <w:rsid w:val="007017BF"/>
    <w:rsid w:val="00701AC0"/>
    <w:rsid w:val="00701DB5"/>
    <w:rsid w:val="00701F43"/>
    <w:rsid w:val="00702C88"/>
    <w:rsid w:val="00703974"/>
    <w:rsid w:val="00705953"/>
    <w:rsid w:val="00705E38"/>
    <w:rsid w:val="0070604B"/>
    <w:rsid w:val="0070656F"/>
    <w:rsid w:val="00706734"/>
    <w:rsid w:val="007068DC"/>
    <w:rsid w:val="00706AB3"/>
    <w:rsid w:val="00706C19"/>
    <w:rsid w:val="00707458"/>
    <w:rsid w:val="00707B10"/>
    <w:rsid w:val="00707BEC"/>
    <w:rsid w:val="007109C7"/>
    <w:rsid w:val="00710E76"/>
    <w:rsid w:val="007117C1"/>
    <w:rsid w:val="007119FE"/>
    <w:rsid w:val="00712319"/>
    <w:rsid w:val="00713789"/>
    <w:rsid w:val="00714255"/>
    <w:rsid w:val="007142F5"/>
    <w:rsid w:val="00714846"/>
    <w:rsid w:val="00714B1E"/>
    <w:rsid w:val="00715E0A"/>
    <w:rsid w:val="00716094"/>
    <w:rsid w:val="00716460"/>
    <w:rsid w:val="00716673"/>
    <w:rsid w:val="00716EDA"/>
    <w:rsid w:val="00720F16"/>
    <w:rsid w:val="00721254"/>
    <w:rsid w:val="007213EE"/>
    <w:rsid w:val="00721609"/>
    <w:rsid w:val="007217FF"/>
    <w:rsid w:val="00721C1A"/>
    <w:rsid w:val="00721D0A"/>
    <w:rsid w:val="00722052"/>
    <w:rsid w:val="007224B2"/>
    <w:rsid w:val="00723476"/>
    <w:rsid w:val="00723676"/>
    <w:rsid w:val="00723A72"/>
    <w:rsid w:val="00724219"/>
    <w:rsid w:val="00724378"/>
    <w:rsid w:val="0072452D"/>
    <w:rsid w:val="00724EA7"/>
    <w:rsid w:val="00724F99"/>
    <w:rsid w:val="007269D0"/>
    <w:rsid w:val="007273D8"/>
    <w:rsid w:val="007304C8"/>
    <w:rsid w:val="00730539"/>
    <w:rsid w:val="00730B02"/>
    <w:rsid w:val="00731415"/>
    <w:rsid w:val="0073192D"/>
    <w:rsid w:val="0073225E"/>
    <w:rsid w:val="007324BD"/>
    <w:rsid w:val="00733E9E"/>
    <w:rsid w:val="007340A3"/>
    <w:rsid w:val="00734334"/>
    <w:rsid w:val="00734714"/>
    <w:rsid w:val="00735976"/>
    <w:rsid w:val="007368BA"/>
    <w:rsid w:val="007407F1"/>
    <w:rsid w:val="00740D14"/>
    <w:rsid w:val="007416A1"/>
    <w:rsid w:val="007419AF"/>
    <w:rsid w:val="00741B39"/>
    <w:rsid w:val="00741D54"/>
    <w:rsid w:val="0074241C"/>
    <w:rsid w:val="00744A9C"/>
    <w:rsid w:val="00744BFF"/>
    <w:rsid w:val="007455DD"/>
    <w:rsid w:val="0074569D"/>
    <w:rsid w:val="0074634B"/>
    <w:rsid w:val="00746F5E"/>
    <w:rsid w:val="00750378"/>
    <w:rsid w:val="00750FD7"/>
    <w:rsid w:val="00751964"/>
    <w:rsid w:val="00751FDB"/>
    <w:rsid w:val="0075332A"/>
    <w:rsid w:val="00753F94"/>
    <w:rsid w:val="0075486A"/>
    <w:rsid w:val="00755059"/>
    <w:rsid w:val="007550DE"/>
    <w:rsid w:val="00755B8C"/>
    <w:rsid w:val="007570E0"/>
    <w:rsid w:val="00757675"/>
    <w:rsid w:val="00761B7F"/>
    <w:rsid w:val="00762E3A"/>
    <w:rsid w:val="0076317C"/>
    <w:rsid w:val="00763A7B"/>
    <w:rsid w:val="00763ED5"/>
    <w:rsid w:val="007645AA"/>
    <w:rsid w:val="00764714"/>
    <w:rsid w:val="0076503E"/>
    <w:rsid w:val="00766159"/>
    <w:rsid w:val="00766647"/>
    <w:rsid w:val="0076679D"/>
    <w:rsid w:val="00766F1A"/>
    <w:rsid w:val="00767FD1"/>
    <w:rsid w:val="00770DBE"/>
    <w:rsid w:val="00771D1B"/>
    <w:rsid w:val="00771D66"/>
    <w:rsid w:val="00772176"/>
    <w:rsid w:val="00772FD6"/>
    <w:rsid w:val="007732E8"/>
    <w:rsid w:val="00773616"/>
    <w:rsid w:val="007739E1"/>
    <w:rsid w:val="0077400F"/>
    <w:rsid w:val="0077612F"/>
    <w:rsid w:val="007774D1"/>
    <w:rsid w:val="00777D79"/>
    <w:rsid w:val="00780182"/>
    <w:rsid w:val="0078419B"/>
    <w:rsid w:val="00785F52"/>
    <w:rsid w:val="007869CD"/>
    <w:rsid w:val="0079072D"/>
    <w:rsid w:val="007907BD"/>
    <w:rsid w:val="00790BCD"/>
    <w:rsid w:val="007927DB"/>
    <w:rsid w:val="00793825"/>
    <w:rsid w:val="00793D7B"/>
    <w:rsid w:val="00794E64"/>
    <w:rsid w:val="00795A9A"/>
    <w:rsid w:val="00796151"/>
    <w:rsid w:val="00796FDC"/>
    <w:rsid w:val="00797450"/>
    <w:rsid w:val="007A052F"/>
    <w:rsid w:val="007A125D"/>
    <w:rsid w:val="007A2344"/>
    <w:rsid w:val="007A280E"/>
    <w:rsid w:val="007A337C"/>
    <w:rsid w:val="007A3BFC"/>
    <w:rsid w:val="007A4CA5"/>
    <w:rsid w:val="007A4FB4"/>
    <w:rsid w:val="007A553A"/>
    <w:rsid w:val="007A682D"/>
    <w:rsid w:val="007B0061"/>
    <w:rsid w:val="007B0A04"/>
    <w:rsid w:val="007B0E6D"/>
    <w:rsid w:val="007B2F69"/>
    <w:rsid w:val="007B3AAF"/>
    <w:rsid w:val="007B60D9"/>
    <w:rsid w:val="007B6919"/>
    <w:rsid w:val="007B6EDD"/>
    <w:rsid w:val="007B7854"/>
    <w:rsid w:val="007B7CE1"/>
    <w:rsid w:val="007C03EE"/>
    <w:rsid w:val="007C04B6"/>
    <w:rsid w:val="007C153D"/>
    <w:rsid w:val="007C1A64"/>
    <w:rsid w:val="007C1C1F"/>
    <w:rsid w:val="007C1EEE"/>
    <w:rsid w:val="007C2261"/>
    <w:rsid w:val="007C32B3"/>
    <w:rsid w:val="007C3302"/>
    <w:rsid w:val="007C56D5"/>
    <w:rsid w:val="007C5962"/>
    <w:rsid w:val="007C5EA0"/>
    <w:rsid w:val="007C72C3"/>
    <w:rsid w:val="007D06F9"/>
    <w:rsid w:val="007D126F"/>
    <w:rsid w:val="007D25E4"/>
    <w:rsid w:val="007D2667"/>
    <w:rsid w:val="007D2872"/>
    <w:rsid w:val="007D3498"/>
    <w:rsid w:val="007D4EC0"/>
    <w:rsid w:val="007D4EFD"/>
    <w:rsid w:val="007D5111"/>
    <w:rsid w:val="007D6254"/>
    <w:rsid w:val="007D6C4B"/>
    <w:rsid w:val="007D6E4D"/>
    <w:rsid w:val="007D7AF8"/>
    <w:rsid w:val="007E0D60"/>
    <w:rsid w:val="007E0EBC"/>
    <w:rsid w:val="007E1BE4"/>
    <w:rsid w:val="007E3349"/>
    <w:rsid w:val="007E4667"/>
    <w:rsid w:val="007E47F2"/>
    <w:rsid w:val="007E53D9"/>
    <w:rsid w:val="007E569C"/>
    <w:rsid w:val="007E56FE"/>
    <w:rsid w:val="007E648E"/>
    <w:rsid w:val="007E694F"/>
    <w:rsid w:val="007E7C31"/>
    <w:rsid w:val="007F01B9"/>
    <w:rsid w:val="007F0AF4"/>
    <w:rsid w:val="007F1121"/>
    <w:rsid w:val="007F12DF"/>
    <w:rsid w:val="007F1DF4"/>
    <w:rsid w:val="007F4049"/>
    <w:rsid w:val="007F72DC"/>
    <w:rsid w:val="007F7500"/>
    <w:rsid w:val="007F784B"/>
    <w:rsid w:val="0080105C"/>
    <w:rsid w:val="0080116D"/>
    <w:rsid w:val="00801CF6"/>
    <w:rsid w:val="0080288A"/>
    <w:rsid w:val="00802B59"/>
    <w:rsid w:val="00803914"/>
    <w:rsid w:val="00803E6D"/>
    <w:rsid w:val="008042B8"/>
    <w:rsid w:val="00804A30"/>
    <w:rsid w:val="0080535B"/>
    <w:rsid w:val="00805A81"/>
    <w:rsid w:val="0080642C"/>
    <w:rsid w:val="00806CC7"/>
    <w:rsid w:val="00807947"/>
    <w:rsid w:val="00810013"/>
    <w:rsid w:val="00810133"/>
    <w:rsid w:val="00810225"/>
    <w:rsid w:val="0081091D"/>
    <w:rsid w:val="00810F09"/>
    <w:rsid w:val="00811B93"/>
    <w:rsid w:val="00811F0B"/>
    <w:rsid w:val="008133C8"/>
    <w:rsid w:val="00813C4B"/>
    <w:rsid w:val="00813DC8"/>
    <w:rsid w:val="00814A29"/>
    <w:rsid w:val="0081567E"/>
    <w:rsid w:val="00815F4F"/>
    <w:rsid w:val="00816A81"/>
    <w:rsid w:val="008170B5"/>
    <w:rsid w:val="00817CCD"/>
    <w:rsid w:val="00820417"/>
    <w:rsid w:val="0082190A"/>
    <w:rsid w:val="008223DD"/>
    <w:rsid w:val="008223E2"/>
    <w:rsid w:val="00822CD0"/>
    <w:rsid w:val="008230DC"/>
    <w:rsid w:val="00823B20"/>
    <w:rsid w:val="008246CC"/>
    <w:rsid w:val="008248AB"/>
    <w:rsid w:val="00824D3B"/>
    <w:rsid w:val="00824D40"/>
    <w:rsid w:val="008253FF"/>
    <w:rsid w:val="0082548A"/>
    <w:rsid w:val="00825A21"/>
    <w:rsid w:val="008268A8"/>
    <w:rsid w:val="00826B44"/>
    <w:rsid w:val="0082775B"/>
    <w:rsid w:val="008279F1"/>
    <w:rsid w:val="00827A5C"/>
    <w:rsid w:val="008303AF"/>
    <w:rsid w:val="0083053F"/>
    <w:rsid w:val="008308D1"/>
    <w:rsid w:val="008315AF"/>
    <w:rsid w:val="00831623"/>
    <w:rsid w:val="00831AC2"/>
    <w:rsid w:val="00832653"/>
    <w:rsid w:val="00832973"/>
    <w:rsid w:val="00832B84"/>
    <w:rsid w:val="00832D10"/>
    <w:rsid w:val="00832FB0"/>
    <w:rsid w:val="00833849"/>
    <w:rsid w:val="00835089"/>
    <w:rsid w:val="00835B37"/>
    <w:rsid w:val="00835DB0"/>
    <w:rsid w:val="00837234"/>
    <w:rsid w:val="00837609"/>
    <w:rsid w:val="0083787F"/>
    <w:rsid w:val="00837B37"/>
    <w:rsid w:val="008413BB"/>
    <w:rsid w:val="0084162F"/>
    <w:rsid w:val="00841CF4"/>
    <w:rsid w:val="0084352C"/>
    <w:rsid w:val="0084366F"/>
    <w:rsid w:val="0084377A"/>
    <w:rsid w:val="00843970"/>
    <w:rsid w:val="008439BE"/>
    <w:rsid w:val="008446E4"/>
    <w:rsid w:val="00844A85"/>
    <w:rsid w:val="00844EEA"/>
    <w:rsid w:val="00845E47"/>
    <w:rsid w:val="00846642"/>
    <w:rsid w:val="00847A5F"/>
    <w:rsid w:val="008502F8"/>
    <w:rsid w:val="00851688"/>
    <w:rsid w:val="0085242D"/>
    <w:rsid w:val="00852B6A"/>
    <w:rsid w:val="00852B8A"/>
    <w:rsid w:val="0085367F"/>
    <w:rsid w:val="008536C2"/>
    <w:rsid w:val="008542E9"/>
    <w:rsid w:val="008550F4"/>
    <w:rsid w:val="008557AF"/>
    <w:rsid w:val="0085587A"/>
    <w:rsid w:val="00860ADE"/>
    <w:rsid w:val="008613AE"/>
    <w:rsid w:val="00861874"/>
    <w:rsid w:val="00862A5D"/>
    <w:rsid w:val="008652E4"/>
    <w:rsid w:val="00866C40"/>
    <w:rsid w:val="008678C3"/>
    <w:rsid w:val="00870628"/>
    <w:rsid w:val="00870727"/>
    <w:rsid w:val="00870919"/>
    <w:rsid w:val="0087157F"/>
    <w:rsid w:val="00873DB3"/>
    <w:rsid w:val="00874239"/>
    <w:rsid w:val="00874F00"/>
    <w:rsid w:val="008751CD"/>
    <w:rsid w:val="00875516"/>
    <w:rsid w:val="008755D8"/>
    <w:rsid w:val="0087762A"/>
    <w:rsid w:val="00880553"/>
    <w:rsid w:val="008813D2"/>
    <w:rsid w:val="0088183F"/>
    <w:rsid w:val="0088269A"/>
    <w:rsid w:val="008838B8"/>
    <w:rsid w:val="00884912"/>
    <w:rsid w:val="00884F3D"/>
    <w:rsid w:val="00885F07"/>
    <w:rsid w:val="008902E7"/>
    <w:rsid w:val="0089201C"/>
    <w:rsid w:val="008928A2"/>
    <w:rsid w:val="00892D59"/>
    <w:rsid w:val="0089345C"/>
    <w:rsid w:val="00895AFC"/>
    <w:rsid w:val="00896838"/>
    <w:rsid w:val="008972E8"/>
    <w:rsid w:val="00897961"/>
    <w:rsid w:val="00897FCB"/>
    <w:rsid w:val="008A004F"/>
    <w:rsid w:val="008A1B5D"/>
    <w:rsid w:val="008A2403"/>
    <w:rsid w:val="008A5273"/>
    <w:rsid w:val="008A52EC"/>
    <w:rsid w:val="008A5552"/>
    <w:rsid w:val="008A58E8"/>
    <w:rsid w:val="008A5CA0"/>
    <w:rsid w:val="008A6F47"/>
    <w:rsid w:val="008A79F7"/>
    <w:rsid w:val="008B2410"/>
    <w:rsid w:val="008B2B16"/>
    <w:rsid w:val="008B40A2"/>
    <w:rsid w:val="008B42EB"/>
    <w:rsid w:val="008B453A"/>
    <w:rsid w:val="008B4ED8"/>
    <w:rsid w:val="008B5B7A"/>
    <w:rsid w:val="008C0305"/>
    <w:rsid w:val="008C3994"/>
    <w:rsid w:val="008C53EE"/>
    <w:rsid w:val="008C53F4"/>
    <w:rsid w:val="008C5925"/>
    <w:rsid w:val="008C5AD5"/>
    <w:rsid w:val="008C6AF6"/>
    <w:rsid w:val="008C7580"/>
    <w:rsid w:val="008C7E28"/>
    <w:rsid w:val="008D0211"/>
    <w:rsid w:val="008D079F"/>
    <w:rsid w:val="008D123A"/>
    <w:rsid w:val="008D2C6A"/>
    <w:rsid w:val="008D3274"/>
    <w:rsid w:val="008D3A0A"/>
    <w:rsid w:val="008D4530"/>
    <w:rsid w:val="008D45FE"/>
    <w:rsid w:val="008D5AF6"/>
    <w:rsid w:val="008D6F09"/>
    <w:rsid w:val="008E08C7"/>
    <w:rsid w:val="008E0A12"/>
    <w:rsid w:val="008E1C0C"/>
    <w:rsid w:val="008E27B9"/>
    <w:rsid w:val="008E50C3"/>
    <w:rsid w:val="008E5634"/>
    <w:rsid w:val="008E5B48"/>
    <w:rsid w:val="008E680B"/>
    <w:rsid w:val="008E6E62"/>
    <w:rsid w:val="008E70C5"/>
    <w:rsid w:val="008E7B5F"/>
    <w:rsid w:val="008F0049"/>
    <w:rsid w:val="008F0436"/>
    <w:rsid w:val="008F092B"/>
    <w:rsid w:val="008F36F2"/>
    <w:rsid w:val="008F471A"/>
    <w:rsid w:val="008F4F33"/>
    <w:rsid w:val="008F52C7"/>
    <w:rsid w:val="008F579A"/>
    <w:rsid w:val="008F7FCF"/>
    <w:rsid w:val="0090044E"/>
    <w:rsid w:val="009008D7"/>
    <w:rsid w:val="009022BD"/>
    <w:rsid w:val="0090338E"/>
    <w:rsid w:val="00903AF9"/>
    <w:rsid w:val="00904429"/>
    <w:rsid w:val="009047CD"/>
    <w:rsid w:val="00905DAF"/>
    <w:rsid w:val="00906565"/>
    <w:rsid w:val="009072B7"/>
    <w:rsid w:val="00907A96"/>
    <w:rsid w:val="009100E2"/>
    <w:rsid w:val="00910488"/>
    <w:rsid w:val="00910DFE"/>
    <w:rsid w:val="0091350A"/>
    <w:rsid w:val="0091385C"/>
    <w:rsid w:val="00913912"/>
    <w:rsid w:val="00913AC5"/>
    <w:rsid w:val="009148F0"/>
    <w:rsid w:val="00915030"/>
    <w:rsid w:val="0091634F"/>
    <w:rsid w:val="0091697F"/>
    <w:rsid w:val="00916DDF"/>
    <w:rsid w:val="00916F1C"/>
    <w:rsid w:val="00917C82"/>
    <w:rsid w:val="009204B9"/>
    <w:rsid w:val="0092078F"/>
    <w:rsid w:val="00922D94"/>
    <w:rsid w:val="00922FD8"/>
    <w:rsid w:val="009233DD"/>
    <w:rsid w:val="00923821"/>
    <w:rsid w:val="00923C91"/>
    <w:rsid w:val="00923D24"/>
    <w:rsid w:val="009248DE"/>
    <w:rsid w:val="009260A2"/>
    <w:rsid w:val="00927090"/>
    <w:rsid w:val="00927AFE"/>
    <w:rsid w:val="009302EE"/>
    <w:rsid w:val="00930B7A"/>
    <w:rsid w:val="0093166B"/>
    <w:rsid w:val="0093247B"/>
    <w:rsid w:val="00932F9B"/>
    <w:rsid w:val="00933338"/>
    <w:rsid w:val="009368B5"/>
    <w:rsid w:val="0093719B"/>
    <w:rsid w:val="009371D0"/>
    <w:rsid w:val="00937D4D"/>
    <w:rsid w:val="00940881"/>
    <w:rsid w:val="0094140C"/>
    <w:rsid w:val="00941F6E"/>
    <w:rsid w:val="00942A25"/>
    <w:rsid w:val="00942AD1"/>
    <w:rsid w:val="0094307C"/>
    <w:rsid w:val="00943421"/>
    <w:rsid w:val="00943526"/>
    <w:rsid w:val="0094389F"/>
    <w:rsid w:val="0094449E"/>
    <w:rsid w:val="009446A7"/>
    <w:rsid w:val="00945256"/>
    <w:rsid w:val="00945A8D"/>
    <w:rsid w:val="00946908"/>
    <w:rsid w:val="00946F2B"/>
    <w:rsid w:val="00947E5D"/>
    <w:rsid w:val="00950142"/>
    <w:rsid w:val="00950913"/>
    <w:rsid w:val="00950BCC"/>
    <w:rsid w:val="00951144"/>
    <w:rsid w:val="00951F82"/>
    <w:rsid w:val="0095265C"/>
    <w:rsid w:val="00952DA6"/>
    <w:rsid w:val="0095375B"/>
    <w:rsid w:val="0095381E"/>
    <w:rsid w:val="00953C0A"/>
    <w:rsid w:val="00954CA2"/>
    <w:rsid w:val="009569DB"/>
    <w:rsid w:val="00956D94"/>
    <w:rsid w:val="00957AE5"/>
    <w:rsid w:val="00960AD5"/>
    <w:rsid w:val="00960BC1"/>
    <w:rsid w:val="009612A8"/>
    <w:rsid w:val="00962400"/>
    <w:rsid w:val="009631A0"/>
    <w:rsid w:val="00963CBF"/>
    <w:rsid w:val="0096471F"/>
    <w:rsid w:val="00965885"/>
    <w:rsid w:val="00967AE2"/>
    <w:rsid w:val="0097208E"/>
    <w:rsid w:val="00973125"/>
    <w:rsid w:val="0097355B"/>
    <w:rsid w:val="00976516"/>
    <w:rsid w:val="00976AE3"/>
    <w:rsid w:val="009771B7"/>
    <w:rsid w:val="00977274"/>
    <w:rsid w:val="0097742A"/>
    <w:rsid w:val="009803D0"/>
    <w:rsid w:val="0098053C"/>
    <w:rsid w:val="00981FEB"/>
    <w:rsid w:val="009826B0"/>
    <w:rsid w:val="0098323B"/>
    <w:rsid w:val="009835D3"/>
    <w:rsid w:val="00983982"/>
    <w:rsid w:val="009841EB"/>
    <w:rsid w:val="00986686"/>
    <w:rsid w:val="00986E7C"/>
    <w:rsid w:val="009910BD"/>
    <w:rsid w:val="00991F26"/>
    <w:rsid w:val="00992A9E"/>
    <w:rsid w:val="0099362C"/>
    <w:rsid w:val="00994932"/>
    <w:rsid w:val="009949B0"/>
    <w:rsid w:val="00995718"/>
    <w:rsid w:val="00995E4C"/>
    <w:rsid w:val="009A0A68"/>
    <w:rsid w:val="009A0C25"/>
    <w:rsid w:val="009A1874"/>
    <w:rsid w:val="009A209C"/>
    <w:rsid w:val="009A2539"/>
    <w:rsid w:val="009A2B39"/>
    <w:rsid w:val="009A2F04"/>
    <w:rsid w:val="009A3AFD"/>
    <w:rsid w:val="009A3F5F"/>
    <w:rsid w:val="009A46B0"/>
    <w:rsid w:val="009A526B"/>
    <w:rsid w:val="009A57ED"/>
    <w:rsid w:val="009A6F21"/>
    <w:rsid w:val="009A754B"/>
    <w:rsid w:val="009A781F"/>
    <w:rsid w:val="009B0587"/>
    <w:rsid w:val="009B0A03"/>
    <w:rsid w:val="009B0B30"/>
    <w:rsid w:val="009B0D6F"/>
    <w:rsid w:val="009B14CB"/>
    <w:rsid w:val="009B2157"/>
    <w:rsid w:val="009B2318"/>
    <w:rsid w:val="009B2FB8"/>
    <w:rsid w:val="009B314D"/>
    <w:rsid w:val="009B3418"/>
    <w:rsid w:val="009B46AB"/>
    <w:rsid w:val="009B4858"/>
    <w:rsid w:val="009B4B7A"/>
    <w:rsid w:val="009B4BB4"/>
    <w:rsid w:val="009B68CB"/>
    <w:rsid w:val="009B76D5"/>
    <w:rsid w:val="009B7DD7"/>
    <w:rsid w:val="009C020B"/>
    <w:rsid w:val="009C06D1"/>
    <w:rsid w:val="009C0895"/>
    <w:rsid w:val="009C0A67"/>
    <w:rsid w:val="009C1500"/>
    <w:rsid w:val="009C1AC3"/>
    <w:rsid w:val="009C20D8"/>
    <w:rsid w:val="009C23B9"/>
    <w:rsid w:val="009C2D91"/>
    <w:rsid w:val="009C3D8D"/>
    <w:rsid w:val="009C42F6"/>
    <w:rsid w:val="009C4327"/>
    <w:rsid w:val="009C498D"/>
    <w:rsid w:val="009C5434"/>
    <w:rsid w:val="009C69EC"/>
    <w:rsid w:val="009C72E7"/>
    <w:rsid w:val="009D0912"/>
    <w:rsid w:val="009D1025"/>
    <w:rsid w:val="009D223C"/>
    <w:rsid w:val="009D279A"/>
    <w:rsid w:val="009D2DE5"/>
    <w:rsid w:val="009D30C0"/>
    <w:rsid w:val="009D374D"/>
    <w:rsid w:val="009D4D33"/>
    <w:rsid w:val="009D52C3"/>
    <w:rsid w:val="009D6127"/>
    <w:rsid w:val="009D6FE1"/>
    <w:rsid w:val="009D7704"/>
    <w:rsid w:val="009D77B4"/>
    <w:rsid w:val="009D7826"/>
    <w:rsid w:val="009D7B6E"/>
    <w:rsid w:val="009E112C"/>
    <w:rsid w:val="009E3458"/>
    <w:rsid w:val="009E3DB7"/>
    <w:rsid w:val="009E3FE4"/>
    <w:rsid w:val="009E55E5"/>
    <w:rsid w:val="009E6585"/>
    <w:rsid w:val="009E6C11"/>
    <w:rsid w:val="009F0E36"/>
    <w:rsid w:val="009F18E8"/>
    <w:rsid w:val="009F1C3F"/>
    <w:rsid w:val="009F2053"/>
    <w:rsid w:val="009F2C41"/>
    <w:rsid w:val="009F2E9B"/>
    <w:rsid w:val="009F3DBD"/>
    <w:rsid w:val="009F5103"/>
    <w:rsid w:val="009F5120"/>
    <w:rsid w:val="009F574B"/>
    <w:rsid w:val="009F5E19"/>
    <w:rsid w:val="009F6203"/>
    <w:rsid w:val="009F67A0"/>
    <w:rsid w:val="009F75BA"/>
    <w:rsid w:val="009F7EC1"/>
    <w:rsid w:val="00A00A20"/>
    <w:rsid w:val="00A014B9"/>
    <w:rsid w:val="00A021F8"/>
    <w:rsid w:val="00A02F7C"/>
    <w:rsid w:val="00A02F91"/>
    <w:rsid w:val="00A032BC"/>
    <w:rsid w:val="00A03861"/>
    <w:rsid w:val="00A038B4"/>
    <w:rsid w:val="00A0405B"/>
    <w:rsid w:val="00A04D07"/>
    <w:rsid w:val="00A04D9D"/>
    <w:rsid w:val="00A05179"/>
    <w:rsid w:val="00A05F70"/>
    <w:rsid w:val="00A06C2C"/>
    <w:rsid w:val="00A06F94"/>
    <w:rsid w:val="00A11796"/>
    <w:rsid w:val="00A12214"/>
    <w:rsid w:val="00A1266E"/>
    <w:rsid w:val="00A12A06"/>
    <w:rsid w:val="00A13011"/>
    <w:rsid w:val="00A13948"/>
    <w:rsid w:val="00A142FE"/>
    <w:rsid w:val="00A1431D"/>
    <w:rsid w:val="00A150D9"/>
    <w:rsid w:val="00A15D1F"/>
    <w:rsid w:val="00A16F9B"/>
    <w:rsid w:val="00A17009"/>
    <w:rsid w:val="00A20210"/>
    <w:rsid w:val="00A205FF"/>
    <w:rsid w:val="00A20868"/>
    <w:rsid w:val="00A21779"/>
    <w:rsid w:val="00A2283A"/>
    <w:rsid w:val="00A234A0"/>
    <w:rsid w:val="00A24484"/>
    <w:rsid w:val="00A24B3C"/>
    <w:rsid w:val="00A25D4A"/>
    <w:rsid w:val="00A26B7F"/>
    <w:rsid w:val="00A26D84"/>
    <w:rsid w:val="00A3024E"/>
    <w:rsid w:val="00A30493"/>
    <w:rsid w:val="00A329CE"/>
    <w:rsid w:val="00A33CB7"/>
    <w:rsid w:val="00A33E8F"/>
    <w:rsid w:val="00A37833"/>
    <w:rsid w:val="00A37D34"/>
    <w:rsid w:val="00A411D6"/>
    <w:rsid w:val="00A42044"/>
    <w:rsid w:val="00A42310"/>
    <w:rsid w:val="00A42900"/>
    <w:rsid w:val="00A442AB"/>
    <w:rsid w:val="00A44397"/>
    <w:rsid w:val="00A447FD"/>
    <w:rsid w:val="00A44BAC"/>
    <w:rsid w:val="00A45D22"/>
    <w:rsid w:val="00A4615A"/>
    <w:rsid w:val="00A4674B"/>
    <w:rsid w:val="00A47DBD"/>
    <w:rsid w:val="00A47E16"/>
    <w:rsid w:val="00A50288"/>
    <w:rsid w:val="00A512D3"/>
    <w:rsid w:val="00A5198E"/>
    <w:rsid w:val="00A51D48"/>
    <w:rsid w:val="00A52639"/>
    <w:rsid w:val="00A527F5"/>
    <w:rsid w:val="00A540FE"/>
    <w:rsid w:val="00A54E26"/>
    <w:rsid w:val="00A54FA8"/>
    <w:rsid w:val="00A559EB"/>
    <w:rsid w:val="00A55D5D"/>
    <w:rsid w:val="00A57AD0"/>
    <w:rsid w:val="00A57E27"/>
    <w:rsid w:val="00A57E5C"/>
    <w:rsid w:val="00A600A9"/>
    <w:rsid w:val="00A609DD"/>
    <w:rsid w:val="00A60BDC"/>
    <w:rsid w:val="00A60E61"/>
    <w:rsid w:val="00A62069"/>
    <w:rsid w:val="00A63252"/>
    <w:rsid w:val="00A63528"/>
    <w:rsid w:val="00A64500"/>
    <w:rsid w:val="00A64C03"/>
    <w:rsid w:val="00A66004"/>
    <w:rsid w:val="00A669F0"/>
    <w:rsid w:val="00A67692"/>
    <w:rsid w:val="00A704C5"/>
    <w:rsid w:val="00A705CC"/>
    <w:rsid w:val="00A70D44"/>
    <w:rsid w:val="00A71925"/>
    <w:rsid w:val="00A7198E"/>
    <w:rsid w:val="00A71A8C"/>
    <w:rsid w:val="00A72554"/>
    <w:rsid w:val="00A73980"/>
    <w:rsid w:val="00A74152"/>
    <w:rsid w:val="00A74DED"/>
    <w:rsid w:val="00A74E1F"/>
    <w:rsid w:val="00A75D95"/>
    <w:rsid w:val="00A7657A"/>
    <w:rsid w:val="00A771CD"/>
    <w:rsid w:val="00A77CD5"/>
    <w:rsid w:val="00A80D58"/>
    <w:rsid w:val="00A811C2"/>
    <w:rsid w:val="00A81AFC"/>
    <w:rsid w:val="00A82690"/>
    <w:rsid w:val="00A829B2"/>
    <w:rsid w:val="00A83102"/>
    <w:rsid w:val="00A83B6E"/>
    <w:rsid w:val="00A83C27"/>
    <w:rsid w:val="00A84892"/>
    <w:rsid w:val="00A85050"/>
    <w:rsid w:val="00A87425"/>
    <w:rsid w:val="00A87C6D"/>
    <w:rsid w:val="00A90AC3"/>
    <w:rsid w:val="00A90F9F"/>
    <w:rsid w:val="00A9164F"/>
    <w:rsid w:val="00A9202D"/>
    <w:rsid w:val="00A924EB"/>
    <w:rsid w:val="00A92A46"/>
    <w:rsid w:val="00A934BB"/>
    <w:rsid w:val="00A9395C"/>
    <w:rsid w:val="00A93E6A"/>
    <w:rsid w:val="00A93F3F"/>
    <w:rsid w:val="00A940E3"/>
    <w:rsid w:val="00A94190"/>
    <w:rsid w:val="00A94EB9"/>
    <w:rsid w:val="00A94F22"/>
    <w:rsid w:val="00A955F1"/>
    <w:rsid w:val="00A95818"/>
    <w:rsid w:val="00A969B7"/>
    <w:rsid w:val="00A9745F"/>
    <w:rsid w:val="00A97E89"/>
    <w:rsid w:val="00AA03C8"/>
    <w:rsid w:val="00AA0D2E"/>
    <w:rsid w:val="00AA2739"/>
    <w:rsid w:val="00AA2815"/>
    <w:rsid w:val="00AA349E"/>
    <w:rsid w:val="00AA36C4"/>
    <w:rsid w:val="00AA393B"/>
    <w:rsid w:val="00AA4D84"/>
    <w:rsid w:val="00AA54CF"/>
    <w:rsid w:val="00AA5940"/>
    <w:rsid w:val="00AA6C10"/>
    <w:rsid w:val="00AA7CD7"/>
    <w:rsid w:val="00AB4A7A"/>
    <w:rsid w:val="00AB4F7D"/>
    <w:rsid w:val="00AB5ED8"/>
    <w:rsid w:val="00AC04D3"/>
    <w:rsid w:val="00AC3E61"/>
    <w:rsid w:val="00AC4435"/>
    <w:rsid w:val="00AC4B20"/>
    <w:rsid w:val="00AC74D8"/>
    <w:rsid w:val="00AC7659"/>
    <w:rsid w:val="00AC791B"/>
    <w:rsid w:val="00AD1A72"/>
    <w:rsid w:val="00AD20DD"/>
    <w:rsid w:val="00AD26D6"/>
    <w:rsid w:val="00AD291E"/>
    <w:rsid w:val="00AD2B9B"/>
    <w:rsid w:val="00AD3259"/>
    <w:rsid w:val="00AD3627"/>
    <w:rsid w:val="00AD4A55"/>
    <w:rsid w:val="00AD4D31"/>
    <w:rsid w:val="00AD5F58"/>
    <w:rsid w:val="00AD5FC3"/>
    <w:rsid w:val="00AD677D"/>
    <w:rsid w:val="00AD6BD0"/>
    <w:rsid w:val="00AD6FE3"/>
    <w:rsid w:val="00AD71E9"/>
    <w:rsid w:val="00AD76EA"/>
    <w:rsid w:val="00AE0271"/>
    <w:rsid w:val="00AE205F"/>
    <w:rsid w:val="00AE2AFA"/>
    <w:rsid w:val="00AE3152"/>
    <w:rsid w:val="00AE37E5"/>
    <w:rsid w:val="00AE381B"/>
    <w:rsid w:val="00AE509D"/>
    <w:rsid w:val="00AE532C"/>
    <w:rsid w:val="00AE605A"/>
    <w:rsid w:val="00AE63C3"/>
    <w:rsid w:val="00AE6492"/>
    <w:rsid w:val="00AE6860"/>
    <w:rsid w:val="00AE71AA"/>
    <w:rsid w:val="00AF01E4"/>
    <w:rsid w:val="00AF0E06"/>
    <w:rsid w:val="00AF390E"/>
    <w:rsid w:val="00AF4205"/>
    <w:rsid w:val="00AF5100"/>
    <w:rsid w:val="00AF542E"/>
    <w:rsid w:val="00AF6913"/>
    <w:rsid w:val="00AF6B3E"/>
    <w:rsid w:val="00AF70C4"/>
    <w:rsid w:val="00AF72F2"/>
    <w:rsid w:val="00AF7A96"/>
    <w:rsid w:val="00B00FE8"/>
    <w:rsid w:val="00B01877"/>
    <w:rsid w:val="00B01C18"/>
    <w:rsid w:val="00B02D6C"/>
    <w:rsid w:val="00B03054"/>
    <w:rsid w:val="00B042CA"/>
    <w:rsid w:val="00B04676"/>
    <w:rsid w:val="00B0565C"/>
    <w:rsid w:val="00B07280"/>
    <w:rsid w:val="00B12AB7"/>
    <w:rsid w:val="00B12C6B"/>
    <w:rsid w:val="00B12D28"/>
    <w:rsid w:val="00B12F31"/>
    <w:rsid w:val="00B13336"/>
    <w:rsid w:val="00B1378B"/>
    <w:rsid w:val="00B14BF5"/>
    <w:rsid w:val="00B15108"/>
    <w:rsid w:val="00B15E6B"/>
    <w:rsid w:val="00B16AC0"/>
    <w:rsid w:val="00B16B4B"/>
    <w:rsid w:val="00B1753B"/>
    <w:rsid w:val="00B179F0"/>
    <w:rsid w:val="00B20449"/>
    <w:rsid w:val="00B206DF"/>
    <w:rsid w:val="00B21DF1"/>
    <w:rsid w:val="00B21F88"/>
    <w:rsid w:val="00B22ABD"/>
    <w:rsid w:val="00B22B48"/>
    <w:rsid w:val="00B2300F"/>
    <w:rsid w:val="00B233BC"/>
    <w:rsid w:val="00B23D27"/>
    <w:rsid w:val="00B24135"/>
    <w:rsid w:val="00B2484E"/>
    <w:rsid w:val="00B24BC0"/>
    <w:rsid w:val="00B24DB7"/>
    <w:rsid w:val="00B255EE"/>
    <w:rsid w:val="00B25800"/>
    <w:rsid w:val="00B25DED"/>
    <w:rsid w:val="00B26098"/>
    <w:rsid w:val="00B275C9"/>
    <w:rsid w:val="00B30329"/>
    <w:rsid w:val="00B306DC"/>
    <w:rsid w:val="00B31EDB"/>
    <w:rsid w:val="00B32130"/>
    <w:rsid w:val="00B32736"/>
    <w:rsid w:val="00B33219"/>
    <w:rsid w:val="00B3565F"/>
    <w:rsid w:val="00B35F8B"/>
    <w:rsid w:val="00B364DE"/>
    <w:rsid w:val="00B370CA"/>
    <w:rsid w:val="00B40063"/>
    <w:rsid w:val="00B40FE2"/>
    <w:rsid w:val="00B41197"/>
    <w:rsid w:val="00B412CB"/>
    <w:rsid w:val="00B41E6B"/>
    <w:rsid w:val="00B42C31"/>
    <w:rsid w:val="00B42F1A"/>
    <w:rsid w:val="00B43F10"/>
    <w:rsid w:val="00B44E9B"/>
    <w:rsid w:val="00B45DE1"/>
    <w:rsid w:val="00B466CA"/>
    <w:rsid w:val="00B46898"/>
    <w:rsid w:val="00B4717D"/>
    <w:rsid w:val="00B471E0"/>
    <w:rsid w:val="00B47879"/>
    <w:rsid w:val="00B47CA8"/>
    <w:rsid w:val="00B51BBA"/>
    <w:rsid w:val="00B51C6A"/>
    <w:rsid w:val="00B51E02"/>
    <w:rsid w:val="00B5220B"/>
    <w:rsid w:val="00B54C3E"/>
    <w:rsid w:val="00B5508D"/>
    <w:rsid w:val="00B5577C"/>
    <w:rsid w:val="00B55961"/>
    <w:rsid w:val="00B56D98"/>
    <w:rsid w:val="00B62C8B"/>
    <w:rsid w:val="00B62E89"/>
    <w:rsid w:val="00B63620"/>
    <w:rsid w:val="00B63A08"/>
    <w:rsid w:val="00B6494F"/>
    <w:rsid w:val="00B65EE9"/>
    <w:rsid w:val="00B66227"/>
    <w:rsid w:val="00B67AED"/>
    <w:rsid w:val="00B71616"/>
    <w:rsid w:val="00B729A7"/>
    <w:rsid w:val="00B74120"/>
    <w:rsid w:val="00B74C64"/>
    <w:rsid w:val="00B75DF0"/>
    <w:rsid w:val="00B75F96"/>
    <w:rsid w:val="00B77A15"/>
    <w:rsid w:val="00B8060D"/>
    <w:rsid w:val="00B811A4"/>
    <w:rsid w:val="00B832C0"/>
    <w:rsid w:val="00B832E2"/>
    <w:rsid w:val="00B84038"/>
    <w:rsid w:val="00B8454D"/>
    <w:rsid w:val="00B850EC"/>
    <w:rsid w:val="00B86C2A"/>
    <w:rsid w:val="00B87A33"/>
    <w:rsid w:val="00B90550"/>
    <w:rsid w:val="00B91832"/>
    <w:rsid w:val="00B92BBC"/>
    <w:rsid w:val="00B92DE4"/>
    <w:rsid w:val="00B931CA"/>
    <w:rsid w:val="00B9472A"/>
    <w:rsid w:val="00B94957"/>
    <w:rsid w:val="00B94B28"/>
    <w:rsid w:val="00B94C9A"/>
    <w:rsid w:val="00B95524"/>
    <w:rsid w:val="00B96272"/>
    <w:rsid w:val="00B963AD"/>
    <w:rsid w:val="00BA0316"/>
    <w:rsid w:val="00BA10B9"/>
    <w:rsid w:val="00BA123E"/>
    <w:rsid w:val="00BA1643"/>
    <w:rsid w:val="00BA1EB3"/>
    <w:rsid w:val="00BA1FE2"/>
    <w:rsid w:val="00BA243C"/>
    <w:rsid w:val="00BA262F"/>
    <w:rsid w:val="00BA2895"/>
    <w:rsid w:val="00BA2B9C"/>
    <w:rsid w:val="00BA5186"/>
    <w:rsid w:val="00BA5D36"/>
    <w:rsid w:val="00BA61EC"/>
    <w:rsid w:val="00BB1A3A"/>
    <w:rsid w:val="00BB23D0"/>
    <w:rsid w:val="00BB276A"/>
    <w:rsid w:val="00BB3E07"/>
    <w:rsid w:val="00BB6838"/>
    <w:rsid w:val="00BB753E"/>
    <w:rsid w:val="00BB7BE9"/>
    <w:rsid w:val="00BC0657"/>
    <w:rsid w:val="00BC1830"/>
    <w:rsid w:val="00BC27D1"/>
    <w:rsid w:val="00BC3416"/>
    <w:rsid w:val="00BC3427"/>
    <w:rsid w:val="00BC373E"/>
    <w:rsid w:val="00BC3B4C"/>
    <w:rsid w:val="00BC3F11"/>
    <w:rsid w:val="00BC4C2B"/>
    <w:rsid w:val="00BC6361"/>
    <w:rsid w:val="00BC7A29"/>
    <w:rsid w:val="00BC7BD9"/>
    <w:rsid w:val="00BD0965"/>
    <w:rsid w:val="00BD11AD"/>
    <w:rsid w:val="00BD15E7"/>
    <w:rsid w:val="00BD1A00"/>
    <w:rsid w:val="00BD26ED"/>
    <w:rsid w:val="00BD2D3D"/>
    <w:rsid w:val="00BD48A0"/>
    <w:rsid w:val="00BD5E8B"/>
    <w:rsid w:val="00BD6B35"/>
    <w:rsid w:val="00BD704A"/>
    <w:rsid w:val="00BD7456"/>
    <w:rsid w:val="00BD7CE0"/>
    <w:rsid w:val="00BD7E54"/>
    <w:rsid w:val="00BE05D3"/>
    <w:rsid w:val="00BE0763"/>
    <w:rsid w:val="00BE0800"/>
    <w:rsid w:val="00BE2902"/>
    <w:rsid w:val="00BE3266"/>
    <w:rsid w:val="00BE3B6C"/>
    <w:rsid w:val="00BE42E2"/>
    <w:rsid w:val="00BE4557"/>
    <w:rsid w:val="00BE5600"/>
    <w:rsid w:val="00BE6FD4"/>
    <w:rsid w:val="00BE7EC9"/>
    <w:rsid w:val="00BF0547"/>
    <w:rsid w:val="00BF0BFE"/>
    <w:rsid w:val="00BF0DAA"/>
    <w:rsid w:val="00BF1478"/>
    <w:rsid w:val="00BF1CA8"/>
    <w:rsid w:val="00BF3D6D"/>
    <w:rsid w:val="00BF4785"/>
    <w:rsid w:val="00BF49DA"/>
    <w:rsid w:val="00BF5094"/>
    <w:rsid w:val="00BF5DB0"/>
    <w:rsid w:val="00BF681E"/>
    <w:rsid w:val="00BF7B82"/>
    <w:rsid w:val="00C00CC3"/>
    <w:rsid w:val="00C014F9"/>
    <w:rsid w:val="00C01BB1"/>
    <w:rsid w:val="00C0275A"/>
    <w:rsid w:val="00C03529"/>
    <w:rsid w:val="00C0403F"/>
    <w:rsid w:val="00C041B4"/>
    <w:rsid w:val="00C05A3A"/>
    <w:rsid w:val="00C05D63"/>
    <w:rsid w:val="00C067EC"/>
    <w:rsid w:val="00C0696B"/>
    <w:rsid w:val="00C06F34"/>
    <w:rsid w:val="00C07692"/>
    <w:rsid w:val="00C07F60"/>
    <w:rsid w:val="00C10FBF"/>
    <w:rsid w:val="00C1109B"/>
    <w:rsid w:val="00C12054"/>
    <w:rsid w:val="00C12218"/>
    <w:rsid w:val="00C13D11"/>
    <w:rsid w:val="00C141E8"/>
    <w:rsid w:val="00C15647"/>
    <w:rsid w:val="00C15EA6"/>
    <w:rsid w:val="00C165A8"/>
    <w:rsid w:val="00C1679C"/>
    <w:rsid w:val="00C167C1"/>
    <w:rsid w:val="00C16B28"/>
    <w:rsid w:val="00C17A5D"/>
    <w:rsid w:val="00C20128"/>
    <w:rsid w:val="00C21DEA"/>
    <w:rsid w:val="00C220E8"/>
    <w:rsid w:val="00C22D65"/>
    <w:rsid w:val="00C22E38"/>
    <w:rsid w:val="00C258C1"/>
    <w:rsid w:val="00C2648C"/>
    <w:rsid w:val="00C27C6E"/>
    <w:rsid w:val="00C3177C"/>
    <w:rsid w:val="00C31B2F"/>
    <w:rsid w:val="00C32862"/>
    <w:rsid w:val="00C33A7B"/>
    <w:rsid w:val="00C34346"/>
    <w:rsid w:val="00C3463A"/>
    <w:rsid w:val="00C356AD"/>
    <w:rsid w:val="00C36193"/>
    <w:rsid w:val="00C37FB1"/>
    <w:rsid w:val="00C40F7B"/>
    <w:rsid w:val="00C41062"/>
    <w:rsid w:val="00C4200F"/>
    <w:rsid w:val="00C42C4D"/>
    <w:rsid w:val="00C42D9E"/>
    <w:rsid w:val="00C42FDF"/>
    <w:rsid w:val="00C43A8B"/>
    <w:rsid w:val="00C450D5"/>
    <w:rsid w:val="00C45F52"/>
    <w:rsid w:val="00C4636F"/>
    <w:rsid w:val="00C46FC6"/>
    <w:rsid w:val="00C474FD"/>
    <w:rsid w:val="00C5090C"/>
    <w:rsid w:val="00C50BC9"/>
    <w:rsid w:val="00C5168F"/>
    <w:rsid w:val="00C519BE"/>
    <w:rsid w:val="00C52FA7"/>
    <w:rsid w:val="00C53F56"/>
    <w:rsid w:val="00C55D50"/>
    <w:rsid w:val="00C56756"/>
    <w:rsid w:val="00C56F6E"/>
    <w:rsid w:val="00C57818"/>
    <w:rsid w:val="00C57F15"/>
    <w:rsid w:val="00C6044F"/>
    <w:rsid w:val="00C60C23"/>
    <w:rsid w:val="00C6187C"/>
    <w:rsid w:val="00C6189C"/>
    <w:rsid w:val="00C61A0C"/>
    <w:rsid w:val="00C61ED6"/>
    <w:rsid w:val="00C633C3"/>
    <w:rsid w:val="00C638B9"/>
    <w:rsid w:val="00C63D8A"/>
    <w:rsid w:val="00C63EE3"/>
    <w:rsid w:val="00C6413C"/>
    <w:rsid w:val="00C64B27"/>
    <w:rsid w:val="00C64FAE"/>
    <w:rsid w:val="00C654A3"/>
    <w:rsid w:val="00C6560B"/>
    <w:rsid w:val="00C67A1E"/>
    <w:rsid w:val="00C70875"/>
    <w:rsid w:val="00C711E2"/>
    <w:rsid w:val="00C71731"/>
    <w:rsid w:val="00C71E0C"/>
    <w:rsid w:val="00C71F2E"/>
    <w:rsid w:val="00C72614"/>
    <w:rsid w:val="00C72B4F"/>
    <w:rsid w:val="00C73A76"/>
    <w:rsid w:val="00C73F7E"/>
    <w:rsid w:val="00C742CF"/>
    <w:rsid w:val="00C748DD"/>
    <w:rsid w:val="00C74ADD"/>
    <w:rsid w:val="00C74BC5"/>
    <w:rsid w:val="00C75706"/>
    <w:rsid w:val="00C75A2C"/>
    <w:rsid w:val="00C76233"/>
    <w:rsid w:val="00C76B71"/>
    <w:rsid w:val="00C76CB5"/>
    <w:rsid w:val="00C773F7"/>
    <w:rsid w:val="00C77C6B"/>
    <w:rsid w:val="00C81B8C"/>
    <w:rsid w:val="00C825A9"/>
    <w:rsid w:val="00C8464A"/>
    <w:rsid w:val="00C84B12"/>
    <w:rsid w:val="00C859EB"/>
    <w:rsid w:val="00C8632D"/>
    <w:rsid w:val="00C86D48"/>
    <w:rsid w:val="00C90EF3"/>
    <w:rsid w:val="00C911EF"/>
    <w:rsid w:val="00C91A92"/>
    <w:rsid w:val="00C91CC6"/>
    <w:rsid w:val="00C9245E"/>
    <w:rsid w:val="00C92CC4"/>
    <w:rsid w:val="00C94211"/>
    <w:rsid w:val="00C944D3"/>
    <w:rsid w:val="00C94E56"/>
    <w:rsid w:val="00C95539"/>
    <w:rsid w:val="00C964F1"/>
    <w:rsid w:val="00C96568"/>
    <w:rsid w:val="00C96BA8"/>
    <w:rsid w:val="00C977C6"/>
    <w:rsid w:val="00C97AB0"/>
    <w:rsid w:val="00C97D7C"/>
    <w:rsid w:val="00CA02B6"/>
    <w:rsid w:val="00CA03DF"/>
    <w:rsid w:val="00CA0598"/>
    <w:rsid w:val="00CA2E2B"/>
    <w:rsid w:val="00CA49B1"/>
    <w:rsid w:val="00CA6D3F"/>
    <w:rsid w:val="00CB07FB"/>
    <w:rsid w:val="00CB1381"/>
    <w:rsid w:val="00CB14DA"/>
    <w:rsid w:val="00CB3B25"/>
    <w:rsid w:val="00CB4B60"/>
    <w:rsid w:val="00CB5CE2"/>
    <w:rsid w:val="00CB6FDF"/>
    <w:rsid w:val="00CB7ADE"/>
    <w:rsid w:val="00CC08F7"/>
    <w:rsid w:val="00CC148B"/>
    <w:rsid w:val="00CC1950"/>
    <w:rsid w:val="00CC1C48"/>
    <w:rsid w:val="00CC2F34"/>
    <w:rsid w:val="00CC3355"/>
    <w:rsid w:val="00CC3E94"/>
    <w:rsid w:val="00CC5339"/>
    <w:rsid w:val="00CC57F4"/>
    <w:rsid w:val="00CC5C7F"/>
    <w:rsid w:val="00CC69E2"/>
    <w:rsid w:val="00CC6A6F"/>
    <w:rsid w:val="00CC6AD7"/>
    <w:rsid w:val="00CC6BAD"/>
    <w:rsid w:val="00CC7F30"/>
    <w:rsid w:val="00CD23E2"/>
    <w:rsid w:val="00CD27BF"/>
    <w:rsid w:val="00CD4435"/>
    <w:rsid w:val="00CD58AD"/>
    <w:rsid w:val="00CD5AB8"/>
    <w:rsid w:val="00CD64C9"/>
    <w:rsid w:val="00CE06DF"/>
    <w:rsid w:val="00CE0A22"/>
    <w:rsid w:val="00CE170D"/>
    <w:rsid w:val="00CE1A07"/>
    <w:rsid w:val="00CE22B5"/>
    <w:rsid w:val="00CE387E"/>
    <w:rsid w:val="00CE5075"/>
    <w:rsid w:val="00CE590A"/>
    <w:rsid w:val="00CE7C44"/>
    <w:rsid w:val="00CF05BD"/>
    <w:rsid w:val="00CF1DB9"/>
    <w:rsid w:val="00CF3A2E"/>
    <w:rsid w:val="00CF3B22"/>
    <w:rsid w:val="00CF43E8"/>
    <w:rsid w:val="00CF4EC2"/>
    <w:rsid w:val="00CF68DE"/>
    <w:rsid w:val="00CF71BF"/>
    <w:rsid w:val="00CF73A7"/>
    <w:rsid w:val="00CF7805"/>
    <w:rsid w:val="00CF79F9"/>
    <w:rsid w:val="00D019A4"/>
    <w:rsid w:val="00D03F8C"/>
    <w:rsid w:val="00D04232"/>
    <w:rsid w:val="00D045A5"/>
    <w:rsid w:val="00D04CF8"/>
    <w:rsid w:val="00D056F7"/>
    <w:rsid w:val="00D1269E"/>
    <w:rsid w:val="00D14133"/>
    <w:rsid w:val="00D14876"/>
    <w:rsid w:val="00D157BE"/>
    <w:rsid w:val="00D163EB"/>
    <w:rsid w:val="00D16C9D"/>
    <w:rsid w:val="00D16EA9"/>
    <w:rsid w:val="00D171F8"/>
    <w:rsid w:val="00D21729"/>
    <w:rsid w:val="00D22C0F"/>
    <w:rsid w:val="00D242AF"/>
    <w:rsid w:val="00D25507"/>
    <w:rsid w:val="00D2566B"/>
    <w:rsid w:val="00D25BD3"/>
    <w:rsid w:val="00D26BFC"/>
    <w:rsid w:val="00D27561"/>
    <w:rsid w:val="00D3029A"/>
    <w:rsid w:val="00D30679"/>
    <w:rsid w:val="00D30D05"/>
    <w:rsid w:val="00D31928"/>
    <w:rsid w:val="00D31F0D"/>
    <w:rsid w:val="00D3293E"/>
    <w:rsid w:val="00D334EB"/>
    <w:rsid w:val="00D34430"/>
    <w:rsid w:val="00D34E9E"/>
    <w:rsid w:val="00D37AC1"/>
    <w:rsid w:val="00D40E0F"/>
    <w:rsid w:val="00D414D5"/>
    <w:rsid w:val="00D41D01"/>
    <w:rsid w:val="00D45561"/>
    <w:rsid w:val="00D45BCD"/>
    <w:rsid w:val="00D45D17"/>
    <w:rsid w:val="00D46069"/>
    <w:rsid w:val="00D51131"/>
    <w:rsid w:val="00D51631"/>
    <w:rsid w:val="00D517C6"/>
    <w:rsid w:val="00D519C8"/>
    <w:rsid w:val="00D531B3"/>
    <w:rsid w:val="00D53270"/>
    <w:rsid w:val="00D535EE"/>
    <w:rsid w:val="00D5477F"/>
    <w:rsid w:val="00D54D38"/>
    <w:rsid w:val="00D5623F"/>
    <w:rsid w:val="00D5736D"/>
    <w:rsid w:val="00D60B3C"/>
    <w:rsid w:val="00D61781"/>
    <w:rsid w:val="00D62DB8"/>
    <w:rsid w:val="00D64714"/>
    <w:rsid w:val="00D64D47"/>
    <w:rsid w:val="00D64E9E"/>
    <w:rsid w:val="00D6529C"/>
    <w:rsid w:val="00D658FE"/>
    <w:rsid w:val="00D65E76"/>
    <w:rsid w:val="00D66DF9"/>
    <w:rsid w:val="00D66E9A"/>
    <w:rsid w:val="00D70822"/>
    <w:rsid w:val="00D70972"/>
    <w:rsid w:val="00D7110E"/>
    <w:rsid w:val="00D7163C"/>
    <w:rsid w:val="00D71F16"/>
    <w:rsid w:val="00D72902"/>
    <w:rsid w:val="00D72DAA"/>
    <w:rsid w:val="00D72EF0"/>
    <w:rsid w:val="00D74F75"/>
    <w:rsid w:val="00D75027"/>
    <w:rsid w:val="00D75C9A"/>
    <w:rsid w:val="00D76630"/>
    <w:rsid w:val="00D767C8"/>
    <w:rsid w:val="00D77C49"/>
    <w:rsid w:val="00D80AB9"/>
    <w:rsid w:val="00D8252A"/>
    <w:rsid w:val="00D83D0B"/>
    <w:rsid w:val="00D841D0"/>
    <w:rsid w:val="00D85508"/>
    <w:rsid w:val="00D856C2"/>
    <w:rsid w:val="00D8593A"/>
    <w:rsid w:val="00D8653E"/>
    <w:rsid w:val="00D86851"/>
    <w:rsid w:val="00D91C11"/>
    <w:rsid w:val="00D91DBA"/>
    <w:rsid w:val="00D92F5B"/>
    <w:rsid w:val="00D93D8B"/>
    <w:rsid w:val="00D940ED"/>
    <w:rsid w:val="00D94981"/>
    <w:rsid w:val="00D94F1D"/>
    <w:rsid w:val="00D9528A"/>
    <w:rsid w:val="00D95908"/>
    <w:rsid w:val="00D95978"/>
    <w:rsid w:val="00D959E2"/>
    <w:rsid w:val="00D95D54"/>
    <w:rsid w:val="00D96129"/>
    <w:rsid w:val="00DA0470"/>
    <w:rsid w:val="00DA0670"/>
    <w:rsid w:val="00DA07B9"/>
    <w:rsid w:val="00DA0DC2"/>
    <w:rsid w:val="00DA1B86"/>
    <w:rsid w:val="00DA2071"/>
    <w:rsid w:val="00DA23AB"/>
    <w:rsid w:val="00DA3CEC"/>
    <w:rsid w:val="00DA419A"/>
    <w:rsid w:val="00DA4A04"/>
    <w:rsid w:val="00DA4FCA"/>
    <w:rsid w:val="00DA672F"/>
    <w:rsid w:val="00DA68A2"/>
    <w:rsid w:val="00DA6F4B"/>
    <w:rsid w:val="00DB037D"/>
    <w:rsid w:val="00DB18E0"/>
    <w:rsid w:val="00DB1DB2"/>
    <w:rsid w:val="00DB2006"/>
    <w:rsid w:val="00DB2B6D"/>
    <w:rsid w:val="00DB3A3E"/>
    <w:rsid w:val="00DB4D18"/>
    <w:rsid w:val="00DB662C"/>
    <w:rsid w:val="00DB7ABF"/>
    <w:rsid w:val="00DC1611"/>
    <w:rsid w:val="00DC1A28"/>
    <w:rsid w:val="00DC23E9"/>
    <w:rsid w:val="00DC3A56"/>
    <w:rsid w:val="00DC3E50"/>
    <w:rsid w:val="00DC434D"/>
    <w:rsid w:val="00DC4CE9"/>
    <w:rsid w:val="00DC5DC3"/>
    <w:rsid w:val="00DC5E52"/>
    <w:rsid w:val="00DC5E54"/>
    <w:rsid w:val="00DC74FC"/>
    <w:rsid w:val="00DC7A05"/>
    <w:rsid w:val="00DC7AD1"/>
    <w:rsid w:val="00DC7B79"/>
    <w:rsid w:val="00DD024A"/>
    <w:rsid w:val="00DD0397"/>
    <w:rsid w:val="00DD075C"/>
    <w:rsid w:val="00DD1AF4"/>
    <w:rsid w:val="00DD24BD"/>
    <w:rsid w:val="00DD3689"/>
    <w:rsid w:val="00DD38F8"/>
    <w:rsid w:val="00DD3B51"/>
    <w:rsid w:val="00DD774A"/>
    <w:rsid w:val="00DE127E"/>
    <w:rsid w:val="00DE245E"/>
    <w:rsid w:val="00DE299C"/>
    <w:rsid w:val="00DE41E0"/>
    <w:rsid w:val="00DE4DE3"/>
    <w:rsid w:val="00DE580C"/>
    <w:rsid w:val="00DE5B60"/>
    <w:rsid w:val="00DE6124"/>
    <w:rsid w:val="00DE639C"/>
    <w:rsid w:val="00DE69A1"/>
    <w:rsid w:val="00DE71C7"/>
    <w:rsid w:val="00DE77CB"/>
    <w:rsid w:val="00DE7EEB"/>
    <w:rsid w:val="00DF02C7"/>
    <w:rsid w:val="00DF05DC"/>
    <w:rsid w:val="00DF0631"/>
    <w:rsid w:val="00DF1386"/>
    <w:rsid w:val="00DF1D51"/>
    <w:rsid w:val="00DF3CAF"/>
    <w:rsid w:val="00DF459C"/>
    <w:rsid w:val="00DF46F8"/>
    <w:rsid w:val="00DF6CF5"/>
    <w:rsid w:val="00DF7E44"/>
    <w:rsid w:val="00E0110E"/>
    <w:rsid w:val="00E013EA"/>
    <w:rsid w:val="00E02B7C"/>
    <w:rsid w:val="00E064B7"/>
    <w:rsid w:val="00E06BCB"/>
    <w:rsid w:val="00E075AF"/>
    <w:rsid w:val="00E076CD"/>
    <w:rsid w:val="00E1042B"/>
    <w:rsid w:val="00E12020"/>
    <w:rsid w:val="00E127DD"/>
    <w:rsid w:val="00E12C71"/>
    <w:rsid w:val="00E13B62"/>
    <w:rsid w:val="00E13C3C"/>
    <w:rsid w:val="00E13C78"/>
    <w:rsid w:val="00E1570F"/>
    <w:rsid w:val="00E158F3"/>
    <w:rsid w:val="00E15C73"/>
    <w:rsid w:val="00E15CBA"/>
    <w:rsid w:val="00E17633"/>
    <w:rsid w:val="00E21120"/>
    <w:rsid w:val="00E21DDC"/>
    <w:rsid w:val="00E220ED"/>
    <w:rsid w:val="00E222C1"/>
    <w:rsid w:val="00E22301"/>
    <w:rsid w:val="00E22AF0"/>
    <w:rsid w:val="00E22E91"/>
    <w:rsid w:val="00E231DC"/>
    <w:rsid w:val="00E23489"/>
    <w:rsid w:val="00E238C3"/>
    <w:rsid w:val="00E2412D"/>
    <w:rsid w:val="00E2462D"/>
    <w:rsid w:val="00E24B44"/>
    <w:rsid w:val="00E259DD"/>
    <w:rsid w:val="00E262B8"/>
    <w:rsid w:val="00E2651C"/>
    <w:rsid w:val="00E26A82"/>
    <w:rsid w:val="00E26E9C"/>
    <w:rsid w:val="00E27135"/>
    <w:rsid w:val="00E278F3"/>
    <w:rsid w:val="00E30778"/>
    <w:rsid w:val="00E30D87"/>
    <w:rsid w:val="00E328A4"/>
    <w:rsid w:val="00E33458"/>
    <w:rsid w:val="00E338FB"/>
    <w:rsid w:val="00E33C0A"/>
    <w:rsid w:val="00E341E0"/>
    <w:rsid w:val="00E34D60"/>
    <w:rsid w:val="00E35184"/>
    <w:rsid w:val="00E35C38"/>
    <w:rsid w:val="00E3697A"/>
    <w:rsid w:val="00E37579"/>
    <w:rsid w:val="00E37E09"/>
    <w:rsid w:val="00E40179"/>
    <w:rsid w:val="00E40D5D"/>
    <w:rsid w:val="00E4102D"/>
    <w:rsid w:val="00E413EA"/>
    <w:rsid w:val="00E42D79"/>
    <w:rsid w:val="00E43E5F"/>
    <w:rsid w:val="00E464E7"/>
    <w:rsid w:val="00E4692D"/>
    <w:rsid w:val="00E46BD1"/>
    <w:rsid w:val="00E46D3D"/>
    <w:rsid w:val="00E47061"/>
    <w:rsid w:val="00E479EA"/>
    <w:rsid w:val="00E50055"/>
    <w:rsid w:val="00E51186"/>
    <w:rsid w:val="00E522E3"/>
    <w:rsid w:val="00E54BA9"/>
    <w:rsid w:val="00E54D5C"/>
    <w:rsid w:val="00E5648D"/>
    <w:rsid w:val="00E57CBC"/>
    <w:rsid w:val="00E60E03"/>
    <w:rsid w:val="00E612D4"/>
    <w:rsid w:val="00E61D77"/>
    <w:rsid w:val="00E6292A"/>
    <w:rsid w:val="00E64834"/>
    <w:rsid w:val="00E6528E"/>
    <w:rsid w:val="00E65480"/>
    <w:rsid w:val="00E654EB"/>
    <w:rsid w:val="00E65D80"/>
    <w:rsid w:val="00E65F06"/>
    <w:rsid w:val="00E6758D"/>
    <w:rsid w:val="00E67C49"/>
    <w:rsid w:val="00E702B0"/>
    <w:rsid w:val="00E712A3"/>
    <w:rsid w:val="00E72387"/>
    <w:rsid w:val="00E72CA5"/>
    <w:rsid w:val="00E739BC"/>
    <w:rsid w:val="00E73EFE"/>
    <w:rsid w:val="00E755CF"/>
    <w:rsid w:val="00E756D5"/>
    <w:rsid w:val="00E7661E"/>
    <w:rsid w:val="00E76976"/>
    <w:rsid w:val="00E76AB6"/>
    <w:rsid w:val="00E76E37"/>
    <w:rsid w:val="00E774E1"/>
    <w:rsid w:val="00E77E96"/>
    <w:rsid w:val="00E80DD9"/>
    <w:rsid w:val="00E81267"/>
    <w:rsid w:val="00E827BA"/>
    <w:rsid w:val="00E8302F"/>
    <w:rsid w:val="00E83FA3"/>
    <w:rsid w:val="00E844BE"/>
    <w:rsid w:val="00E84BD6"/>
    <w:rsid w:val="00E8513B"/>
    <w:rsid w:val="00E8522B"/>
    <w:rsid w:val="00E8528F"/>
    <w:rsid w:val="00E85977"/>
    <w:rsid w:val="00E85F74"/>
    <w:rsid w:val="00E870B5"/>
    <w:rsid w:val="00E871B4"/>
    <w:rsid w:val="00E87E7E"/>
    <w:rsid w:val="00E93303"/>
    <w:rsid w:val="00E93465"/>
    <w:rsid w:val="00E939DD"/>
    <w:rsid w:val="00E96711"/>
    <w:rsid w:val="00E96ED8"/>
    <w:rsid w:val="00E978BB"/>
    <w:rsid w:val="00E97B3A"/>
    <w:rsid w:val="00EA0003"/>
    <w:rsid w:val="00EA05DB"/>
    <w:rsid w:val="00EA0BE5"/>
    <w:rsid w:val="00EA1643"/>
    <w:rsid w:val="00EA21A1"/>
    <w:rsid w:val="00EA35D6"/>
    <w:rsid w:val="00EA3A17"/>
    <w:rsid w:val="00EA43B9"/>
    <w:rsid w:val="00EA43CB"/>
    <w:rsid w:val="00EA468C"/>
    <w:rsid w:val="00EA6D52"/>
    <w:rsid w:val="00EA6FBD"/>
    <w:rsid w:val="00EA72B6"/>
    <w:rsid w:val="00EA7668"/>
    <w:rsid w:val="00EB20D4"/>
    <w:rsid w:val="00EB2E15"/>
    <w:rsid w:val="00EB3789"/>
    <w:rsid w:val="00EB3C10"/>
    <w:rsid w:val="00EB3E83"/>
    <w:rsid w:val="00EB4FDF"/>
    <w:rsid w:val="00EB51F1"/>
    <w:rsid w:val="00EB6B5C"/>
    <w:rsid w:val="00EB6D5F"/>
    <w:rsid w:val="00EB78E1"/>
    <w:rsid w:val="00EC0B84"/>
    <w:rsid w:val="00EC0EE4"/>
    <w:rsid w:val="00EC19F2"/>
    <w:rsid w:val="00EC25A8"/>
    <w:rsid w:val="00EC2677"/>
    <w:rsid w:val="00EC4B3A"/>
    <w:rsid w:val="00EC4F64"/>
    <w:rsid w:val="00EC6256"/>
    <w:rsid w:val="00EC7CCE"/>
    <w:rsid w:val="00EC7D46"/>
    <w:rsid w:val="00ED21A8"/>
    <w:rsid w:val="00ED2989"/>
    <w:rsid w:val="00ED2F94"/>
    <w:rsid w:val="00ED3FF5"/>
    <w:rsid w:val="00ED4E78"/>
    <w:rsid w:val="00EE02DD"/>
    <w:rsid w:val="00EE0FAC"/>
    <w:rsid w:val="00EE11BC"/>
    <w:rsid w:val="00EE1270"/>
    <w:rsid w:val="00EE19BE"/>
    <w:rsid w:val="00EE1D13"/>
    <w:rsid w:val="00EE1DE5"/>
    <w:rsid w:val="00EE2205"/>
    <w:rsid w:val="00EE2500"/>
    <w:rsid w:val="00EE34CE"/>
    <w:rsid w:val="00EE3692"/>
    <w:rsid w:val="00EE3859"/>
    <w:rsid w:val="00EE43CE"/>
    <w:rsid w:val="00EE4D01"/>
    <w:rsid w:val="00EE5142"/>
    <w:rsid w:val="00EE54A8"/>
    <w:rsid w:val="00EE585F"/>
    <w:rsid w:val="00EE5D72"/>
    <w:rsid w:val="00EE5DD1"/>
    <w:rsid w:val="00EE65F6"/>
    <w:rsid w:val="00EE72B1"/>
    <w:rsid w:val="00EE77C9"/>
    <w:rsid w:val="00EE7F06"/>
    <w:rsid w:val="00EF059C"/>
    <w:rsid w:val="00EF0B91"/>
    <w:rsid w:val="00EF113E"/>
    <w:rsid w:val="00EF167D"/>
    <w:rsid w:val="00EF196C"/>
    <w:rsid w:val="00EF2090"/>
    <w:rsid w:val="00EF2347"/>
    <w:rsid w:val="00EF28E8"/>
    <w:rsid w:val="00EF2C34"/>
    <w:rsid w:val="00EF2ED1"/>
    <w:rsid w:val="00EF301C"/>
    <w:rsid w:val="00EF30A9"/>
    <w:rsid w:val="00EF38E3"/>
    <w:rsid w:val="00EF3E83"/>
    <w:rsid w:val="00EF41B5"/>
    <w:rsid w:val="00EF5781"/>
    <w:rsid w:val="00EF6319"/>
    <w:rsid w:val="00EF652F"/>
    <w:rsid w:val="00EF787D"/>
    <w:rsid w:val="00F0046F"/>
    <w:rsid w:val="00F00CCD"/>
    <w:rsid w:val="00F01077"/>
    <w:rsid w:val="00F01A49"/>
    <w:rsid w:val="00F01DC5"/>
    <w:rsid w:val="00F01F09"/>
    <w:rsid w:val="00F026F5"/>
    <w:rsid w:val="00F02A4F"/>
    <w:rsid w:val="00F02B10"/>
    <w:rsid w:val="00F02DA6"/>
    <w:rsid w:val="00F049B2"/>
    <w:rsid w:val="00F05292"/>
    <w:rsid w:val="00F053C8"/>
    <w:rsid w:val="00F06144"/>
    <w:rsid w:val="00F0643B"/>
    <w:rsid w:val="00F10288"/>
    <w:rsid w:val="00F10F61"/>
    <w:rsid w:val="00F110E3"/>
    <w:rsid w:val="00F12158"/>
    <w:rsid w:val="00F12226"/>
    <w:rsid w:val="00F12263"/>
    <w:rsid w:val="00F12ADC"/>
    <w:rsid w:val="00F14F7B"/>
    <w:rsid w:val="00F1556A"/>
    <w:rsid w:val="00F16365"/>
    <w:rsid w:val="00F16AFA"/>
    <w:rsid w:val="00F17B0E"/>
    <w:rsid w:val="00F17B6D"/>
    <w:rsid w:val="00F20159"/>
    <w:rsid w:val="00F20331"/>
    <w:rsid w:val="00F2150C"/>
    <w:rsid w:val="00F22683"/>
    <w:rsid w:val="00F22F6C"/>
    <w:rsid w:val="00F230D5"/>
    <w:rsid w:val="00F23DF8"/>
    <w:rsid w:val="00F23E00"/>
    <w:rsid w:val="00F24276"/>
    <w:rsid w:val="00F264EE"/>
    <w:rsid w:val="00F26ABD"/>
    <w:rsid w:val="00F26D50"/>
    <w:rsid w:val="00F30C3D"/>
    <w:rsid w:val="00F316B2"/>
    <w:rsid w:val="00F32EC9"/>
    <w:rsid w:val="00F33953"/>
    <w:rsid w:val="00F33BAC"/>
    <w:rsid w:val="00F34E4B"/>
    <w:rsid w:val="00F34EF2"/>
    <w:rsid w:val="00F35A3A"/>
    <w:rsid w:val="00F36B99"/>
    <w:rsid w:val="00F36C45"/>
    <w:rsid w:val="00F37BB1"/>
    <w:rsid w:val="00F37E3A"/>
    <w:rsid w:val="00F40CFA"/>
    <w:rsid w:val="00F413FC"/>
    <w:rsid w:val="00F42086"/>
    <w:rsid w:val="00F4353A"/>
    <w:rsid w:val="00F44852"/>
    <w:rsid w:val="00F459E2"/>
    <w:rsid w:val="00F47076"/>
    <w:rsid w:val="00F4774A"/>
    <w:rsid w:val="00F47767"/>
    <w:rsid w:val="00F47B92"/>
    <w:rsid w:val="00F50B07"/>
    <w:rsid w:val="00F50E74"/>
    <w:rsid w:val="00F51536"/>
    <w:rsid w:val="00F51638"/>
    <w:rsid w:val="00F51A0B"/>
    <w:rsid w:val="00F51C34"/>
    <w:rsid w:val="00F52895"/>
    <w:rsid w:val="00F52D72"/>
    <w:rsid w:val="00F5335A"/>
    <w:rsid w:val="00F5370C"/>
    <w:rsid w:val="00F54866"/>
    <w:rsid w:val="00F564F6"/>
    <w:rsid w:val="00F56909"/>
    <w:rsid w:val="00F56C58"/>
    <w:rsid w:val="00F6015D"/>
    <w:rsid w:val="00F60539"/>
    <w:rsid w:val="00F612DC"/>
    <w:rsid w:val="00F61C0A"/>
    <w:rsid w:val="00F62610"/>
    <w:rsid w:val="00F626ED"/>
    <w:rsid w:val="00F63CCB"/>
    <w:rsid w:val="00F6440B"/>
    <w:rsid w:val="00F6503F"/>
    <w:rsid w:val="00F65301"/>
    <w:rsid w:val="00F6683C"/>
    <w:rsid w:val="00F66BDE"/>
    <w:rsid w:val="00F66FE0"/>
    <w:rsid w:val="00F67DF6"/>
    <w:rsid w:val="00F708D9"/>
    <w:rsid w:val="00F70DB9"/>
    <w:rsid w:val="00F71AE3"/>
    <w:rsid w:val="00F741F2"/>
    <w:rsid w:val="00F74681"/>
    <w:rsid w:val="00F75755"/>
    <w:rsid w:val="00F76810"/>
    <w:rsid w:val="00F76AB8"/>
    <w:rsid w:val="00F772E3"/>
    <w:rsid w:val="00F77C93"/>
    <w:rsid w:val="00F77DC4"/>
    <w:rsid w:val="00F80030"/>
    <w:rsid w:val="00F804AC"/>
    <w:rsid w:val="00F80965"/>
    <w:rsid w:val="00F81158"/>
    <w:rsid w:val="00F82CBE"/>
    <w:rsid w:val="00F83227"/>
    <w:rsid w:val="00F83CE9"/>
    <w:rsid w:val="00F8434D"/>
    <w:rsid w:val="00F84601"/>
    <w:rsid w:val="00F846E2"/>
    <w:rsid w:val="00F8470E"/>
    <w:rsid w:val="00F85C85"/>
    <w:rsid w:val="00F8628B"/>
    <w:rsid w:val="00F8642A"/>
    <w:rsid w:val="00F86B98"/>
    <w:rsid w:val="00F87995"/>
    <w:rsid w:val="00F90C4A"/>
    <w:rsid w:val="00F917A5"/>
    <w:rsid w:val="00F925AD"/>
    <w:rsid w:val="00F93AFB"/>
    <w:rsid w:val="00F96144"/>
    <w:rsid w:val="00F96AB3"/>
    <w:rsid w:val="00F97E7B"/>
    <w:rsid w:val="00FA0B7F"/>
    <w:rsid w:val="00FA0CD3"/>
    <w:rsid w:val="00FA13FC"/>
    <w:rsid w:val="00FA1770"/>
    <w:rsid w:val="00FA19C3"/>
    <w:rsid w:val="00FA1B4B"/>
    <w:rsid w:val="00FA1CC7"/>
    <w:rsid w:val="00FA2C27"/>
    <w:rsid w:val="00FA4132"/>
    <w:rsid w:val="00FA50F8"/>
    <w:rsid w:val="00FA7A18"/>
    <w:rsid w:val="00FA7D52"/>
    <w:rsid w:val="00FB1325"/>
    <w:rsid w:val="00FB3AE0"/>
    <w:rsid w:val="00FB3F8A"/>
    <w:rsid w:val="00FB4751"/>
    <w:rsid w:val="00FB524F"/>
    <w:rsid w:val="00FB56C8"/>
    <w:rsid w:val="00FB603F"/>
    <w:rsid w:val="00FB6049"/>
    <w:rsid w:val="00FB7CF3"/>
    <w:rsid w:val="00FC0508"/>
    <w:rsid w:val="00FC09E5"/>
    <w:rsid w:val="00FC09F6"/>
    <w:rsid w:val="00FC0FA1"/>
    <w:rsid w:val="00FC0FED"/>
    <w:rsid w:val="00FC2462"/>
    <w:rsid w:val="00FC25B9"/>
    <w:rsid w:val="00FC2902"/>
    <w:rsid w:val="00FC3AE7"/>
    <w:rsid w:val="00FC3E16"/>
    <w:rsid w:val="00FC41C6"/>
    <w:rsid w:val="00FC5885"/>
    <w:rsid w:val="00FC5A52"/>
    <w:rsid w:val="00FC5F23"/>
    <w:rsid w:val="00FC66E9"/>
    <w:rsid w:val="00FC7000"/>
    <w:rsid w:val="00FC7A7B"/>
    <w:rsid w:val="00FD0315"/>
    <w:rsid w:val="00FD0B52"/>
    <w:rsid w:val="00FD0D5F"/>
    <w:rsid w:val="00FD1BDD"/>
    <w:rsid w:val="00FD1E22"/>
    <w:rsid w:val="00FD21BE"/>
    <w:rsid w:val="00FD26CC"/>
    <w:rsid w:val="00FD282A"/>
    <w:rsid w:val="00FD38A8"/>
    <w:rsid w:val="00FD4839"/>
    <w:rsid w:val="00FD4A85"/>
    <w:rsid w:val="00FD5561"/>
    <w:rsid w:val="00FD5D4F"/>
    <w:rsid w:val="00FD6F24"/>
    <w:rsid w:val="00FD7C10"/>
    <w:rsid w:val="00FD7CBE"/>
    <w:rsid w:val="00FD7E25"/>
    <w:rsid w:val="00FE0039"/>
    <w:rsid w:val="00FE0892"/>
    <w:rsid w:val="00FE1163"/>
    <w:rsid w:val="00FE1A8F"/>
    <w:rsid w:val="00FE2240"/>
    <w:rsid w:val="00FE2EE1"/>
    <w:rsid w:val="00FE41A1"/>
    <w:rsid w:val="00FE4363"/>
    <w:rsid w:val="00FE4B2A"/>
    <w:rsid w:val="00FE5F3B"/>
    <w:rsid w:val="00FE61D3"/>
    <w:rsid w:val="00FE62DB"/>
    <w:rsid w:val="00FE642F"/>
    <w:rsid w:val="00FE7731"/>
    <w:rsid w:val="00FE7F0D"/>
    <w:rsid w:val="00FF061A"/>
    <w:rsid w:val="00FF1CFC"/>
    <w:rsid w:val="00FF2B8A"/>
    <w:rsid w:val="00FF306C"/>
    <w:rsid w:val="00FF3E0C"/>
    <w:rsid w:val="00FF54FE"/>
    <w:rsid w:val="00FF61C2"/>
    <w:rsid w:val="00FF7F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E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885"/>
    <w:pPr>
      <w:spacing w:before="120" w:after="280" w:line="276" w:lineRule="auto"/>
      <w:jc w:val="both"/>
    </w:pPr>
    <w:rPr>
      <w:rFonts w:ascii="Arial" w:hAnsi="Arial"/>
      <w:color w:val="253746"/>
    </w:rPr>
  </w:style>
  <w:style w:type="paragraph" w:styleId="Ttulo1">
    <w:name w:val="heading 1"/>
    <w:basedOn w:val="Normal"/>
    <w:next w:val="Normal"/>
    <w:link w:val="Ttulo1Car"/>
    <w:autoRedefine/>
    <w:uiPriority w:val="9"/>
    <w:qFormat/>
    <w:rsid w:val="009F1C3F"/>
    <w:pPr>
      <w:keepNext/>
      <w:widowControl w:val="0"/>
      <w:spacing w:before="0" w:after="0" w:line="240" w:lineRule="auto"/>
      <w:jc w:val="left"/>
      <w:outlineLvl w:val="0"/>
    </w:pPr>
    <w:rPr>
      <w:rFonts w:eastAsiaTheme="majorEastAsia" w:cstheme="majorBidi"/>
      <w:b/>
      <w:bCs/>
      <w:snapToGrid w:val="0"/>
      <w:color w:val="78BE20"/>
      <w:kern w:val="32"/>
      <w:sz w:val="32"/>
      <w:szCs w:val="32"/>
    </w:rPr>
  </w:style>
  <w:style w:type="paragraph" w:styleId="Ttulo2">
    <w:name w:val="heading 2"/>
    <w:basedOn w:val="Normal"/>
    <w:next w:val="Normal"/>
    <w:link w:val="Ttulo2Car"/>
    <w:autoRedefine/>
    <w:uiPriority w:val="9"/>
    <w:unhideWhenUsed/>
    <w:qFormat/>
    <w:rsid w:val="00024B4E"/>
    <w:pPr>
      <w:keepNext/>
      <w:widowControl w:val="0"/>
      <w:spacing w:after="0" w:line="240" w:lineRule="auto"/>
      <w:ind w:left="66"/>
      <w:jc w:val="left"/>
      <w:outlineLvl w:val="1"/>
    </w:pPr>
    <w:rPr>
      <w:rFonts w:eastAsiaTheme="majorEastAsia" w:cstheme="majorBidi"/>
      <w:b/>
      <w:bCs/>
      <w:iCs/>
      <w:snapToGrid w:val="0"/>
      <w:color w:val="78BE20"/>
      <w:sz w:val="30"/>
      <w:szCs w:val="28"/>
      <w:lang w:val="es-ES_tradnl"/>
    </w:rPr>
  </w:style>
  <w:style w:type="paragraph" w:styleId="Ttulo3">
    <w:name w:val="heading 3"/>
    <w:basedOn w:val="Normal"/>
    <w:next w:val="Normal"/>
    <w:link w:val="Ttulo3Car"/>
    <w:autoRedefine/>
    <w:uiPriority w:val="9"/>
    <w:unhideWhenUsed/>
    <w:qFormat/>
    <w:rsid w:val="00EA0BE5"/>
    <w:pPr>
      <w:keepNext/>
      <w:widowControl w:val="0"/>
      <w:spacing w:before="0" w:after="240" w:line="240" w:lineRule="auto"/>
      <w:jc w:val="left"/>
      <w:outlineLvl w:val="2"/>
    </w:pPr>
    <w:rPr>
      <w:rFonts w:eastAsiaTheme="majorEastAsia" w:cstheme="majorBidi"/>
      <w:b/>
      <w:bCs/>
      <w:snapToGrid w:val="0"/>
      <w:color w:val="78BE20"/>
      <w:sz w:val="24"/>
      <w:szCs w:val="26"/>
    </w:rPr>
  </w:style>
  <w:style w:type="paragraph" w:styleId="Ttulo4">
    <w:name w:val="heading 4"/>
    <w:basedOn w:val="Normal"/>
    <w:next w:val="Normal"/>
    <w:link w:val="Ttulo4Car"/>
    <w:autoRedefine/>
    <w:uiPriority w:val="9"/>
    <w:unhideWhenUsed/>
    <w:qFormat/>
    <w:rsid w:val="00DE69A1"/>
    <w:pPr>
      <w:keepNext/>
      <w:keepLines/>
      <w:spacing w:after="240" w:line="240" w:lineRule="auto"/>
      <w:outlineLvl w:val="3"/>
    </w:pPr>
    <w:rPr>
      <w:color w:val="78BE20"/>
      <w:szCs w:val="24"/>
    </w:rPr>
  </w:style>
  <w:style w:type="paragraph" w:styleId="Ttulo5">
    <w:name w:val="heading 5"/>
    <w:basedOn w:val="Normal"/>
    <w:next w:val="Normal"/>
    <w:link w:val="Ttulo5Car"/>
    <w:autoRedefine/>
    <w:uiPriority w:val="9"/>
    <w:unhideWhenUsed/>
    <w:qFormat/>
    <w:rsid w:val="000A7F4A"/>
    <w:pPr>
      <w:keepNext/>
      <w:keepLines/>
      <w:tabs>
        <w:tab w:val="left" w:pos="0"/>
      </w:tabs>
      <w:spacing w:before="80" w:after="0"/>
      <w:outlineLvl w:val="4"/>
    </w:pPr>
    <w:rPr>
      <w:rFonts w:asciiTheme="majorHAnsi" w:eastAsiaTheme="majorEastAsia" w:hAnsiTheme="majorHAnsi" w:cstheme="majorBidi"/>
      <w:i/>
      <w:iCs/>
      <w:color w:val="4472C4" w:themeColor="accent1"/>
    </w:rPr>
  </w:style>
  <w:style w:type="paragraph" w:styleId="Ttulo6">
    <w:name w:val="heading 6"/>
    <w:basedOn w:val="Normal"/>
    <w:next w:val="Normal"/>
    <w:link w:val="Ttulo6Car"/>
    <w:autoRedefine/>
    <w:uiPriority w:val="9"/>
    <w:unhideWhenUsed/>
    <w:qFormat/>
    <w:rsid w:val="000A7F4A"/>
    <w:pPr>
      <w:keepNext/>
      <w:keepLines/>
      <w:spacing w:before="80" w:after="0"/>
      <w:outlineLvl w:val="5"/>
    </w:pPr>
    <w:rPr>
      <w:rFonts w:asciiTheme="majorHAnsi" w:eastAsiaTheme="majorEastAsia" w:hAnsiTheme="majorHAnsi" w:cstheme="majorBidi"/>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A0BE5"/>
    <w:rPr>
      <w:rFonts w:ascii="Arial" w:eastAsiaTheme="majorEastAsia" w:hAnsi="Arial" w:cstheme="majorBidi"/>
      <w:b/>
      <w:bCs/>
      <w:snapToGrid w:val="0"/>
      <w:color w:val="78BE20"/>
      <w:sz w:val="24"/>
      <w:szCs w:val="26"/>
    </w:rPr>
  </w:style>
  <w:style w:type="character" w:customStyle="1" w:styleId="Ttulo1Car">
    <w:name w:val="Título 1 Car"/>
    <w:basedOn w:val="Fuentedeprrafopredeter"/>
    <w:link w:val="Ttulo1"/>
    <w:uiPriority w:val="9"/>
    <w:rsid w:val="009F1C3F"/>
    <w:rPr>
      <w:rFonts w:ascii="Arial" w:eastAsiaTheme="majorEastAsia" w:hAnsi="Arial" w:cstheme="majorBidi"/>
      <w:b/>
      <w:bCs/>
      <w:snapToGrid w:val="0"/>
      <w:color w:val="78BE20"/>
      <w:kern w:val="32"/>
      <w:sz w:val="32"/>
      <w:szCs w:val="32"/>
    </w:rPr>
  </w:style>
  <w:style w:type="character" w:customStyle="1" w:styleId="Ttulo2Car">
    <w:name w:val="Título 2 Car"/>
    <w:basedOn w:val="Fuentedeprrafopredeter"/>
    <w:link w:val="Ttulo2"/>
    <w:uiPriority w:val="9"/>
    <w:rsid w:val="00024B4E"/>
    <w:rPr>
      <w:rFonts w:ascii="Arial" w:eastAsiaTheme="majorEastAsia" w:hAnsi="Arial" w:cstheme="majorBidi"/>
      <w:b/>
      <w:bCs/>
      <w:iCs/>
      <w:snapToGrid w:val="0"/>
      <w:color w:val="78BE20"/>
      <w:sz w:val="30"/>
      <w:szCs w:val="28"/>
      <w:lang w:val="es-ES_tradnl"/>
    </w:rPr>
  </w:style>
  <w:style w:type="paragraph" w:styleId="Prrafodelista">
    <w:name w:val="List Paragraph"/>
    <w:basedOn w:val="Normal"/>
    <w:link w:val="PrrafodelistaCar"/>
    <w:autoRedefine/>
    <w:uiPriority w:val="34"/>
    <w:qFormat/>
    <w:rsid w:val="00564CC6"/>
    <w:pPr>
      <w:numPr>
        <w:numId w:val="7"/>
      </w:numPr>
      <w:spacing w:before="0" w:after="0" w:line="280" w:lineRule="exact"/>
      <w:contextualSpacing/>
    </w:pPr>
  </w:style>
  <w:style w:type="character" w:customStyle="1" w:styleId="Ttulo5Car">
    <w:name w:val="Título 5 Car"/>
    <w:basedOn w:val="Fuentedeprrafopredeter"/>
    <w:link w:val="Ttulo5"/>
    <w:uiPriority w:val="9"/>
    <w:rsid w:val="000A7F4A"/>
    <w:rPr>
      <w:rFonts w:asciiTheme="majorHAnsi" w:eastAsiaTheme="majorEastAsia" w:hAnsiTheme="majorHAnsi" w:cstheme="majorBidi"/>
      <w:i/>
      <w:iCs/>
      <w:color w:val="4472C4" w:themeColor="accent1"/>
    </w:rPr>
  </w:style>
  <w:style w:type="character" w:customStyle="1" w:styleId="Ttulo6Car">
    <w:name w:val="Título 6 Car"/>
    <w:basedOn w:val="Fuentedeprrafopredeter"/>
    <w:link w:val="Ttulo6"/>
    <w:uiPriority w:val="9"/>
    <w:rsid w:val="000A7F4A"/>
    <w:rPr>
      <w:rFonts w:asciiTheme="majorHAnsi" w:eastAsiaTheme="majorEastAsia" w:hAnsiTheme="majorHAnsi" w:cstheme="majorBidi"/>
      <w:i/>
    </w:rPr>
  </w:style>
  <w:style w:type="paragraph" w:styleId="Citadestacada">
    <w:name w:val="Intense Quote"/>
    <w:basedOn w:val="Normal"/>
    <w:next w:val="Normal"/>
    <w:link w:val="CitadestacadaCar"/>
    <w:autoRedefine/>
    <w:uiPriority w:val="30"/>
    <w:qFormat/>
    <w:rsid w:val="008246CC"/>
    <w:pPr>
      <w:pBdr>
        <w:right w:val="single" w:sz="4" w:space="4" w:color="auto"/>
      </w:pBdr>
      <w:spacing w:before="100" w:beforeAutospacing="1" w:after="240"/>
      <w:ind w:left="2832" w:right="1701"/>
      <w:jc w:val="right"/>
    </w:pPr>
    <w:rPr>
      <w:rFonts w:asciiTheme="majorHAnsi" w:eastAsiaTheme="majorEastAsia" w:hAnsiTheme="majorHAnsi" w:cstheme="majorBidi"/>
      <w:bCs/>
      <w:i/>
      <w:color w:val="808080" w:themeColor="background1" w:themeShade="80"/>
      <w:szCs w:val="28"/>
    </w:rPr>
  </w:style>
  <w:style w:type="character" w:customStyle="1" w:styleId="CitadestacadaCar">
    <w:name w:val="Cita destacada Car"/>
    <w:basedOn w:val="Fuentedeprrafopredeter"/>
    <w:link w:val="Citadestacada"/>
    <w:uiPriority w:val="30"/>
    <w:rsid w:val="008246CC"/>
    <w:rPr>
      <w:rFonts w:asciiTheme="majorHAnsi" w:eastAsiaTheme="majorEastAsia" w:hAnsiTheme="majorHAnsi" w:cstheme="majorBidi"/>
      <w:bCs/>
      <w:i/>
      <w:color w:val="808080" w:themeColor="background1" w:themeShade="80"/>
      <w:szCs w:val="28"/>
    </w:rPr>
  </w:style>
  <w:style w:type="character" w:customStyle="1" w:styleId="Ttulo4Car">
    <w:name w:val="Título 4 Car"/>
    <w:link w:val="Ttulo4"/>
    <w:uiPriority w:val="9"/>
    <w:rsid w:val="00DE69A1"/>
    <w:rPr>
      <w:rFonts w:ascii="Arial" w:hAnsi="Arial"/>
      <w:color w:val="78BE20"/>
      <w:szCs w:val="24"/>
    </w:rPr>
  </w:style>
  <w:style w:type="paragraph" w:styleId="Encabezado">
    <w:name w:val="header"/>
    <w:basedOn w:val="Normal"/>
    <w:link w:val="EncabezadoCar"/>
    <w:uiPriority w:val="99"/>
    <w:unhideWhenUsed/>
    <w:rsid w:val="001F4F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4F86"/>
    <w:rPr>
      <w:rFonts w:ascii="Helvetica light" w:hAnsi="Helvetica light"/>
      <w:sz w:val="24"/>
    </w:rPr>
  </w:style>
  <w:style w:type="paragraph" w:styleId="Piedepgina">
    <w:name w:val="footer"/>
    <w:basedOn w:val="Normal"/>
    <w:link w:val="PiedepginaCar"/>
    <w:uiPriority w:val="99"/>
    <w:unhideWhenUsed/>
    <w:rsid w:val="001F4F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4F86"/>
    <w:rPr>
      <w:rFonts w:ascii="Helvetica light" w:hAnsi="Helvetica light"/>
      <w:sz w:val="24"/>
    </w:rPr>
  </w:style>
  <w:style w:type="table" w:styleId="Tablaconcuadrcula">
    <w:name w:val="Table Grid"/>
    <w:basedOn w:val="Tablanormal"/>
    <w:uiPriority w:val="39"/>
    <w:rsid w:val="00943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Fuentedeprrafopredeter"/>
    <w:rsid w:val="00F16AFA"/>
  </w:style>
  <w:style w:type="character" w:styleId="Textoennegrita">
    <w:name w:val="Strong"/>
    <w:uiPriority w:val="22"/>
    <w:qFormat/>
    <w:rsid w:val="00C141E8"/>
    <w:rPr>
      <w:b/>
      <w:bCs/>
    </w:rPr>
  </w:style>
  <w:style w:type="paragraph" w:styleId="Textonotapie">
    <w:name w:val="footnote text"/>
    <w:basedOn w:val="Normal"/>
    <w:link w:val="TextonotapieCar"/>
    <w:uiPriority w:val="99"/>
    <w:unhideWhenUsed/>
    <w:rsid w:val="001829F7"/>
    <w:pPr>
      <w:spacing w:after="0" w:line="240" w:lineRule="auto"/>
    </w:pPr>
    <w:rPr>
      <w:rFonts w:ascii="Helvetica" w:eastAsia="Times New Roman" w:hAnsi="Helvetica" w:cs="Times New Roman"/>
      <w:sz w:val="20"/>
      <w:szCs w:val="20"/>
    </w:rPr>
  </w:style>
  <w:style w:type="character" w:customStyle="1" w:styleId="TextonotapieCar">
    <w:name w:val="Texto nota pie Car"/>
    <w:basedOn w:val="Fuentedeprrafopredeter"/>
    <w:link w:val="Textonotapie"/>
    <w:uiPriority w:val="99"/>
    <w:rsid w:val="001829F7"/>
    <w:rPr>
      <w:rFonts w:ascii="Helvetica" w:eastAsia="Times New Roman" w:hAnsi="Helvetica" w:cs="Times New Roman"/>
      <w:sz w:val="20"/>
      <w:szCs w:val="20"/>
    </w:rPr>
  </w:style>
  <w:style w:type="character" w:styleId="Refdenotaalpie">
    <w:name w:val="footnote reference"/>
    <w:uiPriority w:val="99"/>
    <w:semiHidden/>
    <w:unhideWhenUsed/>
    <w:rsid w:val="001829F7"/>
    <w:rPr>
      <w:vertAlign w:val="superscript"/>
    </w:rPr>
  </w:style>
  <w:style w:type="character" w:styleId="Refdecomentario">
    <w:name w:val="annotation reference"/>
    <w:basedOn w:val="Fuentedeprrafopredeter"/>
    <w:uiPriority w:val="99"/>
    <w:semiHidden/>
    <w:unhideWhenUsed/>
    <w:rsid w:val="00AF72F2"/>
    <w:rPr>
      <w:sz w:val="16"/>
      <w:szCs w:val="16"/>
    </w:rPr>
  </w:style>
  <w:style w:type="paragraph" w:styleId="Textocomentario">
    <w:name w:val="annotation text"/>
    <w:basedOn w:val="Normal"/>
    <w:link w:val="TextocomentarioCar"/>
    <w:uiPriority w:val="99"/>
    <w:unhideWhenUsed/>
    <w:rsid w:val="00AF72F2"/>
    <w:pPr>
      <w:spacing w:line="240" w:lineRule="auto"/>
    </w:pPr>
    <w:rPr>
      <w:sz w:val="20"/>
      <w:szCs w:val="20"/>
    </w:rPr>
  </w:style>
  <w:style w:type="character" w:customStyle="1" w:styleId="TextocomentarioCar">
    <w:name w:val="Texto comentario Car"/>
    <w:basedOn w:val="Fuentedeprrafopredeter"/>
    <w:link w:val="Textocomentario"/>
    <w:uiPriority w:val="99"/>
    <w:rsid w:val="00AF72F2"/>
    <w:rPr>
      <w:rFonts w:ascii="Helvetica light" w:hAnsi="Helvetica light"/>
      <w:sz w:val="20"/>
      <w:szCs w:val="20"/>
    </w:rPr>
  </w:style>
  <w:style w:type="paragraph" w:styleId="Asuntodelcomentario">
    <w:name w:val="annotation subject"/>
    <w:basedOn w:val="Textocomentario"/>
    <w:next w:val="Textocomentario"/>
    <w:link w:val="AsuntodelcomentarioCar"/>
    <w:uiPriority w:val="99"/>
    <w:semiHidden/>
    <w:unhideWhenUsed/>
    <w:rsid w:val="00AF72F2"/>
    <w:rPr>
      <w:b/>
      <w:bCs/>
    </w:rPr>
  </w:style>
  <w:style w:type="character" w:customStyle="1" w:styleId="AsuntodelcomentarioCar">
    <w:name w:val="Asunto del comentario Car"/>
    <w:basedOn w:val="TextocomentarioCar"/>
    <w:link w:val="Asuntodelcomentario"/>
    <w:uiPriority w:val="99"/>
    <w:semiHidden/>
    <w:rsid w:val="00AF72F2"/>
    <w:rPr>
      <w:rFonts w:ascii="Helvetica light" w:hAnsi="Helvetica light"/>
      <w:b/>
      <w:bCs/>
      <w:sz w:val="20"/>
      <w:szCs w:val="20"/>
    </w:rPr>
  </w:style>
  <w:style w:type="character" w:styleId="Hipervnculo">
    <w:name w:val="Hyperlink"/>
    <w:basedOn w:val="Fuentedeprrafopredeter"/>
    <w:uiPriority w:val="99"/>
    <w:unhideWhenUsed/>
    <w:rsid w:val="007739E1"/>
    <w:rPr>
      <w:color w:val="0000FF"/>
      <w:u w:val="single"/>
    </w:rPr>
  </w:style>
  <w:style w:type="character" w:customStyle="1" w:styleId="Mencinsinresolver1">
    <w:name w:val="Mención sin resolver1"/>
    <w:basedOn w:val="Fuentedeprrafopredeter"/>
    <w:uiPriority w:val="99"/>
    <w:semiHidden/>
    <w:unhideWhenUsed/>
    <w:rsid w:val="00753F94"/>
    <w:rPr>
      <w:color w:val="605E5C"/>
      <w:shd w:val="clear" w:color="auto" w:fill="E1DFDD"/>
    </w:rPr>
  </w:style>
  <w:style w:type="paragraph" w:customStyle="1" w:styleId="1">
    <w:name w:val="1"/>
    <w:basedOn w:val="Normal"/>
    <w:rsid w:val="00F37BB1"/>
    <w:pPr>
      <w:spacing w:line="240" w:lineRule="exact"/>
      <w:jc w:val="left"/>
    </w:pPr>
    <w:rPr>
      <w:rFonts w:ascii="Tahoma" w:eastAsia="Times New Roman" w:hAnsi="Tahoma" w:cs="Times New Roman"/>
      <w:snapToGrid w:val="0"/>
      <w:color w:val="auto"/>
      <w:sz w:val="20"/>
      <w:szCs w:val="20"/>
      <w:lang w:val="en-US" w:eastAsia="en-GB"/>
    </w:rPr>
  </w:style>
  <w:style w:type="character" w:customStyle="1" w:styleId="hgkelc">
    <w:name w:val="hgkelc"/>
    <w:basedOn w:val="Fuentedeprrafopredeter"/>
    <w:rsid w:val="00FE41A1"/>
  </w:style>
  <w:style w:type="character" w:styleId="Hipervnculovisitado">
    <w:name w:val="FollowedHyperlink"/>
    <w:basedOn w:val="Fuentedeprrafopredeter"/>
    <w:uiPriority w:val="99"/>
    <w:semiHidden/>
    <w:unhideWhenUsed/>
    <w:rsid w:val="009D374D"/>
    <w:rPr>
      <w:color w:val="954F72" w:themeColor="followedHyperlink"/>
      <w:u w:val="single"/>
    </w:rPr>
  </w:style>
  <w:style w:type="paragraph" w:customStyle="1" w:styleId="cmparagraph">
    <w:name w:val="cmparagraph"/>
    <w:basedOn w:val="Normal"/>
    <w:rsid w:val="006E66B6"/>
    <w:pPr>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paragraph" w:styleId="Textodeglobo">
    <w:name w:val="Balloon Text"/>
    <w:basedOn w:val="Normal"/>
    <w:link w:val="TextodegloboCar"/>
    <w:uiPriority w:val="99"/>
    <w:semiHidden/>
    <w:unhideWhenUsed/>
    <w:rsid w:val="009949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49B0"/>
    <w:rPr>
      <w:rFonts w:ascii="Tahoma" w:hAnsi="Tahoma" w:cs="Tahoma"/>
      <w:color w:val="253746"/>
      <w:sz w:val="16"/>
      <w:szCs w:val="16"/>
    </w:rPr>
  </w:style>
  <w:style w:type="paragraph" w:styleId="Revisin">
    <w:name w:val="Revision"/>
    <w:hidden/>
    <w:uiPriority w:val="99"/>
    <w:semiHidden/>
    <w:rsid w:val="005F3A64"/>
    <w:pPr>
      <w:spacing w:after="0" w:line="240" w:lineRule="auto"/>
    </w:pPr>
    <w:rPr>
      <w:rFonts w:ascii="Arial" w:hAnsi="Arial"/>
      <w:color w:val="253746"/>
    </w:rPr>
  </w:style>
  <w:style w:type="character" w:customStyle="1" w:styleId="cf01">
    <w:name w:val="cf01"/>
    <w:basedOn w:val="Fuentedeprrafopredeter"/>
    <w:rsid w:val="00672003"/>
    <w:rPr>
      <w:rFonts w:ascii="Segoe UI" w:hAnsi="Segoe UI" w:cs="Segoe UI" w:hint="default"/>
      <w:color w:val="253746"/>
      <w:sz w:val="18"/>
      <w:szCs w:val="18"/>
    </w:rPr>
  </w:style>
  <w:style w:type="character" w:customStyle="1" w:styleId="ms-rtefontface-13">
    <w:name w:val="ms-rtefontface-13"/>
    <w:basedOn w:val="Fuentedeprrafopredeter"/>
    <w:rsid w:val="009D30C0"/>
  </w:style>
  <w:style w:type="character" w:customStyle="1" w:styleId="Mencinsinresolver2">
    <w:name w:val="Mención sin resolver2"/>
    <w:basedOn w:val="Fuentedeprrafopredeter"/>
    <w:uiPriority w:val="99"/>
    <w:semiHidden/>
    <w:unhideWhenUsed/>
    <w:rsid w:val="005A3B48"/>
    <w:rPr>
      <w:color w:val="605E5C"/>
      <w:shd w:val="clear" w:color="auto" w:fill="E1DFDD"/>
    </w:rPr>
  </w:style>
  <w:style w:type="paragraph" w:customStyle="1" w:styleId="Kursiva">
    <w:name w:val="Kursiva"/>
    <w:basedOn w:val="Normal"/>
    <w:link w:val="KursivaCar"/>
    <w:qFormat/>
    <w:rsid w:val="000E39DB"/>
    <w:rPr>
      <w:i/>
      <w:iCs/>
      <w:color w:val="78BE20"/>
    </w:rPr>
  </w:style>
  <w:style w:type="character" w:customStyle="1" w:styleId="KursivaCar">
    <w:name w:val="Kursiva Car"/>
    <w:basedOn w:val="Fuentedeprrafopredeter"/>
    <w:link w:val="Kursiva"/>
    <w:rsid w:val="000E39DB"/>
    <w:rPr>
      <w:rFonts w:ascii="Arial" w:hAnsi="Arial"/>
      <w:i/>
      <w:iCs/>
      <w:color w:val="78BE20"/>
    </w:rPr>
  </w:style>
  <w:style w:type="paragraph" w:styleId="NormalWeb">
    <w:name w:val="Normal (Web)"/>
    <w:basedOn w:val="Normal"/>
    <w:uiPriority w:val="99"/>
    <w:semiHidden/>
    <w:unhideWhenUsed/>
    <w:rsid w:val="001D4369"/>
    <w:pPr>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paragraph" w:customStyle="1" w:styleId="parrafo">
    <w:name w:val="parrafo"/>
    <w:basedOn w:val="Normal"/>
    <w:rsid w:val="001D4369"/>
    <w:pPr>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character" w:customStyle="1" w:styleId="PrrafodelistaCar">
    <w:name w:val="Párrafo de lista Car"/>
    <w:basedOn w:val="Fuentedeprrafopredeter"/>
    <w:link w:val="Prrafodelista"/>
    <w:uiPriority w:val="34"/>
    <w:locked/>
    <w:rsid w:val="00564CC6"/>
    <w:rPr>
      <w:rFonts w:ascii="Arial" w:hAnsi="Arial"/>
      <w:color w:val="253746"/>
    </w:rPr>
  </w:style>
  <w:style w:type="paragraph" w:customStyle="1" w:styleId="Resaltado">
    <w:name w:val="Resaltado"/>
    <w:basedOn w:val="Normal"/>
    <w:link w:val="ResaltadoCar"/>
    <w:autoRedefine/>
    <w:qFormat/>
    <w:rsid w:val="005121F6"/>
    <w:pPr>
      <w:spacing w:before="0" w:after="160"/>
    </w:pPr>
    <w:rPr>
      <w:rFonts w:ascii="Helvetica light" w:hAnsi="Helvetica light"/>
      <w:color w:val="E4001C"/>
      <w:spacing w:val="6"/>
      <w:sz w:val="24"/>
    </w:rPr>
  </w:style>
  <w:style w:type="character" w:customStyle="1" w:styleId="ResaltadoCar">
    <w:name w:val="Resaltado Car"/>
    <w:basedOn w:val="Fuentedeprrafopredeter"/>
    <w:link w:val="Resaltado"/>
    <w:rsid w:val="005121F6"/>
    <w:rPr>
      <w:rFonts w:ascii="Helvetica light" w:hAnsi="Helvetica light"/>
      <w:color w:val="E4001C"/>
      <w:spacing w:val="6"/>
      <w:sz w:val="24"/>
    </w:rPr>
  </w:style>
  <w:style w:type="paragraph" w:customStyle="1" w:styleId="Negrita">
    <w:name w:val="Negrita"/>
    <w:basedOn w:val="Normal"/>
    <w:link w:val="NegritaCar"/>
    <w:autoRedefine/>
    <w:qFormat/>
    <w:rsid w:val="005121F6"/>
    <w:pPr>
      <w:spacing w:before="0" w:after="160"/>
    </w:pPr>
    <w:rPr>
      <w:rFonts w:ascii="Helvetica light" w:hAnsi="Helvetica light"/>
      <w:b/>
      <w:color w:val="auto"/>
      <w:spacing w:val="8"/>
      <w:sz w:val="24"/>
    </w:rPr>
  </w:style>
  <w:style w:type="character" w:customStyle="1" w:styleId="NegritaCar">
    <w:name w:val="Negrita Car"/>
    <w:basedOn w:val="Fuentedeprrafopredeter"/>
    <w:link w:val="Negrita"/>
    <w:rsid w:val="005121F6"/>
    <w:rPr>
      <w:rFonts w:ascii="Helvetica light" w:hAnsi="Helvetica light"/>
      <w:b/>
      <w:spacing w:val="8"/>
      <w:sz w:val="24"/>
    </w:rPr>
  </w:style>
  <w:style w:type="paragraph" w:styleId="TtulodeTDC">
    <w:name w:val="TOC Heading"/>
    <w:basedOn w:val="Ttulo1"/>
    <w:next w:val="Normal"/>
    <w:uiPriority w:val="39"/>
    <w:unhideWhenUsed/>
    <w:qFormat/>
    <w:rsid w:val="00693837"/>
    <w:pPr>
      <w:keepLines/>
      <w:widowControl/>
      <w:spacing w:before="240" w:line="259" w:lineRule="auto"/>
      <w:outlineLvl w:val="9"/>
    </w:pPr>
    <w:rPr>
      <w:rFonts w:asciiTheme="majorHAnsi" w:hAnsiTheme="majorHAnsi"/>
      <w:b w:val="0"/>
      <w:bCs w:val="0"/>
      <w:snapToGrid/>
      <w:color w:val="2F5496" w:themeColor="accent1" w:themeShade="BF"/>
      <w:kern w:val="0"/>
      <w:lang w:eastAsia="es-ES"/>
    </w:rPr>
  </w:style>
  <w:style w:type="paragraph" w:styleId="TDC1">
    <w:name w:val="toc 1"/>
    <w:basedOn w:val="Normal"/>
    <w:next w:val="Normal"/>
    <w:autoRedefine/>
    <w:uiPriority w:val="39"/>
    <w:unhideWhenUsed/>
    <w:rsid w:val="002D6E43"/>
    <w:pPr>
      <w:tabs>
        <w:tab w:val="right" w:leader="dot" w:pos="8494"/>
      </w:tabs>
      <w:spacing w:before="0" w:after="0" w:line="240" w:lineRule="auto"/>
    </w:pPr>
  </w:style>
  <w:style w:type="paragraph" w:styleId="TDC2">
    <w:name w:val="toc 2"/>
    <w:basedOn w:val="Normal"/>
    <w:next w:val="Normal"/>
    <w:autoRedefine/>
    <w:uiPriority w:val="39"/>
    <w:unhideWhenUsed/>
    <w:rsid w:val="00693837"/>
    <w:pPr>
      <w:spacing w:after="100"/>
      <w:ind w:left="220"/>
    </w:pPr>
  </w:style>
  <w:style w:type="paragraph" w:styleId="TDC3">
    <w:name w:val="toc 3"/>
    <w:basedOn w:val="Normal"/>
    <w:next w:val="Normal"/>
    <w:autoRedefine/>
    <w:uiPriority w:val="39"/>
    <w:unhideWhenUsed/>
    <w:rsid w:val="00693837"/>
    <w:pPr>
      <w:spacing w:after="100"/>
      <w:ind w:left="440"/>
    </w:pPr>
  </w:style>
  <w:style w:type="paragraph" w:styleId="TDC4">
    <w:name w:val="toc 4"/>
    <w:basedOn w:val="Normal"/>
    <w:next w:val="Normal"/>
    <w:autoRedefine/>
    <w:uiPriority w:val="39"/>
    <w:unhideWhenUsed/>
    <w:rsid w:val="00693837"/>
    <w:pPr>
      <w:spacing w:before="0" w:after="100" w:line="259" w:lineRule="auto"/>
      <w:ind w:left="660"/>
      <w:jc w:val="left"/>
    </w:pPr>
    <w:rPr>
      <w:rFonts w:asciiTheme="minorHAnsi" w:eastAsiaTheme="minorEastAsia" w:hAnsiTheme="minorHAnsi"/>
      <w:color w:val="auto"/>
      <w:lang w:eastAsia="es-ES"/>
    </w:rPr>
  </w:style>
  <w:style w:type="paragraph" w:styleId="TDC5">
    <w:name w:val="toc 5"/>
    <w:basedOn w:val="Normal"/>
    <w:next w:val="Normal"/>
    <w:autoRedefine/>
    <w:uiPriority w:val="39"/>
    <w:unhideWhenUsed/>
    <w:rsid w:val="00693837"/>
    <w:pPr>
      <w:spacing w:before="0" w:after="100" w:line="259" w:lineRule="auto"/>
      <w:ind w:left="880"/>
      <w:jc w:val="left"/>
    </w:pPr>
    <w:rPr>
      <w:rFonts w:asciiTheme="minorHAnsi" w:eastAsiaTheme="minorEastAsia" w:hAnsiTheme="minorHAnsi"/>
      <w:color w:val="auto"/>
      <w:lang w:eastAsia="es-ES"/>
    </w:rPr>
  </w:style>
  <w:style w:type="paragraph" w:styleId="TDC6">
    <w:name w:val="toc 6"/>
    <w:basedOn w:val="Normal"/>
    <w:next w:val="Normal"/>
    <w:autoRedefine/>
    <w:uiPriority w:val="39"/>
    <w:unhideWhenUsed/>
    <w:rsid w:val="00693837"/>
    <w:pPr>
      <w:spacing w:before="0" w:after="100" w:line="259" w:lineRule="auto"/>
      <w:ind w:left="1100"/>
      <w:jc w:val="left"/>
    </w:pPr>
    <w:rPr>
      <w:rFonts w:asciiTheme="minorHAnsi" w:eastAsiaTheme="minorEastAsia" w:hAnsiTheme="minorHAnsi"/>
      <w:color w:val="auto"/>
      <w:lang w:eastAsia="es-ES"/>
    </w:rPr>
  </w:style>
  <w:style w:type="paragraph" w:styleId="TDC7">
    <w:name w:val="toc 7"/>
    <w:basedOn w:val="Normal"/>
    <w:next w:val="Normal"/>
    <w:autoRedefine/>
    <w:uiPriority w:val="39"/>
    <w:unhideWhenUsed/>
    <w:rsid w:val="00693837"/>
    <w:pPr>
      <w:spacing w:before="0" w:after="100" w:line="259" w:lineRule="auto"/>
      <w:ind w:left="1320"/>
      <w:jc w:val="left"/>
    </w:pPr>
    <w:rPr>
      <w:rFonts w:asciiTheme="minorHAnsi" w:eastAsiaTheme="minorEastAsia" w:hAnsiTheme="minorHAnsi"/>
      <w:color w:val="auto"/>
      <w:lang w:eastAsia="es-ES"/>
    </w:rPr>
  </w:style>
  <w:style w:type="paragraph" w:styleId="TDC8">
    <w:name w:val="toc 8"/>
    <w:basedOn w:val="Normal"/>
    <w:next w:val="Normal"/>
    <w:autoRedefine/>
    <w:uiPriority w:val="39"/>
    <w:unhideWhenUsed/>
    <w:rsid w:val="00693837"/>
    <w:pPr>
      <w:spacing w:before="0" w:after="100" w:line="259" w:lineRule="auto"/>
      <w:ind w:left="1540"/>
      <w:jc w:val="left"/>
    </w:pPr>
    <w:rPr>
      <w:rFonts w:asciiTheme="minorHAnsi" w:eastAsiaTheme="minorEastAsia" w:hAnsiTheme="minorHAnsi"/>
      <w:color w:val="auto"/>
      <w:lang w:eastAsia="es-ES"/>
    </w:rPr>
  </w:style>
  <w:style w:type="paragraph" w:styleId="TDC9">
    <w:name w:val="toc 9"/>
    <w:basedOn w:val="Normal"/>
    <w:next w:val="Normal"/>
    <w:autoRedefine/>
    <w:uiPriority w:val="39"/>
    <w:unhideWhenUsed/>
    <w:rsid w:val="00693837"/>
    <w:pPr>
      <w:spacing w:before="0" w:after="100" w:line="259" w:lineRule="auto"/>
      <w:ind w:left="1760"/>
      <w:jc w:val="left"/>
    </w:pPr>
    <w:rPr>
      <w:rFonts w:asciiTheme="minorHAnsi" w:eastAsiaTheme="minorEastAsia" w:hAnsiTheme="minorHAnsi"/>
      <w:color w:val="auto"/>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885"/>
    <w:pPr>
      <w:spacing w:before="120" w:after="280" w:line="276" w:lineRule="auto"/>
      <w:jc w:val="both"/>
    </w:pPr>
    <w:rPr>
      <w:rFonts w:ascii="Arial" w:hAnsi="Arial"/>
      <w:color w:val="253746"/>
    </w:rPr>
  </w:style>
  <w:style w:type="paragraph" w:styleId="Ttulo1">
    <w:name w:val="heading 1"/>
    <w:basedOn w:val="Normal"/>
    <w:next w:val="Normal"/>
    <w:link w:val="Ttulo1Car"/>
    <w:autoRedefine/>
    <w:uiPriority w:val="9"/>
    <w:qFormat/>
    <w:rsid w:val="009F1C3F"/>
    <w:pPr>
      <w:keepNext/>
      <w:widowControl w:val="0"/>
      <w:spacing w:before="0" w:after="0" w:line="240" w:lineRule="auto"/>
      <w:jc w:val="left"/>
      <w:outlineLvl w:val="0"/>
    </w:pPr>
    <w:rPr>
      <w:rFonts w:eastAsiaTheme="majorEastAsia" w:cstheme="majorBidi"/>
      <w:b/>
      <w:bCs/>
      <w:snapToGrid w:val="0"/>
      <w:color w:val="78BE20"/>
      <w:kern w:val="32"/>
      <w:sz w:val="32"/>
      <w:szCs w:val="32"/>
    </w:rPr>
  </w:style>
  <w:style w:type="paragraph" w:styleId="Ttulo2">
    <w:name w:val="heading 2"/>
    <w:basedOn w:val="Normal"/>
    <w:next w:val="Normal"/>
    <w:link w:val="Ttulo2Car"/>
    <w:autoRedefine/>
    <w:uiPriority w:val="9"/>
    <w:unhideWhenUsed/>
    <w:qFormat/>
    <w:rsid w:val="00024B4E"/>
    <w:pPr>
      <w:keepNext/>
      <w:widowControl w:val="0"/>
      <w:spacing w:after="0" w:line="240" w:lineRule="auto"/>
      <w:ind w:left="66"/>
      <w:jc w:val="left"/>
      <w:outlineLvl w:val="1"/>
    </w:pPr>
    <w:rPr>
      <w:rFonts w:eastAsiaTheme="majorEastAsia" w:cstheme="majorBidi"/>
      <w:b/>
      <w:bCs/>
      <w:iCs/>
      <w:snapToGrid w:val="0"/>
      <w:color w:val="78BE20"/>
      <w:sz w:val="30"/>
      <w:szCs w:val="28"/>
      <w:lang w:val="es-ES_tradnl"/>
    </w:rPr>
  </w:style>
  <w:style w:type="paragraph" w:styleId="Ttulo3">
    <w:name w:val="heading 3"/>
    <w:basedOn w:val="Normal"/>
    <w:next w:val="Normal"/>
    <w:link w:val="Ttulo3Car"/>
    <w:autoRedefine/>
    <w:uiPriority w:val="9"/>
    <w:unhideWhenUsed/>
    <w:qFormat/>
    <w:rsid w:val="00EA0BE5"/>
    <w:pPr>
      <w:keepNext/>
      <w:widowControl w:val="0"/>
      <w:spacing w:before="0" w:after="240" w:line="240" w:lineRule="auto"/>
      <w:jc w:val="left"/>
      <w:outlineLvl w:val="2"/>
    </w:pPr>
    <w:rPr>
      <w:rFonts w:eastAsiaTheme="majorEastAsia" w:cstheme="majorBidi"/>
      <w:b/>
      <w:bCs/>
      <w:snapToGrid w:val="0"/>
      <w:color w:val="78BE20"/>
      <w:sz w:val="24"/>
      <w:szCs w:val="26"/>
    </w:rPr>
  </w:style>
  <w:style w:type="paragraph" w:styleId="Ttulo4">
    <w:name w:val="heading 4"/>
    <w:basedOn w:val="Normal"/>
    <w:next w:val="Normal"/>
    <w:link w:val="Ttulo4Car"/>
    <w:autoRedefine/>
    <w:uiPriority w:val="9"/>
    <w:unhideWhenUsed/>
    <w:qFormat/>
    <w:rsid w:val="00DE69A1"/>
    <w:pPr>
      <w:keepNext/>
      <w:keepLines/>
      <w:spacing w:after="240" w:line="240" w:lineRule="auto"/>
      <w:outlineLvl w:val="3"/>
    </w:pPr>
    <w:rPr>
      <w:color w:val="78BE20"/>
      <w:szCs w:val="24"/>
    </w:rPr>
  </w:style>
  <w:style w:type="paragraph" w:styleId="Ttulo5">
    <w:name w:val="heading 5"/>
    <w:basedOn w:val="Normal"/>
    <w:next w:val="Normal"/>
    <w:link w:val="Ttulo5Car"/>
    <w:autoRedefine/>
    <w:uiPriority w:val="9"/>
    <w:unhideWhenUsed/>
    <w:qFormat/>
    <w:rsid w:val="000A7F4A"/>
    <w:pPr>
      <w:keepNext/>
      <w:keepLines/>
      <w:tabs>
        <w:tab w:val="left" w:pos="0"/>
      </w:tabs>
      <w:spacing w:before="80" w:after="0"/>
      <w:outlineLvl w:val="4"/>
    </w:pPr>
    <w:rPr>
      <w:rFonts w:asciiTheme="majorHAnsi" w:eastAsiaTheme="majorEastAsia" w:hAnsiTheme="majorHAnsi" w:cstheme="majorBidi"/>
      <w:i/>
      <w:iCs/>
      <w:color w:val="4472C4" w:themeColor="accent1"/>
    </w:rPr>
  </w:style>
  <w:style w:type="paragraph" w:styleId="Ttulo6">
    <w:name w:val="heading 6"/>
    <w:basedOn w:val="Normal"/>
    <w:next w:val="Normal"/>
    <w:link w:val="Ttulo6Car"/>
    <w:autoRedefine/>
    <w:uiPriority w:val="9"/>
    <w:unhideWhenUsed/>
    <w:qFormat/>
    <w:rsid w:val="000A7F4A"/>
    <w:pPr>
      <w:keepNext/>
      <w:keepLines/>
      <w:spacing w:before="80" w:after="0"/>
      <w:outlineLvl w:val="5"/>
    </w:pPr>
    <w:rPr>
      <w:rFonts w:asciiTheme="majorHAnsi" w:eastAsiaTheme="majorEastAsia" w:hAnsiTheme="majorHAnsi" w:cstheme="majorBidi"/>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A0BE5"/>
    <w:rPr>
      <w:rFonts w:ascii="Arial" w:eastAsiaTheme="majorEastAsia" w:hAnsi="Arial" w:cstheme="majorBidi"/>
      <w:b/>
      <w:bCs/>
      <w:snapToGrid w:val="0"/>
      <w:color w:val="78BE20"/>
      <w:sz w:val="24"/>
      <w:szCs w:val="26"/>
    </w:rPr>
  </w:style>
  <w:style w:type="character" w:customStyle="1" w:styleId="Ttulo1Car">
    <w:name w:val="Título 1 Car"/>
    <w:basedOn w:val="Fuentedeprrafopredeter"/>
    <w:link w:val="Ttulo1"/>
    <w:uiPriority w:val="9"/>
    <w:rsid w:val="009F1C3F"/>
    <w:rPr>
      <w:rFonts w:ascii="Arial" w:eastAsiaTheme="majorEastAsia" w:hAnsi="Arial" w:cstheme="majorBidi"/>
      <w:b/>
      <w:bCs/>
      <w:snapToGrid w:val="0"/>
      <w:color w:val="78BE20"/>
      <w:kern w:val="32"/>
      <w:sz w:val="32"/>
      <w:szCs w:val="32"/>
    </w:rPr>
  </w:style>
  <w:style w:type="character" w:customStyle="1" w:styleId="Ttulo2Car">
    <w:name w:val="Título 2 Car"/>
    <w:basedOn w:val="Fuentedeprrafopredeter"/>
    <w:link w:val="Ttulo2"/>
    <w:uiPriority w:val="9"/>
    <w:rsid w:val="00024B4E"/>
    <w:rPr>
      <w:rFonts w:ascii="Arial" w:eastAsiaTheme="majorEastAsia" w:hAnsi="Arial" w:cstheme="majorBidi"/>
      <w:b/>
      <w:bCs/>
      <w:iCs/>
      <w:snapToGrid w:val="0"/>
      <w:color w:val="78BE20"/>
      <w:sz w:val="30"/>
      <w:szCs w:val="28"/>
      <w:lang w:val="es-ES_tradnl"/>
    </w:rPr>
  </w:style>
  <w:style w:type="paragraph" w:styleId="Prrafodelista">
    <w:name w:val="List Paragraph"/>
    <w:basedOn w:val="Normal"/>
    <w:link w:val="PrrafodelistaCar"/>
    <w:autoRedefine/>
    <w:uiPriority w:val="34"/>
    <w:qFormat/>
    <w:rsid w:val="00564CC6"/>
    <w:pPr>
      <w:numPr>
        <w:numId w:val="7"/>
      </w:numPr>
      <w:spacing w:before="0" w:after="0" w:line="280" w:lineRule="exact"/>
      <w:contextualSpacing/>
    </w:pPr>
  </w:style>
  <w:style w:type="character" w:customStyle="1" w:styleId="Ttulo5Car">
    <w:name w:val="Título 5 Car"/>
    <w:basedOn w:val="Fuentedeprrafopredeter"/>
    <w:link w:val="Ttulo5"/>
    <w:uiPriority w:val="9"/>
    <w:rsid w:val="000A7F4A"/>
    <w:rPr>
      <w:rFonts w:asciiTheme="majorHAnsi" w:eastAsiaTheme="majorEastAsia" w:hAnsiTheme="majorHAnsi" w:cstheme="majorBidi"/>
      <w:i/>
      <w:iCs/>
      <w:color w:val="4472C4" w:themeColor="accent1"/>
    </w:rPr>
  </w:style>
  <w:style w:type="character" w:customStyle="1" w:styleId="Ttulo6Car">
    <w:name w:val="Título 6 Car"/>
    <w:basedOn w:val="Fuentedeprrafopredeter"/>
    <w:link w:val="Ttulo6"/>
    <w:uiPriority w:val="9"/>
    <w:rsid w:val="000A7F4A"/>
    <w:rPr>
      <w:rFonts w:asciiTheme="majorHAnsi" w:eastAsiaTheme="majorEastAsia" w:hAnsiTheme="majorHAnsi" w:cstheme="majorBidi"/>
      <w:i/>
    </w:rPr>
  </w:style>
  <w:style w:type="paragraph" w:styleId="Citadestacada">
    <w:name w:val="Intense Quote"/>
    <w:basedOn w:val="Normal"/>
    <w:next w:val="Normal"/>
    <w:link w:val="CitadestacadaCar"/>
    <w:autoRedefine/>
    <w:uiPriority w:val="30"/>
    <w:qFormat/>
    <w:rsid w:val="008246CC"/>
    <w:pPr>
      <w:pBdr>
        <w:right w:val="single" w:sz="4" w:space="4" w:color="auto"/>
      </w:pBdr>
      <w:spacing w:before="100" w:beforeAutospacing="1" w:after="240"/>
      <w:ind w:left="2832" w:right="1701"/>
      <w:jc w:val="right"/>
    </w:pPr>
    <w:rPr>
      <w:rFonts w:asciiTheme="majorHAnsi" w:eastAsiaTheme="majorEastAsia" w:hAnsiTheme="majorHAnsi" w:cstheme="majorBidi"/>
      <w:bCs/>
      <w:i/>
      <w:color w:val="808080" w:themeColor="background1" w:themeShade="80"/>
      <w:szCs w:val="28"/>
    </w:rPr>
  </w:style>
  <w:style w:type="character" w:customStyle="1" w:styleId="CitadestacadaCar">
    <w:name w:val="Cita destacada Car"/>
    <w:basedOn w:val="Fuentedeprrafopredeter"/>
    <w:link w:val="Citadestacada"/>
    <w:uiPriority w:val="30"/>
    <w:rsid w:val="008246CC"/>
    <w:rPr>
      <w:rFonts w:asciiTheme="majorHAnsi" w:eastAsiaTheme="majorEastAsia" w:hAnsiTheme="majorHAnsi" w:cstheme="majorBidi"/>
      <w:bCs/>
      <w:i/>
      <w:color w:val="808080" w:themeColor="background1" w:themeShade="80"/>
      <w:szCs w:val="28"/>
    </w:rPr>
  </w:style>
  <w:style w:type="character" w:customStyle="1" w:styleId="Ttulo4Car">
    <w:name w:val="Título 4 Car"/>
    <w:link w:val="Ttulo4"/>
    <w:uiPriority w:val="9"/>
    <w:rsid w:val="00DE69A1"/>
    <w:rPr>
      <w:rFonts w:ascii="Arial" w:hAnsi="Arial"/>
      <w:color w:val="78BE20"/>
      <w:szCs w:val="24"/>
    </w:rPr>
  </w:style>
  <w:style w:type="paragraph" w:styleId="Encabezado">
    <w:name w:val="header"/>
    <w:basedOn w:val="Normal"/>
    <w:link w:val="EncabezadoCar"/>
    <w:uiPriority w:val="99"/>
    <w:unhideWhenUsed/>
    <w:rsid w:val="001F4F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4F86"/>
    <w:rPr>
      <w:rFonts w:ascii="Helvetica light" w:hAnsi="Helvetica light"/>
      <w:sz w:val="24"/>
    </w:rPr>
  </w:style>
  <w:style w:type="paragraph" w:styleId="Piedepgina">
    <w:name w:val="footer"/>
    <w:basedOn w:val="Normal"/>
    <w:link w:val="PiedepginaCar"/>
    <w:uiPriority w:val="99"/>
    <w:unhideWhenUsed/>
    <w:rsid w:val="001F4F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4F86"/>
    <w:rPr>
      <w:rFonts w:ascii="Helvetica light" w:hAnsi="Helvetica light"/>
      <w:sz w:val="24"/>
    </w:rPr>
  </w:style>
  <w:style w:type="table" w:styleId="Tablaconcuadrcula">
    <w:name w:val="Table Grid"/>
    <w:basedOn w:val="Tablanormal"/>
    <w:uiPriority w:val="39"/>
    <w:rsid w:val="00943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Fuentedeprrafopredeter"/>
    <w:rsid w:val="00F16AFA"/>
  </w:style>
  <w:style w:type="character" w:styleId="Textoennegrita">
    <w:name w:val="Strong"/>
    <w:uiPriority w:val="22"/>
    <w:qFormat/>
    <w:rsid w:val="00C141E8"/>
    <w:rPr>
      <w:b/>
      <w:bCs/>
    </w:rPr>
  </w:style>
  <w:style w:type="paragraph" w:styleId="Textonotapie">
    <w:name w:val="footnote text"/>
    <w:basedOn w:val="Normal"/>
    <w:link w:val="TextonotapieCar"/>
    <w:uiPriority w:val="99"/>
    <w:unhideWhenUsed/>
    <w:rsid w:val="001829F7"/>
    <w:pPr>
      <w:spacing w:after="0" w:line="240" w:lineRule="auto"/>
    </w:pPr>
    <w:rPr>
      <w:rFonts w:ascii="Helvetica" w:eastAsia="Times New Roman" w:hAnsi="Helvetica" w:cs="Times New Roman"/>
      <w:sz w:val="20"/>
      <w:szCs w:val="20"/>
    </w:rPr>
  </w:style>
  <w:style w:type="character" w:customStyle="1" w:styleId="TextonotapieCar">
    <w:name w:val="Texto nota pie Car"/>
    <w:basedOn w:val="Fuentedeprrafopredeter"/>
    <w:link w:val="Textonotapie"/>
    <w:uiPriority w:val="99"/>
    <w:rsid w:val="001829F7"/>
    <w:rPr>
      <w:rFonts w:ascii="Helvetica" w:eastAsia="Times New Roman" w:hAnsi="Helvetica" w:cs="Times New Roman"/>
      <w:sz w:val="20"/>
      <w:szCs w:val="20"/>
    </w:rPr>
  </w:style>
  <w:style w:type="character" w:styleId="Refdenotaalpie">
    <w:name w:val="footnote reference"/>
    <w:uiPriority w:val="99"/>
    <w:semiHidden/>
    <w:unhideWhenUsed/>
    <w:rsid w:val="001829F7"/>
    <w:rPr>
      <w:vertAlign w:val="superscript"/>
    </w:rPr>
  </w:style>
  <w:style w:type="character" w:styleId="Refdecomentario">
    <w:name w:val="annotation reference"/>
    <w:basedOn w:val="Fuentedeprrafopredeter"/>
    <w:uiPriority w:val="99"/>
    <w:semiHidden/>
    <w:unhideWhenUsed/>
    <w:rsid w:val="00AF72F2"/>
    <w:rPr>
      <w:sz w:val="16"/>
      <w:szCs w:val="16"/>
    </w:rPr>
  </w:style>
  <w:style w:type="paragraph" w:styleId="Textocomentario">
    <w:name w:val="annotation text"/>
    <w:basedOn w:val="Normal"/>
    <w:link w:val="TextocomentarioCar"/>
    <w:uiPriority w:val="99"/>
    <w:unhideWhenUsed/>
    <w:rsid w:val="00AF72F2"/>
    <w:pPr>
      <w:spacing w:line="240" w:lineRule="auto"/>
    </w:pPr>
    <w:rPr>
      <w:sz w:val="20"/>
      <w:szCs w:val="20"/>
    </w:rPr>
  </w:style>
  <w:style w:type="character" w:customStyle="1" w:styleId="TextocomentarioCar">
    <w:name w:val="Texto comentario Car"/>
    <w:basedOn w:val="Fuentedeprrafopredeter"/>
    <w:link w:val="Textocomentario"/>
    <w:uiPriority w:val="99"/>
    <w:rsid w:val="00AF72F2"/>
    <w:rPr>
      <w:rFonts w:ascii="Helvetica light" w:hAnsi="Helvetica light"/>
      <w:sz w:val="20"/>
      <w:szCs w:val="20"/>
    </w:rPr>
  </w:style>
  <w:style w:type="paragraph" w:styleId="Asuntodelcomentario">
    <w:name w:val="annotation subject"/>
    <w:basedOn w:val="Textocomentario"/>
    <w:next w:val="Textocomentario"/>
    <w:link w:val="AsuntodelcomentarioCar"/>
    <w:uiPriority w:val="99"/>
    <w:semiHidden/>
    <w:unhideWhenUsed/>
    <w:rsid w:val="00AF72F2"/>
    <w:rPr>
      <w:b/>
      <w:bCs/>
    </w:rPr>
  </w:style>
  <w:style w:type="character" w:customStyle="1" w:styleId="AsuntodelcomentarioCar">
    <w:name w:val="Asunto del comentario Car"/>
    <w:basedOn w:val="TextocomentarioCar"/>
    <w:link w:val="Asuntodelcomentario"/>
    <w:uiPriority w:val="99"/>
    <w:semiHidden/>
    <w:rsid w:val="00AF72F2"/>
    <w:rPr>
      <w:rFonts w:ascii="Helvetica light" w:hAnsi="Helvetica light"/>
      <w:b/>
      <w:bCs/>
      <w:sz w:val="20"/>
      <w:szCs w:val="20"/>
    </w:rPr>
  </w:style>
  <w:style w:type="character" w:styleId="Hipervnculo">
    <w:name w:val="Hyperlink"/>
    <w:basedOn w:val="Fuentedeprrafopredeter"/>
    <w:uiPriority w:val="99"/>
    <w:unhideWhenUsed/>
    <w:rsid w:val="007739E1"/>
    <w:rPr>
      <w:color w:val="0000FF"/>
      <w:u w:val="single"/>
    </w:rPr>
  </w:style>
  <w:style w:type="character" w:customStyle="1" w:styleId="Mencinsinresolver1">
    <w:name w:val="Mención sin resolver1"/>
    <w:basedOn w:val="Fuentedeprrafopredeter"/>
    <w:uiPriority w:val="99"/>
    <w:semiHidden/>
    <w:unhideWhenUsed/>
    <w:rsid w:val="00753F94"/>
    <w:rPr>
      <w:color w:val="605E5C"/>
      <w:shd w:val="clear" w:color="auto" w:fill="E1DFDD"/>
    </w:rPr>
  </w:style>
  <w:style w:type="paragraph" w:customStyle="1" w:styleId="1">
    <w:name w:val="1"/>
    <w:basedOn w:val="Normal"/>
    <w:rsid w:val="00F37BB1"/>
    <w:pPr>
      <w:spacing w:line="240" w:lineRule="exact"/>
      <w:jc w:val="left"/>
    </w:pPr>
    <w:rPr>
      <w:rFonts w:ascii="Tahoma" w:eastAsia="Times New Roman" w:hAnsi="Tahoma" w:cs="Times New Roman"/>
      <w:snapToGrid w:val="0"/>
      <w:color w:val="auto"/>
      <w:sz w:val="20"/>
      <w:szCs w:val="20"/>
      <w:lang w:val="en-US" w:eastAsia="en-GB"/>
    </w:rPr>
  </w:style>
  <w:style w:type="character" w:customStyle="1" w:styleId="hgkelc">
    <w:name w:val="hgkelc"/>
    <w:basedOn w:val="Fuentedeprrafopredeter"/>
    <w:rsid w:val="00FE41A1"/>
  </w:style>
  <w:style w:type="character" w:styleId="Hipervnculovisitado">
    <w:name w:val="FollowedHyperlink"/>
    <w:basedOn w:val="Fuentedeprrafopredeter"/>
    <w:uiPriority w:val="99"/>
    <w:semiHidden/>
    <w:unhideWhenUsed/>
    <w:rsid w:val="009D374D"/>
    <w:rPr>
      <w:color w:val="954F72" w:themeColor="followedHyperlink"/>
      <w:u w:val="single"/>
    </w:rPr>
  </w:style>
  <w:style w:type="paragraph" w:customStyle="1" w:styleId="cmparagraph">
    <w:name w:val="cmparagraph"/>
    <w:basedOn w:val="Normal"/>
    <w:rsid w:val="006E66B6"/>
    <w:pPr>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paragraph" w:styleId="Textodeglobo">
    <w:name w:val="Balloon Text"/>
    <w:basedOn w:val="Normal"/>
    <w:link w:val="TextodegloboCar"/>
    <w:uiPriority w:val="99"/>
    <w:semiHidden/>
    <w:unhideWhenUsed/>
    <w:rsid w:val="009949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49B0"/>
    <w:rPr>
      <w:rFonts w:ascii="Tahoma" w:hAnsi="Tahoma" w:cs="Tahoma"/>
      <w:color w:val="253746"/>
      <w:sz w:val="16"/>
      <w:szCs w:val="16"/>
    </w:rPr>
  </w:style>
  <w:style w:type="paragraph" w:styleId="Revisin">
    <w:name w:val="Revision"/>
    <w:hidden/>
    <w:uiPriority w:val="99"/>
    <w:semiHidden/>
    <w:rsid w:val="005F3A64"/>
    <w:pPr>
      <w:spacing w:after="0" w:line="240" w:lineRule="auto"/>
    </w:pPr>
    <w:rPr>
      <w:rFonts w:ascii="Arial" w:hAnsi="Arial"/>
      <w:color w:val="253746"/>
    </w:rPr>
  </w:style>
  <w:style w:type="character" w:customStyle="1" w:styleId="cf01">
    <w:name w:val="cf01"/>
    <w:basedOn w:val="Fuentedeprrafopredeter"/>
    <w:rsid w:val="00672003"/>
    <w:rPr>
      <w:rFonts w:ascii="Segoe UI" w:hAnsi="Segoe UI" w:cs="Segoe UI" w:hint="default"/>
      <w:color w:val="253746"/>
      <w:sz w:val="18"/>
      <w:szCs w:val="18"/>
    </w:rPr>
  </w:style>
  <w:style w:type="character" w:customStyle="1" w:styleId="ms-rtefontface-13">
    <w:name w:val="ms-rtefontface-13"/>
    <w:basedOn w:val="Fuentedeprrafopredeter"/>
    <w:rsid w:val="009D30C0"/>
  </w:style>
  <w:style w:type="character" w:customStyle="1" w:styleId="Mencinsinresolver2">
    <w:name w:val="Mención sin resolver2"/>
    <w:basedOn w:val="Fuentedeprrafopredeter"/>
    <w:uiPriority w:val="99"/>
    <w:semiHidden/>
    <w:unhideWhenUsed/>
    <w:rsid w:val="005A3B48"/>
    <w:rPr>
      <w:color w:val="605E5C"/>
      <w:shd w:val="clear" w:color="auto" w:fill="E1DFDD"/>
    </w:rPr>
  </w:style>
  <w:style w:type="paragraph" w:customStyle="1" w:styleId="Kursiva">
    <w:name w:val="Kursiva"/>
    <w:basedOn w:val="Normal"/>
    <w:link w:val="KursivaCar"/>
    <w:qFormat/>
    <w:rsid w:val="000E39DB"/>
    <w:rPr>
      <w:i/>
      <w:iCs/>
      <w:color w:val="78BE20"/>
    </w:rPr>
  </w:style>
  <w:style w:type="character" w:customStyle="1" w:styleId="KursivaCar">
    <w:name w:val="Kursiva Car"/>
    <w:basedOn w:val="Fuentedeprrafopredeter"/>
    <w:link w:val="Kursiva"/>
    <w:rsid w:val="000E39DB"/>
    <w:rPr>
      <w:rFonts w:ascii="Arial" w:hAnsi="Arial"/>
      <w:i/>
      <w:iCs/>
      <w:color w:val="78BE20"/>
    </w:rPr>
  </w:style>
  <w:style w:type="paragraph" w:styleId="NormalWeb">
    <w:name w:val="Normal (Web)"/>
    <w:basedOn w:val="Normal"/>
    <w:uiPriority w:val="99"/>
    <w:semiHidden/>
    <w:unhideWhenUsed/>
    <w:rsid w:val="001D4369"/>
    <w:pPr>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paragraph" w:customStyle="1" w:styleId="parrafo">
    <w:name w:val="parrafo"/>
    <w:basedOn w:val="Normal"/>
    <w:rsid w:val="001D4369"/>
    <w:pPr>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character" w:customStyle="1" w:styleId="PrrafodelistaCar">
    <w:name w:val="Párrafo de lista Car"/>
    <w:basedOn w:val="Fuentedeprrafopredeter"/>
    <w:link w:val="Prrafodelista"/>
    <w:uiPriority w:val="34"/>
    <w:locked/>
    <w:rsid w:val="00564CC6"/>
    <w:rPr>
      <w:rFonts w:ascii="Arial" w:hAnsi="Arial"/>
      <w:color w:val="253746"/>
    </w:rPr>
  </w:style>
  <w:style w:type="paragraph" w:customStyle="1" w:styleId="Resaltado">
    <w:name w:val="Resaltado"/>
    <w:basedOn w:val="Normal"/>
    <w:link w:val="ResaltadoCar"/>
    <w:autoRedefine/>
    <w:qFormat/>
    <w:rsid w:val="005121F6"/>
    <w:pPr>
      <w:spacing w:before="0" w:after="160"/>
    </w:pPr>
    <w:rPr>
      <w:rFonts w:ascii="Helvetica light" w:hAnsi="Helvetica light"/>
      <w:color w:val="E4001C"/>
      <w:spacing w:val="6"/>
      <w:sz w:val="24"/>
    </w:rPr>
  </w:style>
  <w:style w:type="character" w:customStyle="1" w:styleId="ResaltadoCar">
    <w:name w:val="Resaltado Car"/>
    <w:basedOn w:val="Fuentedeprrafopredeter"/>
    <w:link w:val="Resaltado"/>
    <w:rsid w:val="005121F6"/>
    <w:rPr>
      <w:rFonts w:ascii="Helvetica light" w:hAnsi="Helvetica light"/>
      <w:color w:val="E4001C"/>
      <w:spacing w:val="6"/>
      <w:sz w:val="24"/>
    </w:rPr>
  </w:style>
  <w:style w:type="paragraph" w:customStyle="1" w:styleId="Negrita">
    <w:name w:val="Negrita"/>
    <w:basedOn w:val="Normal"/>
    <w:link w:val="NegritaCar"/>
    <w:autoRedefine/>
    <w:qFormat/>
    <w:rsid w:val="005121F6"/>
    <w:pPr>
      <w:spacing w:before="0" w:after="160"/>
    </w:pPr>
    <w:rPr>
      <w:rFonts w:ascii="Helvetica light" w:hAnsi="Helvetica light"/>
      <w:b/>
      <w:color w:val="auto"/>
      <w:spacing w:val="8"/>
      <w:sz w:val="24"/>
    </w:rPr>
  </w:style>
  <w:style w:type="character" w:customStyle="1" w:styleId="NegritaCar">
    <w:name w:val="Negrita Car"/>
    <w:basedOn w:val="Fuentedeprrafopredeter"/>
    <w:link w:val="Negrita"/>
    <w:rsid w:val="005121F6"/>
    <w:rPr>
      <w:rFonts w:ascii="Helvetica light" w:hAnsi="Helvetica light"/>
      <w:b/>
      <w:spacing w:val="8"/>
      <w:sz w:val="24"/>
    </w:rPr>
  </w:style>
  <w:style w:type="paragraph" w:styleId="TtulodeTDC">
    <w:name w:val="TOC Heading"/>
    <w:basedOn w:val="Ttulo1"/>
    <w:next w:val="Normal"/>
    <w:uiPriority w:val="39"/>
    <w:unhideWhenUsed/>
    <w:qFormat/>
    <w:rsid w:val="00693837"/>
    <w:pPr>
      <w:keepLines/>
      <w:widowControl/>
      <w:spacing w:before="240" w:line="259" w:lineRule="auto"/>
      <w:outlineLvl w:val="9"/>
    </w:pPr>
    <w:rPr>
      <w:rFonts w:asciiTheme="majorHAnsi" w:hAnsiTheme="majorHAnsi"/>
      <w:b w:val="0"/>
      <w:bCs w:val="0"/>
      <w:snapToGrid/>
      <w:color w:val="2F5496" w:themeColor="accent1" w:themeShade="BF"/>
      <w:kern w:val="0"/>
      <w:lang w:eastAsia="es-ES"/>
    </w:rPr>
  </w:style>
  <w:style w:type="paragraph" w:styleId="TDC1">
    <w:name w:val="toc 1"/>
    <w:basedOn w:val="Normal"/>
    <w:next w:val="Normal"/>
    <w:autoRedefine/>
    <w:uiPriority w:val="39"/>
    <w:unhideWhenUsed/>
    <w:rsid w:val="002D6E43"/>
    <w:pPr>
      <w:tabs>
        <w:tab w:val="right" w:leader="dot" w:pos="8494"/>
      </w:tabs>
      <w:spacing w:before="0" w:after="0" w:line="240" w:lineRule="auto"/>
    </w:pPr>
  </w:style>
  <w:style w:type="paragraph" w:styleId="TDC2">
    <w:name w:val="toc 2"/>
    <w:basedOn w:val="Normal"/>
    <w:next w:val="Normal"/>
    <w:autoRedefine/>
    <w:uiPriority w:val="39"/>
    <w:unhideWhenUsed/>
    <w:rsid w:val="00693837"/>
    <w:pPr>
      <w:spacing w:after="100"/>
      <w:ind w:left="220"/>
    </w:pPr>
  </w:style>
  <w:style w:type="paragraph" w:styleId="TDC3">
    <w:name w:val="toc 3"/>
    <w:basedOn w:val="Normal"/>
    <w:next w:val="Normal"/>
    <w:autoRedefine/>
    <w:uiPriority w:val="39"/>
    <w:unhideWhenUsed/>
    <w:rsid w:val="00693837"/>
    <w:pPr>
      <w:spacing w:after="100"/>
      <w:ind w:left="440"/>
    </w:pPr>
  </w:style>
  <w:style w:type="paragraph" w:styleId="TDC4">
    <w:name w:val="toc 4"/>
    <w:basedOn w:val="Normal"/>
    <w:next w:val="Normal"/>
    <w:autoRedefine/>
    <w:uiPriority w:val="39"/>
    <w:unhideWhenUsed/>
    <w:rsid w:val="00693837"/>
    <w:pPr>
      <w:spacing w:before="0" w:after="100" w:line="259" w:lineRule="auto"/>
      <w:ind w:left="660"/>
      <w:jc w:val="left"/>
    </w:pPr>
    <w:rPr>
      <w:rFonts w:asciiTheme="minorHAnsi" w:eastAsiaTheme="minorEastAsia" w:hAnsiTheme="minorHAnsi"/>
      <w:color w:val="auto"/>
      <w:lang w:eastAsia="es-ES"/>
    </w:rPr>
  </w:style>
  <w:style w:type="paragraph" w:styleId="TDC5">
    <w:name w:val="toc 5"/>
    <w:basedOn w:val="Normal"/>
    <w:next w:val="Normal"/>
    <w:autoRedefine/>
    <w:uiPriority w:val="39"/>
    <w:unhideWhenUsed/>
    <w:rsid w:val="00693837"/>
    <w:pPr>
      <w:spacing w:before="0" w:after="100" w:line="259" w:lineRule="auto"/>
      <w:ind w:left="880"/>
      <w:jc w:val="left"/>
    </w:pPr>
    <w:rPr>
      <w:rFonts w:asciiTheme="minorHAnsi" w:eastAsiaTheme="minorEastAsia" w:hAnsiTheme="minorHAnsi"/>
      <w:color w:val="auto"/>
      <w:lang w:eastAsia="es-ES"/>
    </w:rPr>
  </w:style>
  <w:style w:type="paragraph" w:styleId="TDC6">
    <w:name w:val="toc 6"/>
    <w:basedOn w:val="Normal"/>
    <w:next w:val="Normal"/>
    <w:autoRedefine/>
    <w:uiPriority w:val="39"/>
    <w:unhideWhenUsed/>
    <w:rsid w:val="00693837"/>
    <w:pPr>
      <w:spacing w:before="0" w:after="100" w:line="259" w:lineRule="auto"/>
      <w:ind w:left="1100"/>
      <w:jc w:val="left"/>
    </w:pPr>
    <w:rPr>
      <w:rFonts w:asciiTheme="minorHAnsi" w:eastAsiaTheme="minorEastAsia" w:hAnsiTheme="minorHAnsi"/>
      <w:color w:val="auto"/>
      <w:lang w:eastAsia="es-ES"/>
    </w:rPr>
  </w:style>
  <w:style w:type="paragraph" w:styleId="TDC7">
    <w:name w:val="toc 7"/>
    <w:basedOn w:val="Normal"/>
    <w:next w:val="Normal"/>
    <w:autoRedefine/>
    <w:uiPriority w:val="39"/>
    <w:unhideWhenUsed/>
    <w:rsid w:val="00693837"/>
    <w:pPr>
      <w:spacing w:before="0" w:after="100" w:line="259" w:lineRule="auto"/>
      <w:ind w:left="1320"/>
      <w:jc w:val="left"/>
    </w:pPr>
    <w:rPr>
      <w:rFonts w:asciiTheme="minorHAnsi" w:eastAsiaTheme="minorEastAsia" w:hAnsiTheme="minorHAnsi"/>
      <w:color w:val="auto"/>
      <w:lang w:eastAsia="es-ES"/>
    </w:rPr>
  </w:style>
  <w:style w:type="paragraph" w:styleId="TDC8">
    <w:name w:val="toc 8"/>
    <w:basedOn w:val="Normal"/>
    <w:next w:val="Normal"/>
    <w:autoRedefine/>
    <w:uiPriority w:val="39"/>
    <w:unhideWhenUsed/>
    <w:rsid w:val="00693837"/>
    <w:pPr>
      <w:spacing w:before="0" w:after="100" w:line="259" w:lineRule="auto"/>
      <w:ind w:left="1540"/>
      <w:jc w:val="left"/>
    </w:pPr>
    <w:rPr>
      <w:rFonts w:asciiTheme="minorHAnsi" w:eastAsiaTheme="minorEastAsia" w:hAnsiTheme="minorHAnsi"/>
      <w:color w:val="auto"/>
      <w:lang w:eastAsia="es-ES"/>
    </w:rPr>
  </w:style>
  <w:style w:type="paragraph" w:styleId="TDC9">
    <w:name w:val="toc 9"/>
    <w:basedOn w:val="Normal"/>
    <w:next w:val="Normal"/>
    <w:autoRedefine/>
    <w:uiPriority w:val="39"/>
    <w:unhideWhenUsed/>
    <w:rsid w:val="00693837"/>
    <w:pPr>
      <w:spacing w:before="0" w:after="100" w:line="259" w:lineRule="auto"/>
      <w:ind w:left="1760"/>
      <w:jc w:val="left"/>
    </w:pPr>
    <w:rPr>
      <w:rFonts w:asciiTheme="minorHAnsi" w:eastAsiaTheme="minorEastAsia" w:hAnsiTheme="minorHAnsi"/>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2637">
      <w:bodyDiv w:val="1"/>
      <w:marLeft w:val="0"/>
      <w:marRight w:val="0"/>
      <w:marTop w:val="0"/>
      <w:marBottom w:val="0"/>
      <w:divBdr>
        <w:top w:val="none" w:sz="0" w:space="0" w:color="auto"/>
        <w:left w:val="none" w:sz="0" w:space="0" w:color="auto"/>
        <w:bottom w:val="none" w:sz="0" w:space="0" w:color="auto"/>
        <w:right w:val="none" w:sz="0" w:space="0" w:color="auto"/>
      </w:divBdr>
    </w:div>
    <w:div w:id="914162937">
      <w:bodyDiv w:val="1"/>
      <w:marLeft w:val="0"/>
      <w:marRight w:val="0"/>
      <w:marTop w:val="0"/>
      <w:marBottom w:val="0"/>
      <w:divBdr>
        <w:top w:val="none" w:sz="0" w:space="0" w:color="auto"/>
        <w:left w:val="none" w:sz="0" w:space="0" w:color="auto"/>
        <w:bottom w:val="none" w:sz="0" w:space="0" w:color="auto"/>
        <w:right w:val="none" w:sz="0" w:space="0" w:color="auto"/>
      </w:divBdr>
      <w:divsChild>
        <w:div w:id="1933581973">
          <w:marLeft w:val="0"/>
          <w:marRight w:val="0"/>
          <w:marTop w:val="0"/>
          <w:marBottom w:val="0"/>
          <w:divBdr>
            <w:top w:val="none" w:sz="0" w:space="0" w:color="auto"/>
            <w:left w:val="none" w:sz="0" w:space="0" w:color="auto"/>
            <w:bottom w:val="none" w:sz="0" w:space="0" w:color="auto"/>
            <w:right w:val="none" w:sz="0" w:space="0" w:color="auto"/>
          </w:divBdr>
        </w:div>
        <w:div w:id="1109542938">
          <w:marLeft w:val="0"/>
          <w:marRight w:val="0"/>
          <w:marTop w:val="0"/>
          <w:marBottom w:val="0"/>
          <w:divBdr>
            <w:top w:val="none" w:sz="0" w:space="0" w:color="auto"/>
            <w:left w:val="none" w:sz="0" w:space="0" w:color="auto"/>
            <w:bottom w:val="none" w:sz="0" w:space="0" w:color="auto"/>
            <w:right w:val="none" w:sz="0" w:space="0" w:color="auto"/>
          </w:divBdr>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
    <w:div w:id="1358506428">
      <w:bodyDiv w:val="1"/>
      <w:marLeft w:val="0"/>
      <w:marRight w:val="0"/>
      <w:marTop w:val="0"/>
      <w:marBottom w:val="0"/>
      <w:divBdr>
        <w:top w:val="none" w:sz="0" w:space="0" w:color="auto"/>
        <w:left w:val="none" w:sz="0" w:space="0" w:color="auto"/>
        <w:bottom w:val="none" w:sz="0" w:space="0" w:color="auto"/>
        <w:right w:val="none" w:sz="0" w:space="0" w:color="auto"/>
      </w:divBdr>
    </w:div>
    <w:div w:id="1399131933">
      <w:bodyDiv w:val="1"/>
      <w:marLeft w:val="0"/>
      <w:marRight w:val="0"/>
      <w:marTop w:val="0"/>
      <w:marBottom w:val="0"/>
      <w:divBdr>
        <w:top w:val="none" w:sz="0" w:space="0" w:color="auto"/>
        <w:left w:val="none" w:sz="0" w:space="0" w:color="auto"/>
        <w:bottom w:val="none" w:sz="0" w:space="0" w:color="auto"/>
        <w:right w:val="none" w:sz="0" w:space="0" w:color="auto"/>
      </w:divBdr>
      <w:divsChild>
        <w:div w:id="39256753">
          <w:marLeft w:val="0"/>
          <w:marRight w:val="0"/>
          <w:marTop w:val="0"/>
          <w:marBottom w:val="0"/>
          <w:divBdr>
            <w:top w:val="none" w:sz="0" w:space="0" w:color="auto"/>
            <w:left w:val="none" w:sz="0" w:space="0" w:color="auto"/>
            <w:bottom w:val="none" w:sz="0" w:space="0" w:color="auto"/>
            <w:right w:val="none" w:sz="0" w:space="0" w:color="auto"/>
          </w:divBdr>
        </w:div>
        <w:div w:id="953176776">
          <w:marLeft w:val="0"/>
          <w:marRight w:val="0"/>
          <w:marTop w:val="0"/>
          <w:marBottom w:val="0"/>
          <w:divBdr>
            <w:top w:val="none" w:sz="0" w:space="0" w:color="auto"/>
            <w:left w:val="none" w:sz="0" w:space="0" w:color="auto"/>
            <w:bottom w:val="none" w:sz="0" w:space="0" w:color="auto"/>
            <w:right w:val="none" w:sz="0" w:space="0" w:color="auto"/>
          </w:divBdr>
        </w:div>
      </w:divsChild>
    </w:div>
    <w:div w:id="1457482008">
      <w:bodyDiv w:val="1"/>
      <w:marLeft w:val="0"/>
      <w:marRight w:val="0"/>
      <w:marTop w:val="0"/>
      <w:marBottom w:val="0"/>
      <w:divBdr>
        <w:top w:val="none" w:sz="0" w:space="0" w:color="auto"/>
        <w:left w:val="none" w:sz="0" w:space="0" w:color="auto"/>
        <w:bottom w:val="none" w:sz="0" w:space="0" w:color="auto"/>
        <w:right w:val="none" w:sz="0" w:space="0" w:color="auto"/>
      </w:divBdr>
    </w:div>
    <w:div w:id="1586958069">
      <w:bodyDiv w:val="1"/>
      <w:marLeft w:val="0"/>
      <w:marRight w:val="0"/>
      <w:marTop w:val="0"/>
      <w:marBottom w:val="0"/>
      <w:divBdr>
        <w:top w:val="none" w:sz="0" w:space="0" w:color="auto"/>
        <w:left w:val="none" w:sz="0" w:space="0" w:color="auto"/>
        <w:bottom w:val="none" w:sz="0" w:space="0" w:color="auto"/>
        <w:right w:val="none" w:sz="0" w:space="0" w:color="auto"/>
      </w:divBdr>
    </w:div>
    <w:div w:id="1612280704">
      <w:bodyDiv w:val="1"/>
      <w:marLeft w:val="0"/>
      <w:marRight w:val="0"/>
      <w:marTop w:val="0"/>
      <w:marBottom w:val="0"/>
      <w:divBdr>
        <w:top w:val="none" w:sz="0" w:space="0" w:color="auto"/>
        <w:left w:val="none" w:sz="0" w:space="0" w:color="auto"/>
        <w:bottom w:val="none" w:sz="0" w:space="0" w:color="auto"/>
        <w:right w:val="none" w:sz="0" w:space="0" w:color="auto"/>
      </w:divBdr>
    </w:div>
    <w:div w:id="1720592478">
      <w:bodyDiv w:val="1"/>
      <w:marLeft w:val="0"/>
      <w:marRight w:val="0"/>
      <w:marTop w:val="0"/>
      <w:marBottom w:val="0"/>
      <w:divBdr>
        <w:top w:val="none" w:sz="0" w:space="0" w:color="auto"/>
        <w:left w:val="none" w:sz="0" w:space="0" w:color="auto"/>
        <w:bottom w:val="none" w:sz="0" w:space="0" w:color="auto"/>
        <w:right w:val="none" w:sz="0" w:space="0" w:color="auto"/>
      </w:divBdr>
    </w:div>
    <w:div w:id="2067072136">
      <w:bodyDiv w:val="1"/>
      <w:marLeft w:val="0"/>
      <w:marRight w:val="0"/>
      <w:marTop w:val="0"/>
      <w:marBottom w:val="0"/>
      <w:divBdr>
        <w:top w:val="none" w:sz="0" w:space="0" w:color="auto"/>
        <w:left w:val="none" w:sz="0" w:space="0" w:color="auto"/>
        <w:bottom w:val="none" w:sz="0" w:space="0" w:color="auto"/>
        <w:right w:val="none" w:sz="0" w:space="0" w:color="auto"/>
      </w:divBdr>
    </w:div>
    <w:div w:id="2103522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1.xml" Type="http://schemas.openxmlformats.org/officeDocument/2006/relationships/chart"/><Relationship Id="rId11" Target="media/image2.png" Type="http://schemas.openxmlformats.org/officeDocument/2006/relationships/image"/><Relationship Id="rId12" Target="media/image3.svg" Type="http://schemas.openxmlformats.org/officeDocument/2006/relationships/image"/><Relationship Id="rId13" Target="media/image3.png" Type="http://schemas.openxmlformats.org/officeDocument/2006/relationships/image"/><Relationship Id="rId14" Target="media/image5.svg" Type="http://schemas.openxmlformats.org/officeDocument/2006/relationships/image"/><Relationship Id="rId15" Target="charts/chart2.xml" Type="http://schemas.openxmlformats.org/officeDocument/2006/relationships/chart"/><Relationship Id="rId16" Target="charts/chart3.xml" Type="http://schemas.openxmlformats.org/officeDocument/2006/relationships/chart"/><Relationship Id="rId17" Target="charts/chart4.xml" Type="http://schemas.openxmlformats.org/officeDocument/2006/relationships/chart"/><Relationship Id="rId18" Target="charts/chart5.xml" Type="http://schemas.openxmlformats.org/officeDocument/2006/relationships/chart"/><Relationship Id="rId19" Target="charts/chart6.xml" Type="http://schemas.openxmlformats.org/officeDocument/2006/relationships/chart"/><Relationship Id="rId2" Target="numbering.xml" Type="http://schemas.openxmlformats.org/officeDocument/2006/relationships/numbering"/><Relationship Id="rId20" Target="charts/chart7.xml" Type="http://schemas.openxmlformats.org/officeDocument/2006/relationships/chart"/><Relationship Id="rId21" Target="charts/chart8.xml" Type="http://schemas.openxmlformats.org/officeDocument/2006/relationships/chart"/><Relationship Id="rId22" Target="charts/chart9.xml" Type="http://schemas.openxmlformats.org/officeDocument/2006/relationships/chart"/><Relationship Id="rId23" Target="charts/chart10.xml" Type="http://schemas.openxmlformats.org/officeDocument/2006/relationships/chart"/><Relationship Id="rId24" Target="charts/chart11.xml" Type="http://schemas.openxmlformats.org/officeDocument/2006/relationships/chart"/><Relationship Id="rId25" Target="charts/chart12.xml" Type="http://schemas.openxmlformats.org/officeDocument/2006/relationships/chart"/><Relationship Id="rId26" Target="charts/chart13.xml" Type="http://schemas.openxmlformats.org/officeDocument/2006/relationships/chart"/><Relationship Id="rId27" Target="charts/chart14.xml" Type="http://schemas.openxmlformats.org/officeDocument/2006/relationships/chart"/><Relationship Id="rId28" Target="charts/chart15.xml" Type="http://schemas.openxmlformats.org/officeDocument/2006/relationships/chart"/><Relationship Id="rId29" Target="charts/chart16.xml" Type="http://schemas.openxmlformats.org/officeDocument/2006/relationships/chart"/><Relationship Id="rId3" Target="styles.xml" Type="http://schemas.openxmlformats.org/officeDocument/2006/relationships/styles"/><Relationship Id="rId30" Target="charts/chart17.xml" Type="http://schemas.openxmlformats.org/officeDocument/2006/relationships/chart"/><Relationship Id="rId31" Target="charts/chart18.xml" Type="http://schemas.openxmlformats.org/officeDocument/2006/relationships/chart"/><Relationship Id="rId32" Target="charts/chart19.xml" Type="http://schemas.openxmlformats.org/officeDocument/2006/relationships/chart"/><Relationship Id="rId33" Target="charts/chart20.xml" Type="http://schemas.openxmlformats.org/officeDocument/2006/relationships/chart"/><Relationship Id="rId34" Target="charts/chart21.xml" Type="http://schemas.openxmlformats.org/officeDocument/2006/relationships/chart"/><Relationship Id="rId35" Target="charts/chart22.xml" Type="http://schemas.openxmlformats.org/officeDocument/2006/relationships/chart"/><Relationship Id="rId36" Target="charts/chart23.xml" Type="http://schemas.openxmlformats.org/officeDocument/2006/relationships/chart"/><Relationship Id="rId37" Target="charts/chart24.xml" Type="http://schemas.openxmlformats.org/officeDocument/2006/relationships/chart"/><Relationship Id="rId38" Target="charts/chart25.xml" Type="http://schemas.openxmlformats.org/officeDocument/2006/relationships/chart"/><Relationship Id="rId39" Target="charts/chart26.xml" Type="http://schemas.openxmlformats.org/officeDocument/2006/relationships/chart"/><Relationship Id="rId4" Target="stylesWithEffects.xml" Type="http://schemas.microsoft.com/office/2007/relationships/stylesWithEffects"/><Relationship Id="rId40" Target="charts/chart27.xml" Type="http://schemas.openxmlformats.org/officeDocument/2006/relationships/chart"/><Relationship Id="rId41" Target="charts/chart28.xml" Type="http://schemas.openxmlformats.org/officeDocument/2006/relationships/chart"/><Relationship Id="rId42" Target="charts/chart29.xml" Type="http://schemas.openxmlformats.org/officeDocument/2006/relationships/chart"/><Relationship Id="rId43" Target="charts/chart30.xml" Type="http://schemas.openxmlformats.org/officeDocument/2006/relationships/chart"/><Relationship Id="rId44" Target="charts/chart31.xml" Type="http://schemas.openxmlformats.org/officeDocument/2006/relationships/chart"/><Relationship Id="rId45" Target="charts/chart32.xml" Type="http://schemas.openxmlformats.org/officeDocument/2006/relationships/chart"/><Relationship Id="rId46" Target="charts/chart33.xml" Type="http://schemas.openxmlformats.org/officeDocument/2006/relationships/chart"/><Relationship Id="rId47" Target="charts/chart34.xml" Type="http://schemas.openxmlformats.org/officeDocument/2006/relationships/chart"/><Relationship Id="rId48" Target="charts/chart35.xml" Type="http://schemas.openxmlformats.org/officeDocument/2006/relationships/chart"/><Relationship Id="rId49" Target="charts/chart36.xml" Type="http://schemas.openxmlformats.org/officeDocument/2006/relationships/chart"/><Relationship Id="rId5" Target="settings.xml" Type="http://schemas.openxmlformats.org/officeDocument/2006/relationships/settings"/><Relationship Id="rId50" Target="charts/chart37.xml" Type="http://schemas.openxmlformats.org/officeDocument/2006/relationships/chart"/><Relationship Id="rId51" Target="charts/chart38.xml" Type="http://schemas.openxmlformats.org/officeDocument/2006/relationships/chart"/><Relationship Id="rId52" Target="charts/chart39.xml" Type="http://schemas.openxmlformats.org/officeDocument/2006/relationships/chart"/><Relationship Id="rId53" Target="charts/chart40.xml" Type="http://schemas.openxmlformats.org/officeDocument/2006/relationships/chart"/><Relationship Id="rId54" Target="charts/chart41.xml" Type="http://schemas.openxmlformats.org/officeDocument/2006/relationships/chart"/><Relationship Id="rId55" Target="charts/chart42.xml" Type="http://schemas.openxmlformats.org/officeDocument/2006/relationships/chart"/><Relationship Id="rId56" Target="charts/chart43.xml" Type="http://schemas.openxmlformats.org/officeDocument/2006/relationships/chart"/><Relationship Id="rId57" Target="charts/chart44.xml" Type="http://schemas.openxmlformats.org/officeDocument/2006/relationships/chart"/><Relationship Id="rId58" Target="charts/chart45.xml" Type="http://schemas.openxmlformats.org/officeDocument/2006/relationships/chart"/><Relationship Id="rId59" Target="charts/chart46.xml" Type="http://schemas.openxmlformats.org/officeDocument/2006/relationships/chart"/><Relationship Id="rId6" Target="webSettings.xml" Type="http://schemas.openxmlformats.org/officeDocument/2006/relationships/webSettings"/><Relationship Id="rId60" Target="charts/chart47.xml" Type="http://schemas.openxmlformats.org/officeDocument/2006/relationships/chart"/><Relationship Id="rId61" Target="charts/chart48.xml" Type="http://schemas.openxmlformats.org/officeDocument/2006/relationships/chart"/><Relationship Id="rId62" Target="charts/chart49.xml" Type="http://schemas.openxmlformats.org/officeDocument/2006/relationships/chart"/><Relationship Id="rId63" Target="charts/chart50.xml" Type="http://schemas.openxmlformats.org/officeDocument/2006/relationships/chart"/><Relationship Id="rId64" Target="charts/chart51.xml" Type="http://schemas.openxmlformats.org/officeDocument/2006/relationships/chart"/><Relationship Id="rId65" Target="charts/chart52.xml" Type="http://schemas.openxmlformats.org/officeDocument/2006/relationships/chart"/><Relationship Id="rId66" Target="charts/chart53.xml" Type="http://schemas.openxmlformats.org/officeDocument/2006/relationships/chart"/><Relationship Id="rId67" Target="charts/chart54.xml" Type="http://schemas.openxmlformats.org/officeDocument/2006/relationships/chart"/><Relationship Id="rId68" Target="charts/chart55.xml" Type="http://schemas.openxmlformats.org/officeDocument/2006/relationships/chart"/><Relationship Id="rId69" Target="header1.xml" Type="http://schemas.openxmlformats.org/officeDocument/2006/relationships/header"/><Relationship Id="rId7" Target="footnotes.xml" Type="http://schemas.openxmlformats.org/officeDocument/2006/relationships/footnotes"/><Relationship Id="rId70" Target="header2.xml" Type="http://schemas.openxmlformats.org/officeDocument/2006/relationships/header"/><Relationship Id="rId71" Target="footer1.xml" Type="http://schemas.openxmlformats.org/officeDocument/2006/relationships/footer"/><Relationship Id="rId72" Target="header3.xml" Type="http://schemas.openxmlformats.org/officeDocument/2006/relationships/header"/><Relationship Id="rId73" Target="fontTable.xml" Type="http://schemas.openxmlformats.org/officeDocument/2006/relationships/fontTable"/><Relationship Id="rId74" Target="theme/theme1.xml" Type="http://schemas.openxmlformats.org/officeDocument/2006/relationships/theme"/><Relationship Id="rId8" Target="endnotes.xml" Type="http://schemas.openxmlformats.org/officeDocument/2006/relationships/endnotes"/><Relationship Id="rId9" Target="media/image1.jpg" Type="http://schemas.openxmlformats.org/officeDocument/2006/relationships/image"/></Relationships>
</file>

<file path=word/_rels/footnotes.xml.rels><?xml version="1.0" encoding="UTF-8" standalone="yes"?><Relationships xmlns="http://schemas.openxmlformats.org/package/2006/relationships"><Relationship Id="rId1" Target="https://www.mptfp.gob.es/portal/prensa/actualidad/noticias/2021/03/20210307.html" TargetMode="External" Type="http://schemas.openxmlformats.org/officeDocument/2006/relationships/hyperlink"/></Relationships>
</file>

<file path=word/_rels/header2.xml.rels><?xml version="1.0" encoding="UTF-8" standalone="yes"?><Relationships xmlns="http://schemas.openxmlformats.org/package/2006/relationships"><Relationship Id="rId1" Target="media/image1.jpg" Type="http://schemas.openxmlformats.org/officeDocument/2006/relationships/image"/></Relationships>
</file>

<file path=word/charts/_rels/chart1.xml.rels><?xml version="1.0" encoding="UTF-8" standalone="yes"?><Relationships xmlns="http://schemas.openxmlformats.org/package/2006/relationships"><Relationship Id="rId1" Target="../embeddings/Microsoft_Excel_Worksheet1.xlsx" Type="http://schemas.openxmlformats.org/officeDocument/2006/relationships/package"/><Relationship Id="rId2" Target="colors1.xml" Type="http://schemas.microsoft.com/office/2011/relationships/chartColorStyle"/><Relationship Id="rId3" Target="style1.xml" Type="http://schemas.microsoft.com/office/2011/relationships/chartStyle"/></Relationships>
</file>

<file path=word/charts/_rels/chart10.xml.rels><?xml version="1.0" encoding="UTF-8" standalone="yes"?><Relationships xmlns="http://schemas.openxmlformats.org/package/2006/relationships"><Relationship Id="rId1" Target="../embeddings/Microsoft_Excel_Worksheet10.xlsx" Type="http://schemas.openxmlformats.org/officeDocument/2006/relationships/package"/><Relationship Id="rId2" Target="colors10.xml" Type="http://schemas.microsoft.com/office/2011/relationships/chartColorStyle"/><Relationship Id="rId3" Target="style10.xml" Type="http://schemas.microsoft.com/office/2011/relationships/chartStyle"/></Relationships>
</file>

<file path=word/charts/_rels/chart11.xml.rels><?xml version="1.0" encoding="UTF-8" standalone="yes"?><Relationships xmlns="http://schemas.openxmlformats.org/package/2006/relationships"><Relationship Id="rId1" Target="../embeddings/Microsoft_Excel_Worksheet11.xlsx" Type="http://schemas.openxmlformats.org/officeDocument/2006/relationships/package"/><Relationship Id="rId2" Target="colors11.xml" Type="http://schemas.microsoft.com/office/2011/relationships/chartColorStyle"/><Relationship Id="rId3" Target="style11.xml" Type="http://schemas.microsoft.com/office/2011/relationships/chartStyle"/></Relationships>
</file>

<file path=word/charts/_rels/chart12.xml.rels><?xml version="1.0" encoding="UTF-8" standalone="yes"?><Relationships xmlns="http://schemas.openxmlformats.org/package/2006/relationships"><Relationship Id="rId1" Target="../embeddings/Microsoft_Excel_Worksheet12.xlsx" Type="http://schemas.openxmlformats.org/officeDocument/2006/relationships/package"/><Relationship Id="rId2" Target="colors12.xml" Type="http://schemas.microsoft.com/office/2011/relationships/chartColorStyle"/><Relationship Id="rId3" Target="style12.xml" Type="http://schemas.microsoft.com/office/2011/relationships/chartStyle"/></Relationships>
</file>

<file path=word/charts/_rels/chart13.xml.rels><?xml version="1.0" encoding="UTF-8" standalone="yes"?><Relationships xmlns="http://schemas.openxmlformats.org/package/2006/relationships"><Relationship Id="rId1" Target="../embeddings/Microsoft_Excel_Worksheet13.xlsx" Type="http://schemas.openxmlformats.org/officeDocument/2006/relationships/package"/><Relationship Id="rId2" Target="colors13.xml" Type="http://schemas.microsoft.com/office/2011/relationships/chartColorStyle"/><Relationship Id="rId3" Target="style13.xml" Type="http://schemas.microsoft.com/office/2011/relationships/chartStyle"/></Relationships>
</file>

<file path=word/charts/_rels/chart14.xml.rels><?xml version="1.0" encoding="UTF-8" standalone="yes"?><Relationships xmlns="http://schemas.openxmlformats.org/package/2006/relationships"><Relationship Id="rId1" Target="../embeddings/Microsoft_Excel_Worksheet14.xlsx" Type="http://schemas.openxmlformats.org/officeDocument/2006/relationships/package"/><Relationship Id="rId2" Target="colors14.xml" Type="http://schemas.microsoft.com/office/2011/relationships/chartColorStyle"/><Relationship Id="rId3" Target="style14.xml" Type="http://schemas.microsoft.com/office/2011/relationships/chartStyle"/></Relationships>
</file>

<file path=word/charts/_rels/chart15.xml.rels><?xml version="1.0" encoding="UTF-8" standalone="yes"?><Relationships xmlns="http://schemas.openxmlformats.org/package/2006/relationships"><Relationship Id="rId1" Target="../embeddings/Microsoft_Excel_Worksheet15.xlsx" Type="http://schemas.openxmlformats.org/officeDocument/2006/relationships/package"/><Relationship Id="rId2" Target="colors15.xml" Type="http://schemas.microsoft.com/office/2011/relationships/chartColorStyle"/><Relationship Id="rId3" Target="style15.xml" Type="http://schemas.microsoft.com/office/2011/relationships/chartStyle"/></Relationships>
</file>

<file path=word/charts/_rels/chart16.xml.rels><?xml version="1.0" encoding="UTF-8" standalone="yes"?><Relationships xmlns="http://schemas.openxmlformats.org/package/2006/relationships"><Relationship Id="rId1" Target="../embeddings/Microsoft_Excel_Worksheet16.xlsx" Type="http://schemas.openxmlformats.org/officeDocument/2006/relationships/package"/><Relationship Id="rId2" Target="colors16.xml" Type="http://schemas.microsoft.com/office/2011/relationships/chartColorStyle"/><Relationship Id="rId3" Target="style16.xml" Type="http://schemas.microsoft.com/office/2011/relationships/chartStyle"/></Relationships>
</file>

<file path=word/charts/_rels/chart17.xml.rels><?xml version="1.0" encoding="UTF-8" standalone="yes"?><Relationships xmlns="http://schemas.openxmlformats.org/package/2006/relationships"><Relationship Id="rId1" Target="../embeddings/Microsoft_Excel_Worksheet17.xlsx" Type="http://schemas.openxmlformats.org/officeDocument/2006/relationships/package"/><Relationship Id="rId2" Target="colors17.xml" Type="http://schemas.microsoft.com/office/2011/relationships/chartColorStyle"/><Relationship Id="rId3" Target="style17.xml" Type="http://schemas.microsoft.com/office/2011/relationships/chartStyle"/></Relationships>
</file>

<file path=word/charts/_rels/chart18.xml.rels><?xml version="1.0" encoding="UTF-8" standalone="yes"?><Relationships xmlns="http://schemas.openxmlformats.org/package/2006/relationships"><Relationship Id="rId1" Target="../embeddings/Microsoft_Excel_Worksheet18.xlsx" Type="http://schemas.openxmlformats.org/officeDocument/2006/relationships/package"/><Relationship Id="rId2" Target="colors18.xml" Type="http://schemas.microsoft.com/office/2011/relationships/chartColorStyle"/><Relationship Id="rId3" Target="style18.xml" Type="http://schemas.microsoft.com/office/2011/relationships/chartStyle"/></Relationships>
</file>

<file path=word/charts/_rels/chart19.xml.rels><?xml version="1.0" encoding="UTF-8" standalone="yes"?><Relationships xmlns="http://schemas.openxmlformats.org/package/2006/relationships"><Relationship Id="rId1" Target="../embeddings/Microsoft_Excel_Worksheet19.xlsx" Type="http://schemas.openxmlformats.org/officeDocument/2006/relationships/package"/><Relationship Id="rId2" Target="colors19.xml" Type="http://schemas.microsoft.com/office/2011/relationships/chartColorStyle"/><Relationship Id="rId3" Target="style19.xml" Type="http://schemas.microsoft.com/office/2011/relationships/chartStyle"/></Relationships>
</file>

<file path=word/charts/_rels/chart2.xml.rels><?xml version="1.0" encoding="UTF-8" standalone="yes"?><Relationships xmlns="http://schemas.openxmlformats.org/package/2006/relationships"><Relationship Id="rId1" Target="../embeddings/Microsoft_Excel_Worksheet2.xlsx" Type="http://schemas.openxmlformats.org/officeDocument/2006/relationships/package"/><Relationship Id="rId2" Target="colors2.xml" Type="http://schemas.microsoft.com/office/2011/relationships/chartColorStyle"/><Relationship Id="rId3" Target="style2.xml" Type="http://schemas.microsoft.com/office/2011/relationships/chartStyle"/></Relationships>
</file>

<file path=word/charts/_rels/chart20.xml.rels><?xml version="1.0" encoding="UTF-8" standalone="yes"?><Relationships xmlns="http://schemas.openxmlformats.org/package/2006/relationships"><Relationship Id="rId1" Target="../embeddings/Microsoft_Excel_Worksheet20.xlsx" Type="http://schemas.openxmlformats.org/officeDocument/2006/relationships/package"/><Relationship Id="rId2" Target="colors20.xml" Type="http://schemas.microsoft.com/office/2011/relationships/chartColorStyle"/><Relationship Id="rId3" Target="style20.xml" Type="http://schemas.microsoft.com/office/2011/relationships/chartStyle"/></Relationships>
</file>

<file path=word/charts/_rels/chart21.xml.rels><?xml version="1.0" encoding="UTF-8" standalone="yes"?><Relationships xmlns="http://schemas.openxmlformats.org/package/2006/relationships"><Relationship Id="rId1" Target="../embeddings/Microsoft_Excel_Worksheet21.xlsx" Type="http://schemas.openxmlformats.org/officeDocument/2006/relationships/package"/><Relationship Id="rId2" Target="colors21.xml" Type="http://schemas.microsoft.com/office/2011/relationships/chartColorStyle"/><Relationship Id="rId3" Target="style21.xml" Type="http://schemas.microsoft.com/office/2011/relationships/chartStyle"/></Relationships>
</file>

<file path=word/charts/_rels/chart22.xml.rels><?xml version="1.0" encoding="UTF-8" standalone="yes"?><Relationships xmlns="http://schemas.openxmlformats.org/package/2006/relationships"><Relationship Id="rId1" Target="../embeddings/Microsoft_Excel_Worksheet22.xlsx" Type="http://schemas.openxmlformats.org/officeDocument/2006/relationships/package"/><Relationship Id="rId2" Target="colors22.xml" Type="http://schemas.microsoft.com/office/2011/relationships/chartColorStyle"/><Relationship Id="rId3" Target="style22.xml" Type="http://schemas.microsoft.com/office/2011/relationships/chartStyle"/></Relationships>
</file>

<file path=word/charts/_rels/chart23.xml.rels><?xml version="1.0" encoding="UTF-8" standalone="yes"?><Relationships xmlns="http://schemas.openxmlformats.org/package/2006/relationships"><Relationship Id="rId1" Target="../embeddings/Microsoft_Excel_Worksheet23.xlsx" Type="http://schemas.openxmlformats.org/officeDocument/2006/relationships/package"/><Relationship Id="rId2" Target="colors23.xml" Type="http://schemas.microsoft.com/office/2011/relationships/chartColorStyle"/><Relationship Id="rId3" Target="style23.xml" Type="http://schemas.microsoft.com/office/2011/relationships/chartStyle"/></Relationships>
</file>

<file path=word/charts/_rels/chart24.xml.rels><?xml version="1.0" encoding="UTF-8" standalone="yes"?><Relationships xmlns="http://schemas.openxmlformats.org/package/2006/relationships"><Relationship Id="rId1" Target="../embeddings/Microsoft_Excel_Worksheet24.xlsx" Type="http://schemas.openxmlformats.org/officeDocument/2006/relationships/package"/><Relationship Id="rId2" Target="colors24.xml" Type="http://schemas.microsoft.com/office/2011/relationships/chartColorStyle"/><Relationship Id="rId3" Target="style24.xml" Type="http://schemas.microsoft.com/office/2011/relationships/chartStyle"/></Relationships>
</file>

<file path=word/charts/_rels/chart25.xml.rels><?xml version="1.0" encoding="UTF-8" standalone="yes"?><Relationships xmlns="http://schemas.openxmlformats.org/package/2006/relationships"><Relationship Id="rId1" Target="../embeddings/Microsoft_Excel_Worksheet25.xlsx" Type="http://schemas.openxmlformats.org/officeDocument/2006/relationships/package"/><Relationship Id="rId2" Target="colors25.xml" Type="http://schemas.microsoft.com/office/2011/relationships/chartColorStyle"/><Relationship Id="rId3" Target="style25.xml" Type="http://schemas.microsoft.com/office/2011/relationships/chartStyle"/></Relationships>
</file>

<file path=word/charts/_rels/chart26.xml.rels><?xml version="1.0" encoding="UTF-8" standalone="yes"?><Relationships xmlns="http://schemas.openxmlformats.org/package/2006/relationships"><Relationship Id="rId1" Target="../embeddings/Microsoft_Excel_Worksheet26.xlsx" Type="http://schemas.openxmlformats.org/officeDocument/2006/relationships/package"/><Relationship Id="rId2" Target="colors26.xml" Type="http://schemas.microsoft.com/office/2011/relationships/chartColorStyle"/><Relationship Id="rId3" Target="style26.xml" Type="http://schemas.microsoft.com/office/2011/relationships/chartStyle"/></Relationships>
</file>

<file path=word/charts/_rels/chart27.xml.rels><?xml version="1.0" encoding="UTF-8" standalone="yes"?><Relationships xmlns="http://schemas.openxmlformats.org/package/2006/relationships"><Relationship Id="rId1" Target="../embeddings/Microsoft_Excel_Worksheet27.xlsx" Type="http://schemas.openxmlformats.org/officeDocument/2006/relationships/package"/><Relationship Id="rId2" Target="colors27.xml" Type="http://schemas.microsoft.com/office/2011/relationships/chartColorStyle"/><Relationship Id="rId3" Target="style27.xml" Type="http://schemas.microsoft.com/office/2011/relationships/chartStyle"/></Relationships>
</file>

<file path=word/charts/_rels/chart28.xml.rels><?xml version="1.0" encoding="UTF-8" standalone="yes"?><Relationships xmlns="http://schemas.openxmlformats.org/package/2006/relationships"><Relationship Id="rId1" Target="../embeddings/Microsoft_Excel_Worksheet28.xlsx" Type="http://schemas.openxmlformats.org/officeDocument/2006/relationships/package"/><Relationship Id="rId2" Target="colors28.xml" Type="http://schemas.microsoft.com/office/2011/relationships/chartColorStyle"/><Relationship Id="rId3" Target="style28.xml" Type="http://schemas.microsoft.com/office/2011/relationships/chartStyle"/></Relationships>
</file>

<file path=word/charts/_rels/chart29.xml.rels><?xml version="1.0" encoding="UTF-8" standalone="yes"?><Relationships xmlns="http://schemas.openxmlformats.org/package/2006/relationships"><Relationship Id="rId1" Target="../embeddings/Microsoft_Excel_Worksheet29.xlsx" Type="http://schemas.openxmlformats.org/officeDocument/2006/relationships/package"/><Relationship Id="rId2" Target="colors29.xml" Type="http://schemas.microsoft.com/office/2011/relationships/chartColorStyle"/><Relationship Id="rId3" Target="style29.xml" Type="http://schemas.microsoft.com/office/2011/relationships/chartStyle"/></Relationships>
</file>

<file path=word/charts/_rels/chart3.xml.rels><?xml version="1.0" encoding="UTF-8" standalone="yes"?><Relationships xmlns="http://schemas.openxmlformats.org/package/2006/relationships"><Relationship Id="rId1" Target="../embeddings/Microsoft_Excel_Worksheet3.xlsx" Type="http://schemas.openxmlformats.org/officeDocument/2006/relationships/package"/><Relationship Id="rId2" Target="colors3.xml" Type="http://schemas.microsoft.com/office/2011/relationships/chartColorStyle"/><Relationship Id="rId3" Target="style3.xml" Type="http://schemas.microsoft.com/office/2011/relationships/chartStyle"/></Relationships>
</file>

<file path=word/charts/_rels/chart30.xml.rels><?xml version="1.0" encoding="UTF-8" standalone="yes"?><Relationships xmlns="http://schemas.openxmlformats.org/package/2006/relationships"><Relationship Id="rId1" Target="../embeddings/Microsoft_Excel_Worksheet30.xlsx" Type="http://schemas.openxmlformats.org/officeDocument/2006/relationships/package"/><Relationship Id="rId2" Target="colors30.xml" Type="http://schemas.microsoft.com/office/2011/relationships/chartColorStyle"/><Relationship Id="rId3" Target="style30.xml" Type="http://schemas.microsoft.com/office/2011/relationships/chartStyle"/></Relationships>
</file>

<file path=word/charts/_rels/chart31.xml.rels><?xml version="1.0" encoding="UTF-8" standalone="yes"?><Relationships xmlns="http://schemas.openxmlformats.org/package/2006/relationships"><Relationship Id="rId1" Target="../embeddings/Microsoft_Excel_Worksheet31.xlsx" Type="http://schemas.openxmlformats.org/officeDocument/2006/relationships/package"/><Relationship Id="rId2" Target="colors31.xml" Type="http://schemas.microsoft.com/office/2011/relationships/chartColorStyle"/><Relationship Id="rId3" Target="style31.xml" Type="http://schemas.microsoft.com/office/2011/relationships/chartStyle"/></Relationships>
</file>

<file path=word/charts/_rels/chart32.xml.rels><?xml version="1.0" encoding="UTF-8" standalone="yes"?><Relationships xmlns="http://schemas.openxmlformats.org/package/2006/relationships"><Relationship Id="rId1" Target="../embeddings/Microsoft_Excel_Worksheet32.xlsx" Type="http://schemas.openxmlformats.org/officeDocument/2006/relationships/package"/><Relationship Id="rId2" Target="colors32.xml" Type="http://schemas.microsoft.com/office/2011/relationships/chartColorStyle"/><Relationship Id="rId3" Target="style32.xml" Type="http://schemas.microsoft.com/office/2011/relationships/chartStyle"/></Relationships>
</file>

<file path=word/charts/_rels/chart33.xml.rels><?xml version="1.0" encoding="UTF-8" standalone="yes"?><Relationships xmlns="http://schemas.openxmlformats.org/package/2006/relationships"><Relationship Id="rId1" Target="../embeddings/Microsoft_Excel_Worksheet33.xlsx" Type="http://schemas.openxmlformats.org/officeDocument/2006/relationships/package"/><Relationship Id="rId2" Target="colors33.xml" Type="http://schemas.microsoft.com/office/2011/relationships/chartColorStyle"/><Relationship Id="rId3" Target="style33.xml" Type="http://schemas.microsoft.com/office/2011/relationships/chartStyle"/></Relationships>
</file>

<file path=word/charts/_rels/chart34.xml.rels><?xml version="1.0" encoding="UTF-8" standalone="yes"?><Relationships xmlns="http://schemas.openxmlformats.org/package/2006/relationships"><Relationship Id="rId1" Target="../embeddings/Microsoft_Excel_Worksheet34.xlsx" Type="http://schemas.openxmlformats.org/officeDocument/2006/relationships/package"/><Relationship Id="rId2" Target="colors34.xml" Type="http://schemas.microsoft.com/office/2011/relationships/chartColorStyle"/><Relationship Id="rId3" Target="style34.xml" Type="http://schemas.microsoft.com/office/2011/relationships/chartStyle"/></Relationships>
</file>

<file path=word/charts/_rels/chart35.xml.rels><?xml version="1.0" encoding="UTF-8" standalone="yes"?><Relationships xmlns="http://schemas.openxmlformats.org/package/2006/relationships"><Relationship Id="rId1" Target="../embeddings/Microsoft_Excel_Worksheet35.xlsx" Type="http://schemas.openxmlformats.org/officeDocument/2006/relationships/package"/><Relationship Id="rId2" Target="colors35.xml" Type="http://schemas.microsoft.com/office/2011/relationships/chartColorStyle"/><Relationship Id="rId3" Target="style35.xml" Type="http://schemas.microsoft.com/office/2011/relationships/chartStyle"/></Relationships>
</file>

<file path=word/charts/_rels/chart36.xml.rels><?xml version="1.0" encoding="UTF-8" standalone="yes"?><Relationships xmlns="http://schemas.openxmlformats.org/package/2006/relationships"><Relationship Id="rId1" Target="../embeddings/Microsoft_Excel_Worksheet36.xlsx" Type="http://schemas.openxmlformats.org/officeDocument/2006/relationships/package"/><Relationship Id="rId2" Target="colors36.xml" Type="http://schemas.microsoft.com/office/2011/relationships/chartColorStyle"/><Relationship Id="rId3" Target="style36.xml" Type="http://schemas.microsoft.com/office/2011/relationships/chartStyle"/></Relationships>
</file>

<file path=word/charts/_rels/chart37.xml.rels><?xml version="1.0" encoding="UTF-8" standalone="yes"?><Relationships xmlns="http://schemas.openxmlformats.org/package/2006/relationships"><Relationship Id="rId1" Target="../embeddings/Microsoft_Excel_Worksheet37.xlsx" Type="http://schemas.openxmlformats.org/officeDocument/2006/relationships/package"/><Relationship Id="rId2" Target="colors37.xml" Type="http://schemas.microsoft.com/office/2011/relationships/chartColorStyle"/><Relationship Id="rId3" Target="style37.xml" Type="http://schemas.microsoft.com/office/2011/relationships/chartStyle"/></Relationships>
</file>

<file path=word/charts/_rels/chart38.xml.rels><?xml version="1.0" encoding="UTF-8" standalone="yes"?><Relationships xmlns="http://schemas.openxmlformats.org/package/2006/relationships"><Relationship Id="rId1" Target="../embeddings/Microsoft_Excel_Worksheet38.xlsx" Type="http://schemas.openxmlformats.org/officeDocument/2006/relationships/package"/><Relationship Id="rId2" Target="colors38.xml" Type="http://schemas.microsoft.com/office/2011/relationships/chartColorStyle"/><Relationship Id="rId3" Target="style38.xml" Type="http://schemas.microsoft.com/office/2011/relationships/chartStyle"/></Relationships>
</file>

<file path=word/charts/_rels/chart39.xml.rels><?xml version="1.0" encoding="UTF-8" standalone="yes"?><Relationships xmlns="http://schemas.openxmlformats.org/package/2006/relationships"><Relationship Id="rId1" Target="../embeddings/Microsoft_Excel_Worksheet39.xlsx" Type="http://schemas.openxmlformats.org/officeDocument/2006/relationships/package"/><Relationship Id="rId2" Target="colors39.xml" Type="http://schemas.microsoft.com/office/2011/relationships/chartColorStyle"/><Relationship Id="rId3" Target="style39.xml" Type="http://schemas.microsoft.com/office/2011/relationships/chartStyle"/></Relationships>
</file>

<file path=word/charts/_rels/chart4.xml.rels><?xml version="1.0" encoding="UTF-8" standalone="yes"?><Relationships xmlns="http://schemas.openxmlformats.org/package/2006/relationships"><Relationship Id="rId1" Target="../embeddings/Microsoft_Excel_Worksheet4.xlsx" Type="http://schemas.openxmlformats.org/officeDocument/2006/relationships/package"/><Relationship Id="rId2" Target="colors4.xml" Type="http://schemas.microsoft.com/office/2011/relationships/chartColorStyle"/><Relationship Id="rId3" Target="style4.xml" Type="http://schemas.microsoft.com/office/2011/relationships/chartStyle"/></Relationships>
</file>

<file path=word/charts/_rels/chart40.xml.rels><?xml version="1.0" encoding="UTF-8" standalone="yes"?><Relationships xmlns="http://schemas.openxmlformats.org/package/2006/relationships"><Relationship Id="rId1" Target="../embeddings/Microsoft_Excel_Worksheet40.xlsx" Type="http://schemas.openxmlformats.org/officeDocument/2006/relationships/package"/><Relationship Id="rId2" Target="colors40.xml" Type="http://schemas.microsoft.com/office/2011/relationships/chartColorStyle"/><Relationship Id="rId3" Target="style40.xml" Type="http://schemas.microsoft.com/office/2011/relationships/chartStyle"/></Relationships>
</file>

<file path=word/charts/_rels/chart41.xml.rels><?xml version="1.0" encoding="UTF-8" standalone="yes"?><Relationships xmlns="http://schemas.openxmlformats.org/package/2006/relationships"><Relationship Id="rId1" Target="../embeddings/Microsoft_Excel_Worksheet41.xlsx" Type="http://schemas.openxmlformats.org/officeDocument/2006/relationships/package"/><Relationship Id="rId2" Target="colors41.xml" Type="http://schemas.microsoft.com/office/2011/relationships/chartColorStyle"/><Relationship Id="rId3" Target="style41.xml" Type="http://schemas.microsoft.com/office/2011/relationships/chartStyle"/></Relationships>
</file>

<file path=word/charts/_rels/chart42.xml.rels><?xml version="1.0" encoding="UTF-8" standalone="yes"?><Relationships xmlns="http://schemas.openxmlformats.org/package/2006/relationships"><Relationship Id="rId1" Target="../embeddings/Microsoft_Excel_Worksheet42.xlsx" Type="http://schemas.openxmlformats.org/officeDocument/2006/relationships/package"/><Relationship Id="rId2" Target="colors42.xml" Type="http://schemas.microsoft.com/office/2011/relationships/chartColorStyle"/><Relationship Id="rId3" Target="style42.xml" Type="http://schemas.microsoft.com/office/2011/relationships/chartStyle"/></Relationships>
</file>

<file path=word/charts/_rels/chart43.xml.rels><?xml version="1.0" encoding="UTF-8" standalone="yes"?><Relationships xmlns="http://schemas.openxmlformats.org/package/2006/relationships"><Relationship Id="rId1" Target="../embeddings/Microsoft_Excel_Worksheet43.xlsx" Type="http://schemas.openxmlformats.org/officeDocument/2006/relationships/package"/><Relationship Id="rId2" Target="colors43.xml" Type="http://schemas.microsoft.com/office/2011/relationships/chartColorStyle"/><Relationship Id="rId3" Target="style43.xml" Type="http://schemas.microsoft.com/office/2011/relationships/chartStyle"/></Relationships>
</file>

<file path=word/charts/_rels/chart44.xml.rels><?xml version="1.0" encoding="UTF-8" standalone="yes"?><Relationships xmlns="http://schemas.openxmlformats.org/package/2006/relationships"><Relationship Id="rId1" Target="../embeddings/Microsoft_Excel_Worksheet44.xlsx" Type="http://schemas.openxmlformats.org/officeDocument/2006/relationships/package"/><Relationship Id="rId2" Target="colors44.xml" Type="http://schemas.microsoft.com/office/2011/relationships/chartColorStyle"/><Relationship Id="rId3" Target="style44.xml" Type="http://schemas.microsoft.com/office/2011/relationships/chartStyle"/></Relationships>
</file>

<file path=word/charts/_rels/chart45.xml.rels><?xml version="1.0" encoding="UTF-8" standalone="yes"?><Relationships xmlns="http://schemas.openxmlformats.org/package/2006/relationships"><Relationship Id="rId1" Target="../embeddings/Microsoft_Excel_Worksheet45.xlsx" Type="http://schemas.openxmlformats.org/officeDocument/2006/relationships/package"/><Relationship Id="rId2" Target="colors45.xml" Type="http://schemas.microsoft.com/office/2011/relationships/chartColorStyle"/><Relationship Id="rId3" Target="style45.xml" Type="http://schemas.microsoft.com/office/2011/relationships/chartStyle"/></Relationships>
</file>

<file path=word/charts/_rels/chart46.xml.rels><?xml version="1.0" encoding="UTF-8" standalone="yes"?><Relationships xmlns="http://schemas.openxmlformats.org/package/2006/relationships"><Relationship Id="rId1" Target="../embeddings/Microsoft_Excel_Worksheet46.xlsx" Type="http://schemas.openxmlformats.org/officeDocument/2006/relationships/package"/><Relationship Id="rId2" Target="colors46.xml" Type="http://schemas.microsoft.com/office/2011/relationships/chartColorStyle"/><Relationship Id="rId3" Target="style46.xml" Type="http://schemas.microsoft.com/office/2011/relationships/chartStyle"/></Relationships>
</file>

<file path=word/charts/_rels/chart47.xml.rels><?xml version="1.0" encoding="UTF-8" standalone="yes"?><Relationships xmlns="http://schemas.openxmlformats.org/package/2006/relationships"><Relationship Id="rId1" Target="../embeddings/Microsoft_Excel_Worksheet47.xlsx" Type="http://schemas.openxmlformats.org/officeDocument/2006/relationships/package"/><Relationship Id="rId2" Target="colors47.xml" Type="http://schemas.microsoft.com/office/2011/relationships/chartColorStyle"/><Relationship Id="rId3" Target="style47.xml" Type="http://schemas.microsoft.com/office/2011/relationships/chartStyle"/></Relationships>
</file>

<file path=word/charts/_rels/chart48.xml.rels><?xml version="1.0" encoding="UTF-8" standalone="yes"?><Relationships xmlns="http://schemas.openxmlformats.org/package/2006/relationships"><Relationship Id="rId1" Target="../embeddings/Microsoft_Excel_Worksheet48.xlsx" Type="http://schemas.openxmlformats.org/officeDocument/2006/relationships/package"/><Relationship Id="rId2" Target="colors48.xml" Type="http://schemas.microsoft.com/office/2011/relationships/chartColorStyle"/><Relationship Id="rId3" Target="style48.xml" Type="http://schemas.microsoft.com/office/2011/relationships/chartStyle"/></Relationships>
</file>

<file path=word/charts/_rels/chart49.xml.rels><?xml version="1.0" encoding="UTF-8" standalone="yes"?><Relationships xmlns="http://schemas.openxmlformats.org/package/2006/relationships"><Relationship Id="rId1" Target="../embeddings/Microsoft_Excel_Worksheet49.xlsx" Type="http://schemas.openxmlformats.org/officeDocument/2006/relationships/package"/><Relationship Id="rId2" Target="colors49.xml" Type="http://schemas.microsoft.com/office/2011/relationships/chartColorStyle"/><Relationship Id="rId3" Target="style49.xml" Type="http://schemas.microsoft.com/office/2011/relationships/chartStyle"/></Relationships>
</file>

<file path=word/charts/_rels/chart5.xml.rels><?xml version="1.0" encoding="UTF-8" standalone="yes"?><Relationships xmlns="http://schemas.openxmlformats.org/package/2006/relationships"><Relationship Id="rId1" Target="../embeddings/Microsoft_Excel_Worksheet5.xlsx" Type="http://schemas.openxmlformats.org/officeDocument/2006/relationships/package"/><Relationship Id="rId2" Target="colors5.xml" Type="http://schemas.microsoft.com/office/2011/relationships/chartColorStyle"/><Relationship Id="rId3" Target="style5.xml" Type="http://schemas.microsoft.com/office/2011/relationships/chartStyle"/></Relationships>
</file>

<file path=word/charts/_rels/chart50.xml.rels><?xml version="1.0" encoding="UTF-8" standalone="yes"?><Relationships xmlns="http://schemas.openxmlformats.org/package/2006/relationships"><Relationship Id="rId1" Target="../embeddings/Microsoft_Excel_Worksheet50.xlsx" Type="http://schemas.openxmlformats.org/officeDocument/2006/relationships/package"/><Relationship Id="rId2" Target="colors50.xml" Type="http://schemas.microsoft.com/office/2011/relationships/chartColorStyle"/><Relationship Id="rId3" Target="style50.xml" Type="http://schemas.microsoft.com/office/2011/relationships/chartStyle"/></Relationships>
</file>

<file path=word/charts/_rels/chart51.xml.rels><?xml version="1.0" encoding="UTF-8" standalone="yes"?><Relationships xmlns="http://schemas.openxmlformats.org/package/2006/relationships"><Relationship Id="rId1" Target="../embeddings/Microsoft_Excel_Worksheet51.xlsx" Type="http://schemas.openxmlformats.org/officeDocument/2006/relationships/package"/><Relationship Id="rId2" Target="colors51.xml" Type="http://schemas.microsoft.com/office/2011/relationships/chartColorStyle"/><Relationship Id="rId3" Target="style51.xml" Type="http://schemas.microsoft.com/office/2011/relationships/chartStyle"/></Relationships>
</file>

<file path=word/charts/_rels/chart52.xml.rels><?xml version="1.0" encoding="UTF-8" standalone="yes"?><Relationships xmlns="http://schemas.openxmlformats.org/package/2006/relationships"><Relationship Id="rId1" Target="../embeddings/Microsoft_Excel_Worksheet52.xlsx" Type="http://schemas.openxmlformats.org/officeDocument/2006/relationships/package"/><Relationship Id="rId2" Target="colors52.xml" Type="http://schemas.microsoft.com/office/2011/relationships/chartColorStyle"/><Relationship Id="rId3" Target="style52.xml" Type="http://schemas.microsoft.com/office/2011/relationships/chartStyle"/></Relationships>
</file>

<file path=word/charts/_rels/chart53.xml.rels><?xml version="1.0" encoding="UTF-8" standalone="yes"?><Relationships xmlns="http://schemas.openxmlformats.org/package/2006/relationships"><Relationship Id="rId1" Target="../embeddings/Microsoft_Excel_Worksheet53.xlsx" Type="http://schemas.openxmlformats.org/officeDocument/2006/relationships/package"/><Relationship Id="rId2" Target="colors53.xml" Type="http://schemas.microsoft.com/office/2011/relationships/chartColorStyle"/><Relationship Id="rId3" Target="style53.xml" Type="http://schemas.microsoft.com/office/2011/relationships/chartStyle"/></Relationships>
</file>

<file path=word/charts/_rels/chart54.xml.rels><?xml version="1.0" encoding="UTF-8" standalone="yes"?><Relationships xmlns="http://schemas.openxmlformats.org/package/2006/relationships"><Relationship Id="rId1" Target="../embeddings/Microsoft_Excel_Worksheet54.xlsx" Type="http://schemas.openxmlformats.org/officeDocument/2006/relationships/package"/><Relationship Id="rId2" Target="colors54.xml" Type="http://schemas.microsoft.com/office/2011/relationships/chartColorStyle"/><Relationship Id="rId3" Target="style54.xml" Type="http://schemas.microsoft.com/office/2011/relationships/chartStyle"/></Relationships>
</file>

<file path=word/charts/_rels/chart55.xml.rels><?xml version="1.0" encoding="UTF-8" standalone="yes"?><Relationships xmlns="http://schemas.openxmlformats.org/package/2006/relationships"><Relationship Id="rId1" Target="../embeddings/Microsoft_Excel_Worksheet55.xlsx" Type="http://schemas.openxmlformats.org/officeDocument/2006/relationships/package"/><Relationship Id="rId2" Target="colors55.xml" Type="http://schemas.microsoft.com/office/2011/relationships/chartColorStyle"/><Relationship Id="rId3" Target="style55.xml" Type="http://schemas.microsoft.com/office/2011/relationships/chartStyle"/></Relationships>
</file>

<file path=word/charts/_rels/chart6.xml.rels><?xml version="1.0" encoding="UTF-8" standalone="yes"?><Relationships xmlns="http://schemas.openxmlformats.org/package/2006/relationships"><Relationship Id="rId1" Target="../embeddings/Microsoft_Excel_Worksheet6.xlsx" Type="http://schemas.openxmlformats.org/officeDocument/2006/relationships/package"/><Relationship Id="rId2" Target="colors6.xml" Type="http://schemas.microsoft.com/office/2011/relationships/chartColorStyle"/><Relationship Id="rId3" Target="style6.xml" Type="http://schemas.microsoft.com/office/2011/relationships/chartStyle"/></Relationships>
</file>

<file path=word/charts/_rels/chart7.xml.rels><?xml version="1.0" encoding="UTF-8" standalone="yes"?><Relationships xmlns="http://schemas.openxmlformats.org/package/2006/relationships"><Relationship Id="rId1" Target="../embeddings/Microsoft_Excel_Worksheet7.xlsx" Type="http://schemas.openxmlformats.org/officeDocument/2006/relationships/package"/><Relationship Id="rId2" Target="colors7.xml" Type="http://schemas.microsoft.com/office/2011/relationships/chartColorStyle"/><Relationship Id="rId3" Target="style7.xml" Type="http://schemas.microsoft.com/office/2011/relationships/chartStyle"/></Relationships>
</file>

<file path=word/charts/_rels/chart8.xml.rels><?xml version="1.0" encoding="UTF-8" standalone="yes"?><Relationships xmlns="http://schemas.openxmlformats.org/package/2006/relationships"><Relationship Id="rId1" Target="../embeddings/Microsoft_Excel_Worksheet8.xlsx" Type="http://schemas.openxmlformats.org/officeDocument/2006/relationships/package"/><Relationship Id="rId2" Target="colors8.xml" Type="http://schemas.microsoft.com/office/2011/relationships/chartColorStyle"/><Relationship Id="rId3" Target="style8.xml" Type="http://schemas.microsoft.com/office/2011/relationships/chartStyle"/></Relationships>
</file>

<file path=word/charts/_rels/chart9.xml.rels><?xml version="1.0" encoding="UTF-8" standalone="yes"?><Relationships xmlns="http://schemas.openxmlformats.org/package/2006/relationships"><Relationship Id="rId1" Target="../embeddings/Microsoft_Excel_Worksheet9.xlsx" Type="http://schemas.openxmlformats.org/officeDocument/2006/relationships/package"/><Relationship Id="rId2" Target="colors9.xml" Type="http://schemas.microsoft.com/office/2011/relationships/chartColorStyle"/><Relationship Id="rId3" Target="style9.xml" Type="http://schemas.microsoft.com/office/2011/relationships/chartStyl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253746"/>
                </a:solidFill>
                <a:latin typeface="+mn-lt"/>
                <a:ea typeface="+mn-ea"/>
                <a:cs typeface="+mn-cs"/>
              </a:defRPr>
            </a:pPr>
            <a:r>
              <a:rPr lang="es-ES" sz="1200" b="1" i="1">
                <a:solidFill>
                  <a:srgbClr val="253746"/>
                </a:solidFill>
                <a:latin typeface="Arial" panose="020B0604020202020204" pitchFamily="34" charset="0"/>
                <a:cs typeface="Arial" panose="020B0604020202020204" pitchFamily="34" charset="0"/>
              </a:rPr>
              <a:t>Gráfica 1. Concentración por sexo y opinión sobre la implantación</a:t>
            </a:r>
            <a:r>
              <a:rPr lang="es-ES" sz="1200" b="1" i="1" baseline="0">
                <a:solidFill>
                  <a:srgbClr val="253746"/>
                </a:solidFill>
                <a:latin typeface="Arial" panose="020B0604020202020204" pitchFamily="34" charset="0"/>
                <a:cs typeface="Arial" panose="020B0604020202020204" pitchFamily="34" charset="0"/>
              </a:rPr>
              <a:t> del Plan de Igualdad</a:t>
            </a:r>
            <a:endParaRPr lang="es-ES" sz="1200" b="1" i="1">
              <a:solidFill>
                <a:srgbClr val="253746"/>
              </a:solidFill>
              <a:latin typeface="Arial" panose="020B0604020202020204" pitchFamily="34" charset="0"/>
              <a:cs typeface="Arial" panose="020B0604020202020204" pitchFamily="34" charset="0"/>
            </a:endParaRPr>
          </a:p>
        </c:rich>
      </c:tx>
      <c:layout>
        <c:manualLayout>
          <c:xMode val="edge"/>
          <c:yMode val="edge"/>
          <c:x val="0.1358889934148636"/>
          <c:y val="2.4188671638782504E-2"/>
        </c:manualLayout>
      </c:layout>
      <c:overlay val="0"/>
      <c:spPr>
        <a:noFill/>
        <a:ln>
          <a:noFill/>
        </a:ln>
        <a:effectLst/>
      </c:spPr>
    </c:title>
    <c:autoTitleDeleted val="0"/>
    <c:plotArea>
      <c:layout/>
      <c:barChart>
        <c:barDir val="bar"/>
        <c:grouping val="percentStacked"/>
        <c:varyColors val="0"/>
        <c:ser>
          <c:idx val="0"/>
          <c:order val="0"/>
          <c:tx>
            <c:strRef>
              <c:f>Hoja1!$B$1</c:f>
              <c:strCache>
                <c:ptCount val="1"/>
                <c:pt idx="0">
                  <c:v>Sí</c:v>
                </c:pt>
              </c:strCache>
            </c:strRef>
          </c:tx>
          <c:spPr>
            <a:solidFill>
              <a:srgbClr val="B1E670"/>
            </a:solidFill>
            <a:ln>
              <a:solidFill>
                <a:srgbClr val="B1E67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Hoja1!$B$2:$B$3</c:f>
              <c:numCache>
                <c:formatCode>0%</c:formatCode>
                <c:ptCount val="2"/>
                <c:pt idx="0">
                  <c:v>0.62</c:v>
                </c:pt>
                <c:pt idx="1">
                  <c:v>0.37</c:v>
                </c:pt>
              </c:numCache>
            </c:numRef>
          </c:val>
          <c:extLst xmlns:c16r2="http://schemas.microsoft.com/office/drawing/2015/06/chart">
            <c:ext xmlns:c16="http://schemas.microsoft.com/office/drawing/2014/chart" uri="{C3380CC4-5D6E-409C-BE32-E72D297353CC}">
              <c16:uniqueId val="{00000000-F078-4564-84C6-9CDD7E08FE86}"/>
            </c:ext>
          </c:extLst>
        </c:ser>
        <c:ser>
          <c:idx val="1"/>
          <c:order val="1"/>
          <c:tx>
            <c:strRef>
              <c:f>Hoja1!$C$1</c:f>
              <c:strCache>
                <c:ptCount val="1"/>
                <c:pt idx="0">
                  <c:v>No</c:v>
                </c:pt>
              </c:strCache>
            </c:strRef>
          </c:tx>
          <c:spPr>
            <a:solidFill>
              <a:srgbClr val="779AB7"/>
            </a:solidFill>
            <a:ln>
              <a:solidFill>
                <a:srgbClr val="779AB7"/>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Hoja1!$C$2:$C$3</c:f>
              <c:numCache>
                <c:formatCode>0%</c:formatCode>
                <c:ptCount val="2"/>
                <c:pt idx="0">
                  <c:v>0.24</c:v>
                </c:pt>
                <c:pt idx="1">
                  <c:v>0.52</c:v>
                </c:pt>
              </c:numCache>
            </c:numRef>
          </c:val>
          <c:extLst xmlns:c16r2="http://schemas.microsoft.com/office/drawing/2015/06/chart">
            <c:ext xmlns:c16="http://schemas.microsoft.com/office/drawing/2014/chart" uri="{C3380CC4-5D6E-409C-BE32-E72D297353CC}">
              <c16:uniqueId val="{00000001-F078-4564-84C6-9CDD7E08FE86}"/>
            </c:ext>
          </c:extLst>
        </c:ser>
        <c:ser>
          <c:idx val="2"/>
          <c:order val="2"/>
          <c:tx>
            <c:strRef>
              <c:f>Hoja1!$D$1</c:f>
              <c:strCache>
                <c:ptCount val="1"/>
                <c:pt idx="0">
                  <c:v>N/C</c:v>
                </c:pt>
              </c:strCache>
            </c:strRef>
          </c:tx>
          <c:spPr>
            <a:solidFill>
              <a:srgbClr val="EAF8D8"/>
            </a:solidFill>
            <a:ln>
              <a:solidFill>
                <a:srgbClr val="EAF8D8"/>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Hoja1!$D$2:$D$3</c:f>
              <c:numCache>
                <c:formatCode>0%</c:formatCode>
                <c:ptCount val="2"/>
                <c:pt idx="0">
                  <c:v>0.14000000000000001</c:v>
                </c:pt>
                <c:pt idx="1">
                  <c:v>0.11</c:v>
                </c:pt>
              </c:numCache>
            </c:numRef>
          </c:val>
          <c:extLst xmlns:c16r2="http://schemas.microsoft.com/office/drawing/2015/06/chart">
            <c:ext xmlns:c16="http://schemas.microsoft.com/office/drawing/2014/chart" uri="{C3380CC4-5D6E-409C-BE32-E72D297353CC}">
              <c16:uniqueId val="{00000004-F078-4564-84C6-9CDD7E08FE86}"/>
            </c:ext>
          </c:extLst>
        </c:ser>
        <c:dLbls>
          <c:dLblPos val="ctr"/>
          <c:showLegendKey val="0"/>
          <c:showVal val="1"/>
          <c:showCatName val="0"/>
          <c:showSerName val="0"/>
          <c:showPercent val="0"/>
          <c:showBubbleSize val="0"/>
        </c:dLbls>
        <c:gapWidth val="150"/>
        <c:overlap val="100"/>
        <c:axId val="95050368"/>
        <c:axId val="95068544"/>
      </c:barChart>
      <c:catAx>
        <c:axId val="95050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95068544"/>
        <c:crosses val="autoZero"/>
        <c:auto val="1"/>
        <c:lblAlgn val="ctr"/>
        <c:lblOffset val="100"/>
        <c:noMultiLvlLbl val="0"/>
      </c:catAx>
      <c:valAx>
        <c:axId val="95068544"/>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950503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10. Concentración por sexo y tramos de edad </a:t>
            </a:r>
          </a:p>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0" i="1">
                <a:solidFill>
                  <a:srgbClr val="253746"/>
                </a:solidFill>
                <a:latin typeface="Arial" panose="020B0604020202020204" pitchFamily="34" charset="0"/>
                <a:cs typeface="Arial" panose="020B0604020202020204" pitchFamily="34" charset="0"/>
              </a:rPr>
              <a:t>(Personal Docente</a:t>
            </a:r>
            <a:r>
              <a:rPr lang="en-US" sz="1200" b="0" i="1" baseline="0">
                <a:solidFill>
                  <a:srgbClr val="253746"/>
                </a:solidFill>
                <a:latin typeface="Arial" panose="020B0604020202020204" pitchFamily="34" charset="0"/>
                <a:cs typeface="Arial" panose="020B0604020202020204" pitchFamily="34" charset="0"/>
              </a:rPr>
              <a:t>)</a:t>
            </a:r>
            <a:endParaRPr lang="en-US" sz="1200" b="0" i="1">
              <a:solidFill>
                <a:srgbClr val="253746"/>
              </a:solidFill>
              <a:latin typeface="Arial" panose="020B0604020202020204" pitchFamily="34" charset="0"/>
              <a:cs typeface="Arial" panose="020B0604020202020204" pitchFamily="34" charset="0"/>
            </a:endParaRPr>
          </a:p>
        </c:rich>
      </c:tx>
      <c:layout>
        <c:manualLayout>
          <c:xMode val="edge"/>
          <c:yMode val="edge"/>
          <c:x val="0.11977682811016147"/>
          <c:y val="2.5640803164067302E-2"/>
        </c:manualLayout>
      </c:layout>
      <c:overlay val="0"/>
      <c:spPr>
        <a:noFill/>
        <a:ln>
          <a:noFill/>
        </a:ln>
        <a:effectLst/>
      </c:spPr>
    </c:title>
    <c:autoTitleDeleted val="0"/>
    <c:plotArea>
      <c:layout>
        <c:manualLayout>
          <c:layoutTarget val="inner"/>
          <c:xMode val="edge"/>
          <c:yMode val="edge"/>
          <c:x val="9.657128863165608E-2"/>
          <c:y val="0.31089636522707392"/>
          <c:w val="0.87731285191915109"/>
          <c:h val="0.57630853994490361"/>
        </c:manualLayout>
      </c:layout>
      <c:lineChart>
        <c:grouping val="standard"/>
        <c:varyColors val="0"/>
        <c:ser>
          <c:idx val="0"/>
          <c:order val="0"/>
          <c:tx>
            <c:strRef>
              <c:f>Hoja1!$B$1</c:f>
              <c:strCache>
                <c:ptCount val="1"/>
                <c:pt idx="0">
                  <c:v>Mujeres</c:v>
                </c:pt>
              </c:strCache>
            </c:strRef>
          </c:tx>
          <c:spPr>
            <a:ln w="19050" cap="rnd">
              <a:solidFill>
                <a:srgbClr val="78BE20"/>
              </a:solidFill>
              <a:round/>
            </a:ln>
            <a:effectLst/>
          </c:spPr>
          <c:marker>
            <c:symbol val="circle"/>
            <c:size val="5"/>
            <c:spPr>
              <a:solidFill>
                <a:srgbClr val="78BE20"/>
              </a:solidFill>
              <a:ln w="9525">
                <a:solidFill>
                  <a:srgbClr val="78BE20"/>
                </a:solidFill>
              </a:ln>
              <a:effectLst/>
            </c:spPr>
          </c:marker>
          <c:dPt>
            <c:idx val="0"/>
            <c:bubble3D val="0"/>
            <c:explosion val="1"/>
            <c:extLst xmlns:c16r2="http://schemas.microsoft.com/office/drawing/2015/06/chart">
              <c:ext xmlns:c16="http://schemas.microsoft.com/office/drawing/2014/chart" uri="{C3380CC4-5D6E-409C-BE32-E72D297353CC}">
                <c16:uniqueId val="{00000001-386E-4170-BA91-C788A6541715}"/>
              </c:ext>
            </c:extLst>
          </c:dPt>
          <c:dPt>
            <c:idx val="1"/>
            <c:bubble3D val="0"/>
            <c:extLst xmlns:c16r2="http://schemas.microsoft.com/office/drawing/2015/06/chart">
              <c:ext xmlns:c16="http://schemas.microsoft.com/office/drawing/2014/chart" uri="{C3380CC4-5D6E-409C-BE32-E72D297353CC}">
                <c16:uniqueId val="{00000002-386E-4170-BA91-C788A6541715}"/>
              </c:ext>
            </c:extLst>
          </c:dPt>
          <c:dLbls>
            <c:delete val="1"/>
          </c:dLbls>
          <c:cat>
            <c:strRef>
              <c:f>Hoja1!$A$2:$A$8</c:f>
              <c:strCache>
                <c:ptCount val="7"/>
                <c:pt idx="0">
                  <c:v>18 a 25</c:v>
                </c:pt>
                <c:pt idx="1">
                  <c:v>26 a 35</c:v>
                </c:pt>
                <c:pt idx="2">
                  <c:v>36 a 45</c:v>
                </c:pt>
                <c:pt idx="3">
                  <c:v>46 a 55</c:v>
                </c:pt>
                <c:pt idx="4">
                  <c:v>56 a 60</c:v>
                </c:pt>
                <c:pt idx="5">
                  <c:v>61 a 65</c:v>
                </c:pt>
                <c:pt idx="6">
                  <c:v>&gt; 65</c:v>
                </c:pt>
              </c:strCache>
            </c:strRef>
          </c:cat>
          <c:val>
            <c:numRef>
              <c:f>Hoja1!$B$2:$B$8</c:f>
              <c:numCache>
                <c:formatCode>0%</c:formatCode>
                <c:ptCount val="7"/>
                <c:pt idx="0">
                  <c:v>0.03</c:v>
                </c:pt>
                <c:pt idx="1">
                  <c:v>0.22</c:v>
                </c:pt>
                <c:pt idx="2">
                  <c:v>0.36</c:v>
                </c:pt>
                <c:pt idx="3">
                  <c:v>0.25</c:v>
                </c:pt>
                <c:pt idx="4">
                  <c:v>0.12</c:v>
                </c:pt>
                <c:pt idx="5">
                  <c:v>0.02</c:v>
                </c:pt>
                <c:pt idx="6">
                  <c:v>0</c:v>
                </c:pt>
              </c:numCache>
            </c:numRef>
          </c:val>
          <c:smooth val="0"/>
          <c:extLst xmlns:c16r2="http://schemas.microsoft.com/office/drawing/2015/06/chart">
            <c:ext xmlns:c16="http://schemas.microsoft.com/office/drawing/2014/chart" uri="{C3380CC4-5D6E-409C-BE32-E72D297353CC}">
              <c16:uniqueId val="{00000003-386E-4170-BA91-C788A6541715}"/>
            </c:ext>
          </c:extLst>
        </c:ser>
        <c:ser>
          <c:idx val="1"/>
          <c:order val="1"/>
          <c:tx>
            <c:strRef>
              <c:f>Hoja1!$C$1</c:f>
              <c:strCache>
                <c:ptCount val="1"/>
                <c:pt idx="0">
                  <c:v>Hombres</c:v>
                </c:pt>
              </c:strCache>
            </c:strRef>
          </c:tx>
          <c:spPr>
            <a:ln w="19050" cap="rnd">
              <a:solidFill>
                <a:srgbClr val="253746"/>
              </a:solidFill>
              <a:round/>
            </a:ln>
            <a:effectLst/>
          </c:spPr>
          <c:marker>
            <c:symbol val="circle"/>
            <c:size val="5"/>
            <c:spPr>
              <a:solidFill>
                <a:srgbClr val="253746"/>
              </a:solidFill>
              <a:ln w="9525">
                <a:solidFill>
                  <a:srgbClr val="253746"/>
                </a:solidFill>
              </a:ln>
              <a:effectLst/>
            </c:spPr>
          </c:marker>
          <c:dLbls>
            <c:delete val="1"/>
          </c:dLbls>
          <c:cat>
            <c:strRef>
              <c:f>Hoja1!$A$2:$A$8</c:f>
              <c:strCache>
                <c:ptCount val="7"/>
                <c:pt idx="0">
                  <c:v>18 a 25</c:v>
                </c:pt>
                <c:pt idx="1">
                  <c:v>26 a 35</c:v>
                </c:pt>
                <c:pt idx="2">
                  <c:v>36 a 45</c:v>
                </c:pt>
                <c:pt idx="3">
                  <c:v>46 a 55</c:v>
                </c:pt>
                <c:pt idx="4">
                  <c:v>56 a 60</c:v>
                </c:pt>
                <c:pt idx="5">
                  <c:v>61 a 65</c:v>
                </c:pt>
                <c:pt idx="6">
                  <c:v>&gt; 65</c:v>
                </c:pt>
              </c:strCache>
            </c:strRef>
          </c:cat>
          <c:val>
            <c:numRef>
              <c:f>Hoja1!$C$2:$C$8</c:f>
              <c:numCache>
                <c:formatCode>0%</c:formatCode>
                <c:ptCount val="7"/>
                <c:pt idx="0">
                  <c:v>0.03</c:v>
                </c:pt>
                <c:pt idx="1">
                  <c:v>0.18</c:v>
                </c:pt>
                <c:pt idx="2">
                  <c:v>0.31</c:v>
                </c:pt>
                <c:pt idx="3">
                  <c:v>0.28999999999999998</c:v>
                </c:pt>
                <c:pt idx="4">
                  <c:v>0.16</c:v>
                </c:pt>
                <c:pt idx="5">
                  <c:v>0.03</c:v>
                </c:pt>
                <c:pt idx="6">
                  <c:v>0</c:v>
                </c:pt>
              </c:numCache>
            </c:numRef>
          </c:val>
          <c:smooth val="0"/>
          <c:extLst xmlns:c16r2="http://schemas.microsoft.com/office/drawing/2015/06/chart">
            <c:ext xmlns:c16="http://schemas.microsoft.com/office/drawing/2014/chart" uri="{C3380CC4-5D6E-409C-BE32-E72D297353CC}">
              <c16:uniqueId val="{00000004-386E-4170-BA91-C788A6541715}"/>
            </c:ext>
          </c:extLst>
        </c:ser>
        <c:dLbls>
          <c:dLblPos val="ctr"/>
          <c:showLegendKey val="0"/>
          <c:showVal val="1"/>
          <c:showCatName val="0"/>
          <c:showSerName val="0"/>
          <c:showPercent val="0"/>
          <c:showBubbleSize val="0"/>
        </c:dLbls>
        <c:marker val="1"/>
        <c:smooth val="0"/>
        <c:axId val="43930752"/>
        <c:axId val="43932672"/>
      </c:lineChart>
      <c:catAx>
        <c:axId val="439307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3932672"/>
        <c:crosses val="autoZero"/>
        <c:auto val="1"/>
        <c:lblAlgn val="ctr"/>
        <c:lblOffset val="100"/>
        <c:noMultiLvlLbl val="0"/>
      </c:catAx>
      <c:valAx>
        <c:axId val="43932672"/>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39307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11. Concentración por sexo y antigüedad </a:t>
            </a:r>
          </a:p>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0" i="1">
                <a:solidFill>
                  <a:srgbClr val="253746"/>
                </a:solidFill>
                <a:latin typeface="Arial" panose="020B0604020202020204" pitchFamily="34" charset="0"/>
                <a:cs typeface="Arial" panose="020B0604020202020204" pitchFamily="34" charset="0"/>
              </a:rPr>
              <a:t>(Servicios Generales</a:t>
            </a:r>
            <a:r>
              <a:rPr lang="en-US" sz="1200" b="0" i="1" baseline="0">
                <a:solidFill>
                  <a:srgbClr val="253746"/>
                </a:solidFill>
                <a:latin typeface="Arial" panose="020B0604020202020204" pitchFamily="34" charset="0"/>
                <a:cs typeface="Arial" panose="020B0604020202020204" pitchFamily="34" charset="0"/>
              </a:rPr>
              <a:t>)</a:t>
            </a:r>
            <a:endParaRPr lang="en-US" sz="1200" b="0" i="1">
              <a:solidFill>
                <a:srgbClr val="253746"/>
              </a:solidFill>
              <a:latin typeface="Arial" panose="020B0604020202020204" pitchFamily="34" charset="0"/>
              <a:cs typeface="Arial" panose="020B0604020202020204" pitchFamily="34" charset="0"/>
            </a:endParaRPr>
          </a:p>
        </c:rich>
      </c:tx>
      <c:layout>
        <c:manualLayout>
          <c:xMode val="edge"/>
          <c:yMode val="edge"/>
          <c:x val="0.15538936372269704"/>
          <c:y val="3.0232171391799165E-2"/>
        </c:manualLayout>
      </c:layout>
      <c:overlay val="0"/>
      <c:spPr>
        <a:noFill/>
        <a:ln>
          <a:noFill/>
        </a:ln>
        <a:effectLst/>
      </c:spPr>
    </c:title>
    <c:autoTitleDeleted val="0"/>
    <c:plotArea>
      <c:layout>
        <c:manualLayout>
          <c:layoutTarget val="inner"/>
          <c:xMode val="edge"/>
          <c:yMode val="edge"/>
          <c:x val="9.657128863165608E-2"/>
          <c:y val="0.42568057092037043"/>
          <c:w val="0.87731285191915109"/>
          <c:h val="0.43397612488521581"/>
        </c:manualLayout>
      </c:layout>
      <c:lineChart>
        <c:grouping val="standard"/>
        <c:varyColors val="0"/>
        <c:ser>
          <c:idx val="0"/>
          <c:order val="0"/>
          <c:tx>
            <c:strRef>
              <c:f>Hoja1!$B$1</c:f>
              <c:strCache>
                <c:ptCount val="1"/>
                <c:pt idx="0">
                  <c:v>Mujeres</c:v>
                </c:pt>
              </c:strCache>
            </c:strRef>
          </c:tx>
          <c:spPr>
            <a:ln w="19050" cap="rnd">
              <a:solidFill>
                <a:srgbClr val="78BE20"/>
              </a:solidFill>
              <a:round/>
            </a:ln>
            <a:effectLst/>
          </c:spPr>
          <c:marker>
            <c:symbol val="circle"/>
            <c:size val="5"/>
            <c:spPr>
              <a:solidFill>
                <a:srgbClr val="78BE20"/>
              </a:solidFill>
              <a:ln w="9525">
                <a:solidFill>
                  <a:srgbClr val="78BE20"/>
                </a:solidFill>
              </a:ln>
              <a:effectLst/>
            </c:spPr>
          </c:marker>
          <c:dPt>
            <c:idx val="0"/>
            <c:bubble3D val="0"/>
            <c:explosion val="1"/>
            <c:extLst xmlns:c16r2="http://schemas.microsoft.com/office/drawing/2015/06/chart">
              <c:ext xmlns:c16="http://schemas.microsoft.com/office/drawing/2014/chart" uri="{C3380CC4-5D6E-409C-BE32-E72D297353CC}">
                <c16:uniqueId val="{00000001-ECE4-4948-B010-94319AA0A26A}"/>
              </c:ext>
            </c:extLst>
          </c:dPt>
          <c:dPt>
            <c:idx val="1"/>
            <c:bubble3D val="0"/>
            <c:extLst xmlns:c16r2="http://schemas.microsoft.com/office/drawing/2015/06/chart">
              <c:ext xmlns:c16="http://schemas.microsoft.com/office/drawing/2014/chart" uri="{C3380CC4-5D6E-409C-BE32-E72D297353CC}">
                <c16:uniqueId val="{00000002-ECE4-4948-B010-94319AA0A26A}"/>
              </c:ext>
            </c:extLst>
          </c:dPt>
          <c:dLbls>
            <c:delete val="1"/>
          </c:dLbls>
          <c:cat>
            <c:strRef>
              <c:f>Hoja1!$A$2:$A$6</c:f>
              <c:strCache>
                <c:ptCount val="5"/>
                <c:pt idx="0">
                  <c:v>0 a 10 </c:v>
                </c:pt>
                <c:pt idx="1">
                  <c:v>11 a 20</c:v>
                </c:pt>
                <c:pt idx="2">
                  <c:v>21 a 30</c:v>
                </c:pt>
                <c:pt idx="3">
                  <c:v>31 a 40</c:v>
                </c:pt>
                <c:pt idx="4">
                  <c:v>41 a 50</c:v>
                </c:pt>
              </c:strCache>
            </c:strRef>
          </c:cat>
          <c:val>
            <c:numRef>
              <c:f>Hoja1!$B$2:$B$6</c:f>
              <c:numCache>
                <c:formatCode>0%</c:formatCode>
                <c:ptCount val="5"/>
                <c:pt idx="0">
                  <c:v>0.26</c:v>
                </c:pt>
                <c:pt idx="1">
                  <c:v>0.35</c:v>
                </c:pt>
                <c:pt idx="2">
                  <c:v>0.31</c:v>
                </c:pt>
                <c:pt idx="3">
                  <c:v>0.08</c:v>
                </c:pt>
                <c:pt idx="4">
                  <c:v>0</c:v>
                </c:pt>
              </c:numCache>
            </c:numRef>
          </c:val>
          <c:smooth val="0"/>
          <c:extLst xmlns:c16r2="http://schemas.microsoft.com/office/drawing/2015/06/chart">
            <c:ext xmlns:c16="http://schemas.microsoft.com/office/drawing/2014/chart" uri="{C3380CC4-5D6E-409C-BE32-E72D297353CC}">
              <c16:uniqueId val="{00000003-ECE4-4948-B010-94319AA0A26A}"/>
            </c:ext>
          </c:extLst>
        </c:ser>
        <c:ser>
          <c:idx val="1"/>
          <c:order val="1"/>
          <c:tx>
            <c:strRef>
              <c:f>Hoja1!$C$1</c:f>
              <c:strCache>
                <c:ptCount val="1"/>
                <c:pt idx="0">
                  <c:v>Hombres</c:v>
                </c:pt>
              </c:strCache>
            </c:strRef>
          </c:tx>
          <c:spPr>
            <a:ln w="19050" cap="rnd">
              <a:solidFill>
                <a:srgbClr val="253746"/>
              </a:solidFill>
              <a:round/>
            </a:ln>
            <a:effectLst/>
          </c:spPr>
          <c:marker>
            <c:symbol val="circle"/>
            <c:size val="5"/>
            <c:spPr>
              <a:solidFill>
                <a:srgbClr val="253746"/>
              </a:solidFill>
              <a:ln w="9525">
                <a:solidFill>
                  <a:srgbClr val="253746"/>
                </a:solidFill>
              </a:ln>
              <a:effectLst/>
            </c:spPr>
          </c:marker>
          <c:dLbls>
            <c:delete val="1"/>
          </c:dLbls>
          <c:cat>
            <c:strRef>
              <c:f>Hoja1!$A$2:$A$6</c:f>
              <c:strCache>
                <c:ptCount val="5"/>
                <c:pt idx="0">
                  <c:v>0 a 10 </c:v>
                </c:pt>
                <c:pt idx="1">
                  <c:v>11 a 20</c:v>
                </c:pt>
                <c:pt idx="2">
                  <c:v>21 a 30</c:v>
                </c:pt>
                <c:pt idx="3">
                  <c:v>31 a 40</c:v>
                </c:pt>
                <c:pt idx="4">
                  <c:v>41 a 50</c:v>
                </c:pt>
              </c:strCache>
            </c:strRef>
          </c:cat>
          <c:val>
            <c:numRef>
              <c:f>Hoja1!$C$2:$C$6</c:f>
              <c:numCache>
                <c:formatCode>0%</c:formatCode>
                <c:ptCount val="5"/>
                <c:pt idx="0">
                  <c:v>0.24</c:v>
                </c:pt>
                <c:pt idx="1">
                  <c:v>0.32</c:v>
                </c:pt>
                <c:pt idx="2">
                  <c:v>0.31</c:v>
                </c:pt>
                <c:pt idx="3">
                  <c:v>0.11</c:v>
                </c:pt>
                <c:pt idx="4">
                  <c:v>0.01</c:v>
                </c:pt>
              </c:numCache>
            </c:numRef>
          </c:val>
          <c:smooth val="0"/>
          <c:extLst xmlns:c16r2="http://schemas.microsoft.com/office/drawing/2015/06/chart">
            <c:ext xmlns:c16="http://schemas.microsoft.com/office/drawing/2014/chart" uri="{C3380CC4-5D6E-409C-BE32-E72D297353CC}">
              <c16:uniqueId val="{00000004-ECE4-4948-B010-94319AA0A26A}"/>
            </c:ext>
          </c:extLst>
        </c:ser>
        <c:dLbls>
          <c:dLblPos val="ctr"/>
          <c:showLegendKey val="0"/>
          <c:showVal val="1"/>
          <c:showCatName val="0"/>
          <c:showSerName val="0"/>
          <c:showPercent val="0"/>
          <c:showBubbleSize val="0"/>
        </c:dLbls>
        <c:marker val="1"/>
        <c:smooth val="0"/>
        <c:axId val="44247680"/>
        <c:axId val="44262144"/>
      </c:lineChart>
      <c:catAx>
        <c:axId val="442476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4262144"/>
        <c:crosses val="autoZero"/>
        <c:auto val="1"/>
        <c:lblAlgn val="ctr"/>
        <c:lblOffset val="100"/>
        <c:noMultiLvlLbl val="0"/>
      </c:catAx>
      <c:valAx>
        <c:axId val="44262144"/>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42476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12. Concentración por sexo y antigüedad </a:t>
            </a:r>
          </a:p>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0" i="1">
                <a:solidFill>
                  <a:srgbClr val="253746"/>
                </a:solidFill>
                <a:latin typeface="Arial" panose="020B0604020202020204" pitchFamily="34" charset="0"/>
                <a:cs typeface="Arial" panose="020B0604020202020204" pitchFamily="34" charset="0"/>
              </a:rPr>
              <a:t>(Personal Docente</a:t>
            </a:r>
            <a:r>
              <a:rPr lang="en-US" sz="1200" b="0" i="1" baseline="0">
                <a:solidFill>
                  <a:srgbClr val="253746"/>
                </a:solidFill>
                <a:latin typeface="Arial" panose="020B0604020202020204" pitchFamily="34" charset="0"/>
                <a:cs typeface="Arial" panose="020B0604020202020204" pitchFamily="34" charset="0"/>
              </a:rPr>
              <a:t>)</a:t>
            </a:r>
            <a:endParaRPr lang="en-US" sz="1200" b="0" i="1">
              <a:solidFill>
                <a:srgbClr val="253746"/>
              </a:solidFill>
              <a:latin typeface="Arial" panose="020B0604020202020204" pitchFamily="34" charset="0"/>
              <a:cs typeface="Arial" panose="020B0604020202020204" pitchFamily="34" charset="0"/>
            </a:endParaRPr>
          </a:p>
        </c:rich>
      </c:tx>
      <c:layout>
        <c:manualLayout>
          <c:xMode val="edge"/>
          <c:yMode val="edge"/>
          <c:x val="0.14114434947768284"/>
          <c:y val="2.5640889223566388E-2"/>
        </c:manualLayout>
      </c:layout>
      <c:overlay val="0"/>
      <c:spPr>
        <a:noFill/>
        <a:ln>
          <a:noFill/>
        </a:ln>
        <a:effectLst/>
      </c:spPr>
    </c:title>
    <c:autoTitleDeleted val="0"/>
    <c:plotArea>
      <c:layout>
        <c:manualLayout>
          <c:layoutTarget val="inner"/>
          <c:xMode val="edge"/>
          <c:yMode val="edge"/>
          <c:x val="9.657128863165608E-2"/>
          <c:y val="0.49914246256408029"/>
          <c:w val="0.87731285191915109"/>
          <c:h val="0.38806244260789707"/>
        </c:manualLayout>
      </c:layout>
      <c:lineChart>
        <c:grouping val="standard"/>
        <c:varyColors val="0"/>
        <c:ser>
          <c:idx val="0"/>
          <c:order val="0"/>
          <c:tx>
            <c:strRef>
              <c:f>Hoja1!$B$1</c:f>
              <c:strCache>
                <c:ptCount val="1"/>
                <c:pt idx="0">
                  <c:v>Mujeres</c:v>
                </c:pt>
              </c:strCache>
            </c:strRef>
          </c:tx>
          <c:spPr>
            <a:ln w="19050" cap="rnd">
              <a:solidFill>
                <a:srgbClr val="78BE20"/>
              </a:solidFill>
              <a:round/>
            </a:ln>
            <a:effectLst/>
          </c:spPr>
          <c:marker>
            <c:symbol val="circle"/>
            <c:size val="5"/>
            <c:spPr>
              <a:solidFill>
                <a:srgbClr val="78BE20"/>
              </a:solidFill>
              <a:ln w="9525">
                <a:solidFill>
                  <a:srgbClr val="78BE20"/>
                </a:solidFill>
              </a:ln>
              <a:effectLst/>
            </c:spPr>
          </c:marker>
          <c:dPt>
            <c:idx val="0"/>
            <c:bubble3D val="0"/>
            <c:explosion val="1"/>
            <c:extLst xmlns:c16r2="http://schemas.microsoft.com/office/drawing/2015/06/chart">
              <c:ext xmlns:c16="http://schemas.microsoft.com/office/drawing/2014/chart" uri="{C3380CC4-5D6E-409C-BE32-E72D297353CC}">
                <c16:uniqueId val="{00000001-60DB-4C68-AD76-707E6E40B3AB}"/>
              </c:ext>
            </c:extLst>
          </c:dPt>
          <c:dPt>
            <c:idx val="1"/>
            <c:bubble3D val="0"/>
            <c:extLst xmlns:c16r2="http://schemas.microsoft.com/office/drawing/2015/06/chart">
              <c:ext xmlns:c16="http://schemas.microsoft.com/office/drawing/2014/chart" uri="{C3380CC4-5D6E-409C-BE32-E72D297353CC}">
                <c16:uniqueId val="{00000002-60DB-4C68-AD76-707E6E40B3AB}"/>
              </c:ext>
            </c:extLst>
          </c:dPt>
          <c:dLbls>
            <c:delete val="1"/>
          </c:dLbls>
          <c:cat>
            <c:strRef>
              <c:f>Hoja1!$A$2:$A$6</c:f>
              <c:strCache>
                <c:ptCount val="5"/>
                <c:pt idx="0">
                  <c:v>0 a 10 </c:v>
                </c:pt>
                <c:pt idx="1">
                  <c:v>11 a 20</c:v>
                </c:pt>
                <c:pt idx="2">
                  <c:v>21 a 30</c:v>
                </c:pt>
                <c:pt idx="3">
                  <c:v>31 a 40</c:v>
                </c:pt>
                <c:pt idx="4">
                  <c:v>41 a 50</c:v>
                </c:pt>
              </c:strCache>
            </c:strRef>
          </c:cat>
          <c:val>
            <c:numRef>
              <c:f>Hoja1!$B$2:$B$6</c:f>
              <c:numCache>
                <c:formatCode>0%</c:formatCode>
                <c:ptCount val="5"/>
                <c:pt idx="0">
                  <c:v>0.52</c:v>
                </c:pt>
                <c:pt idx="1">
                  <c:v>0.36</c:v>
                </c:pt>
                <c:pt idx="2">
                  <c:v>0.1</c:v>
                </c:pt>
                <c:pt idx="3">
                  <c:v>0.02</c:v>
                </c:pt>
                <c:pt idx="4">
                  <c:v>0</c:v>
                </c:pt>
              </c:numCache>
            </c:numRef>
          </c:val>
          <c:smooth val="0"/>
          <c:extLst xmlns:c16r2="http://schemas.microsoft.com/office/drawing/2015/06/chart">
            <c:ext xmlns:c16="http://schemas.microsoft.com/office/drawing/2014/chart" uri="{C3380CC4-5D6E-409C-BE32-E72D297353CC}">
              <c16:uniqueId val="{00000003-60DB-4C68-AD76-707E6E40B3AB}"/>
            </c:ext>
          </c:extLst>
        </c:ser>
        <c:ser>
          <c:idx val="1"/>
          <c:order val="1"/>
          <c:tx>
            <c:strRef>
              <c:f>Hoja1!$C$1</c:f>
              <c:strCache>
                <c:ptCount val="1"/>
                <c:pt idx="0">
                  <c:v>Hombres</c:v>
                </c:pt>
              </c:strCache>
            </c:strRef>
          </c:tx>
          <c:spPr>
            <a:ln w="19050" cap="rnd">
              <a:solidFill>
                <a:srgbClr val="253746"/>
              </a:solidFill>
              <a:round/>
            </a:ln>
            <a:effectLst/>
          </c:spPr>
          <c:marker>
            <c:symbol val="circle"/>
            <c:size val="5"/>
            <c:spPr>
              <a:solidFill>
                <a:srgbClr val="253746"/>
              </a:solidFill>
              <a:ln w="9525">
                <a:solidFill>
                  <a:srgbClr val="253746"/>
                </a:solidFill>
              </a:ln>
              <a:effectLst/>
            </c:spPr>
          </c:marker>
          <c:dLbls>
            <c:delete val="1"/>
          </c:dLbls>
          <c:cat>
            <c:strRef>
              <c:f>Hoja1!$A$2:$A$6</c:f>
              <c:strCache>
                <c:ptCount val="5"/>
                <c:pt idx="0">
                  <c:v>0 a 10 </c:v>
                </c:pt>
                <c:pt idx="1">
                  <c:v>11 a 20</c:v>
                </c:pt>
                <c:pt idx="2">
                  <c:v>21 a 30</c:v>
                </c:pt>
                <c:pt idx="3">
                  <c:v>31 a 40</c:v>
                </c:pt>
                <c:pt idx="4">
                  <c:v>41 a 50</c:v>
                </c:pt>
              </c:strCache>
            </c:strRef>
          </c:cat>
          <c:val>
            <c:numRef>
              <c:f>Hoja1!$C$2:$C$6</c:f>
              <c:numCache>
                <c:formatCode>0%</c:formatCode>
                <c:ptCount val="5"/>
                <c:pt idx="0">
                  <c:v>0.53</c:v>
                </c:pt>
                <c:pt idx="1">
                  <c:v>0.31</c:v>
                </c:pt>
                <c:pt idx="2">
                  <c:v>0.13</c:v>
                </c:pt>
                <c:pt idx="3">
                  <c:v>0.03</c:v>
                </c:pt>
                <c:pt idx="4">
                  <c:v>0</c:v>
                </c:pt>
              </c:numCache>
            </c:numRef>
          </c:val>
          <c:smooth val="0"/>
          <c:extLst xmlns:c16r2="http://schemas.microsoft.com/office/drawing/2015/06/chart">
            <c:ext xmlns:c16="http://schemas.microsoft.com/office/drawing/2014/chart" uri="{C3380CC4-5D6E-409C-BE32-E72D297353CC}">
              <c16:uniqueId val="{00000004-60DB-4C68-AD76-707E6E40B3AB}"/>
            </c:ext>
          </c:extLst>
        </c:ser>
        <c:dLbls>
          <c:dLblPos val="ctr"/>
          <c:showLegendKey val="0"/>
          <c:showVal val="1"/>
          <c:showCatName val="0"/>
          <c:showSerName val="0"/>
          <c:showPercent val="0"/>
          <c:showBubbleSize val="0"/>
        </c:dLbls>
        <c:marker val="1"/>
        <c:smooth val="0"/>
        <c:axId val="44174720"/>
        <c:axId val="44180992"/>
      </c:lineChart>
      <c:catAx>
        <c:axId val="441747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4180992"/>
        <c:crosses val="autoZero"/>
        <c:auto val="1"/>
        <c:lblAlgn val="ctr"/>
        <c:lblOffset val="100"/>
        <c:noMultiLvlLbl val="0"/>
      </c:catAx>
      <c:valAx>
        <c:axId val="44180992"/>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41747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100" b="1" i="1">
                <a:solidFill>
                  <a:srgbClr val="253746"/>
                </a:solidFill>
                <a:latin typeface="Arial" panose="020B0604020202020204" pitchFamily="34" charset="0"/>
                <a:cs typeface="Arial" panose="020B0604020202020204" pitchFamily="34" charset="0"/>
              </a:rPr>
              <a:t>Grafica 13. Distribución por sexo en la RLPT</a:t>
            </a:r>
          </a:p>
        </c:rich>
      </c:tx>
      <c:layout>
        <c:manualLayout>
          <c:xMode val="edge"/>
          <c:yMode val="edge"/>
          <c:x val="0.24798195631528966"/>
          <c:y val="2.5640803164067302E-2"/>
        </c:manualLayout>
      </c:layout>
      <c:overlay val="0"/>
      <c:spPr>
        <a:noFill/>
        <a:ln>
          <a:noFill/>
        </a:ln>
        <a:effectLst/>
      </c:spPr>
    </c:title>
    <c:autoTitleDeleted val="0"/>
    <c:plotArea>
      <c:layout>
        <c:manualLayout>
          <c:layoutTarget val="inner"/>
          <c:xMode val="edge"/>
          <c:yMode val="edge"/>
          <c:x val="9.657128863165608E-2"/>
          <c:y val="0.31089636522707392"/>
          <c:w val="0.87731285191915109"/>
          <c:h val="0.57630853994490361"/>
        </c:manualLayout>
      </c:layout>
      <c:barChart>
        <c:barDir val="col"/>
        <c:grouping val="percentStacked"/>
        <c:varyColors val="0"/>
        <c:ser>
          <c:idx val="0"/>
          <c:order val="0"/>
          <c:tx>
            <c:strRef>
              <c:f>Hoja1!$B$1</c:f>
              <c:strCache>
                <c:ptCount val="1"/>
                <c:pt idx="0">
                  <c:v>Mujeres</c:v>
                </c:pt>
              </c:strCache>
            </c:strRef>
          </c:tx>
          <c:spPr>
            <a:solidFill>
              <a:srgbClr val="78BE20"/>
            </a:solidFill>
            <a:ln w="19050">
              <a:solidFill>
                <a:srgbClr val="78BE20"/>
              </a:solidFill>
            </a:ln>
            <a:effectLst/>
          </c:spPr>
          <c:invertIfNegative val="0"/>
          <c:dPt>
            <c:idx val="0"/>
            <c:invertIfNegative val="0"/>
            <c:bubble3D val="0"/>
            <c:explosion val="1"/>
            <c:extLst xmlns:c16r2="http://schemas.microsoft.com/office/drawing/2015/06/chart">
              <c:ext xmlns:c16="http://schemas.microsoft.com/office/drawing/2014/chart" uri="{C3380CC4-5D6E-409C-BE32-E72D297353CC}">
                <c16:uniqueId val="{00000000-37FA-4602-B087-66E8B8FA0BDA}"/>
              </c:ext>
            </c:extLst>
          </c:dPt>
          <c:dPt>
            <c:idx val="1"/>
            <c:invertIfNegative val="0"/>
            <c:bubble3D val="0"/>
            <c:extLst xmlns:c16r2="http://schemas.microsoft.com/office/drawing/2015/06/chart">
              <c:ext xmlns:c16="http://schemas.microsoft.com/office/drawing/2014/chart" uri="{C3380CC4-5D6E-409C-BE32-E72D297353CC}">
                <c16:uniqueId val="{00000001-37FA-4602-B087-66E8B8FA0BDA}"/>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Comité de Empresa</c:v>
                </c:pt>
                <c:pt idx="1">
                  <c:v>Junta de Personal </c:v>
                </c:pt>
              </c:strCache>
            </c:strRef>
          </c:cat>
          <c:val>
            <c:numRef>
              <c:f>Hoja1!$B$2:$B$3</c:f>
              <c:numCache>
                <c:formatCode>0%</c:formatCode>
                <c:ptCount val="2"/>
                <c:pt idx="0">
                  <c:v>0.28999999999999998</c:v>
                </c:pt>
                <c:pt idx="1">
                  <c:v>0.4</c:v>
                </c:pt>
              </c:numCache>
            </c:numRef>
          </c:val>
          <c:extLst xmlns:c16r2="http://schemas.microsoft.com/office/drawing/2015/06/chart">
            <c:ext xmlns:c16="http://schemas.microsoft.com/office/drawing/2014/chart" uri="{C3380CC4-5D6E-409C-BE32-E72D297353CC}">
              <c16:uniqueId val="{00000002-37FA-4602-B087-66E8B8FA0BDA}"/>
            </c:ext>
          </c:extLst>
        </c:ser>
        <c:ser>
          <c:idx val="1"/>
          <c:order val="1"/>
          <c:tx>
            <c:strRef>
              <c:f>Hoja1!$C$1</c:f>
              <c:strCache>
                <c:ptCount val="1"/>
                <c:pt idx="0">
                  <c:v>Hombres</c:v>
                </c:pt>
              </c:strCache>
            </c:strRef>
          </c:tx>
          <c:spPr>
            <a:solidFill>
              <a:srgbClr val="253746"/>
            </a:solidFill>
            <a:ln w="19050">
              <a:solidFill>
                <a:srgbClr val="25374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Comité de Empresa</c:v>
                </c:pt>
                <c:pt idx="1">
                  <c:v>Junta de Personal </c:v>
                </c:pt>
              </c:strCache>
            </c:strRef>
          </c:cat>
          <c:val>
            <c:numRef>
              <c:f>Hoja1!$C$2:$C$3</c:f>
              <c:numCache>
                <c:formatCode>0%</c:formatCode>
                <c:ptCount val="2"/>
                <c:pt idx="0">
                  <c:v>0.71</c:v>
                </c:pt>
                <c:pt idx="1">
                  <c:v>0.6</c:v>
                </c:pt>
              </c:numCache>
            </c:numRef>
          </c:val>
          <c:extLst xmlns:c16r2="http://schemas.microsoft.com/office/drawing/2015/06/chart">
            <c:ext xmlns:c16="http://schemas.microsoft.com/office/drawing/2014/chart" uri="{C3380CC4-5D6E-409C-BE32-E72D297353CC}">
              <c16:uniqueId val="{00000003-37FA-4602-B087-66E8B8FA0BDA}"/>
            </c:ext>
          </c:extLst>
        </c:ser>
        <c:dLbls>
          <c:dLblPos val="ctr"/>
          <c:showLegendKey val="0"/>
          <c:showVal val="1"/>
          <c:showCatName val="0"/>
          <c:showSerName val="0"/>
          <c:showPercent val="0"/>
          <c:showBubbleSize val="0"/>
        </c:dLbls>
        <c:gapWidth val="100"/>
        <c:overlap val="100"/>
        <c:axId val="44381312"/>
        <c:axId val="44382848"/>
      </c:barChart>
      <c:catAx>
        <c:axId val="443813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4382848"/>
        <c:crosses val="autoZero"/>
        <c:auto val="1"/>
        <c:lblAlgn val="ctr"/>
        <c:lblOffset val="100"/>
        <c:noMultiLvlLbl val="0"/>
      </c:catAx>
      <c:valAx>
        <c:axId val="44382848"/>
        <c:scaling>
          <c:orientation val="minMax"/>
        </c:scaling>
        <c:delete val="1"/>
        <c:axPos val="l"/>
        <c:majorGridlines>
          <c:spPr>
            <a:ln w="9525" cap="flat" cmpd="sng" algn="ctr">
              <a:noFill/>
              <a:round/>
            </a:ln>
            <a:effectLst/>
          </c:spPr>
        </c:majorGridlines>
        <c:numFmt formatCode="0%" sourceLinked="1"/>
        <c:majorTickMark val="out"/>
        <c:minorTickMark val="none"/>
        <c:tickLblPos val="nextTo"/>
        <c:crossAx val="443813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14. Distribución por sexo y Consejería </a:t>
            </a:r>
          </a:p>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0" i="1">
                <a:solidFill>
                  <a:srgbClr val="253746"/>
                </a:solidFill>
                <a:latin typeface="Arial" panose="020B0604020202020204" pitchFamily="34" charset="0"/>
                <a:cs typeface="Arial" panose="020B0604020202020204" pitchFamily="34" charset="0"/>
              </a:rPr>
              <a:t>(Servicios Generales)</a:t>
            </a:r>
          </a:p>
        </c:rich>
      </c:tx>
      <c:layout>
        <c:manualLayout>
          <c:xMode val="edge"/>
          <c:yMode val="edge"/>
          <c:x val="0.2028727445394112"/>
          <c:y val="3.4823539619531031E-2"/>
        </c:manualLayout>
      </c:layout>
      <c:overlay val="0"/>
      <c:spPr>
        <a:noFill/>
        <a:ln>
          <a:noFill/>
        </a:ln>
        <a:effectLst/>
      </c:spPr>
    </c:title>
    <c:autoTitleDeleted val="0"/>
    <c:plotArea>
      <c:layout>
        <c:manualLayout>
          <c:layoutTarget val="inner"/>
          <c:xMode val="edge"/>
          <c:yMode val="edge"/>
          <c:x val="9.657128863165608E-2"/>
          <c:y val="0.31089636522707392"/>
          <c:w val="0.87731285191915109"/>
          <c:h val="0.57630853994490361"/>
        </c:manualLayout>
      </c:layout>
      <c:barChart>
        <c:barDir val="col"/>
        <c:grouping val="percentStacked"/>
        <c:varyColors val="0"/>
        <c:ser>
          <c:idx val="0"/>
          <c:order val="0"/>
          <c:tx>
            <c:strRef>
              <c:f>Hoja1!$B$1</c:f>
              <c:strCache>
                <c:ptCount val="1"/>
                <c:pt idx="0">
                  <c:v>Mujeres</c:v>
                </c:pt>
              </c:strCache>
            </c:strRef>
          </c:tx>
          <c:spPr>
            <a:solidFill>
              <a:srgbClr val="78BE20"/>
            </a:solidFill>
            <a:ln w="19050">
              <a:solidFill>
                <a:srgbClr val="78BE20"/>
              </a:solidFill>
            </a:ln>
            <a:effectLst/>
          </c:spPr>
          <c:invertIfNegative val="0"/>
          <c:dPt>
            <c:idx val="0"/>
            <c:invertIfNegative val="0"/>
            <c:bubble3D val="0"/>
            <c:explosion val="1"/>
            <c:extLst xmlns:c16r2="http://schemas.microsoft.com/office/drawing/2015/06/chart">
              <c:ext xmlns:c16="http://schemas.microsoft.com/office/drawing/2014/chart" uri="{C3380CC4-5D6E-409C-BE32-E72D297353CC}">
                <c16:uniqueId val="{00000000-F20A-4BCD-BBE5-33B836BCF465}"/>
              </c:ext>
            </c:extLst>
          </c:dPt>
          <c:dPt>
            <c:idx val="1"/>
            <c:invertIfNegative val="0"/>
            <c:bubble3D val="0"/>
            <c:extLst xmlns:c16r2="http://schemas.microsoft.com/office/drawing/2015/06/chart">
              <c:ext xmlns:c16="http://schemas.microsoft.com/office/drawing/2014/chart" uri="{C3380CC4-5D6E-409C-BE32-E72D297353CC}">
                <c16:uniqueId val="{00000001-F20A-4BCD-BBE5-33B836BCF465}"/>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8"/>
                <c:pt idx="0">
                  <c:v>Agricultura..</c:v>
                </c:pt>
                <c:pt idx="1">
                  <c:v>Salud...</c:v>
                </c:pt>
                <c:pt idx="2">
                  <c:v>Educación…</c:v>
                </c:pt>
                <c:pt idx="3">
                  <c:v>Sostenibilidad…</c:v>
                </c:pt>
                <c:pt idx="4">
                  <c:v>Hacienda…</c:v>
                </c:pt>
                <c:pt idx="5">
                  <c:v>Igualdad…</c:v>
                </c:pt>
                <c:pt idx="6">
                  <c:v>Desarr. Rural…</c:v>
                </c:pt>
                <c:pt idx="7">
                  <c:v>Serv. Sociales…</c:v>
                </c:pt>
              </c:strCache>
            </c:strRef>
          </c:cat>
          <c:val>
            <c:numRef>
              <c:f>Hoja1!$B$2:$B$9</c:f>
              <c:numCache>
                <c:formatCode>0%</c:formatCode>
                <c:ptCount val="8"/>
                <c:pt idx="0">
                  <c:v>0.6</c:v>
                </c:pt>
                <c:pt idx="1">
                  <c:v>0.68</c:v>
                </c:pt>
                <c:pt idx="2">
                  <c:v>0.74</c:v>
                </c:pt>
                <c:pt idx="3">
                  <c:v>0.25</c:v>
                </c:pt>
                <c:pt idx="4">
                  <c:v>0.69</c:v>
                </c:pt>
                <c:pt idx="5">
                  <c:v>0.73</c:v>
                </c:pt>
                <c:pt idx="6">
                  <c:v>0.6</c:v>
                </c:pt>
                <c:pt idx="7">
                  <c:v>0.81</c:v>
                </c:pt>
              </c:numCache>
            </c:numRef>
          </c:val>
          <c:extLst xmlns:c16r2="http://schemas.microsoft.com/office/drawing/2015/06/chart">
            <c:ext xmlns:c16="http://schemas.microsoft.com/office/drawing/2014/chart" uri="{C3380CC4-5D6E-409C-BE32-E72D297353CC}">
              <c16:uniqueId val="{00000002-F20A-4BCD-BBE5-33B836BCF465}"/>
            </c:ext>
          </c:extLst>
        </c:ser>
        <c:ser>
          <c:idx val="1"/>
          <c:order val="1"/>
          <c:tx>
            <c:strRef>
              <c:f>Hoja1!$C$1</c:f>
              <c:strCache>
                <c:ptCount val="1"/>
                <c:pt idx="0">
                  <c:v>Hombres</c:v>
                </c:pt>
              </c:strCache>
            </c:strRef>
          </c:tx>
          <c:spPr>
            <a:solidFill>
              <a:srgbClr val="253746"/>
            </a:solidFill>
            <a:ln w="19050">
              <a:solidFill>
                <a:srgbClr val="25374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8"/>
                <c:pt idx="0">
                  <c:v>Agricultura..</c:v>
                </c:pt>
                <c:pt idx="1">
                  <c:v>Salud...</c:v>
                </c:pt>
                <c:pt idx="2">
                  <c:v>Educación…</c:v>
                </c:pt>
                <c:pt idx="3">
                  <c:v>Sostenibilidad…</c:v>
                </c:pt>
                <c:pt idx="4">
                  <c:v>Hacienda…</c:v>
                </c:pt>
                <c:pt idx="5">
                  <c:v>Igualdad…</c:v>
                </c:pt>
                <c:pt idx="6">
                  <c:v>Desarr. Rural…</c:v>
                </c:pt>
                <c:pt idx="7">
                  <c:v>Serv. Sociales…</c:v>
                </c:pt>
              </c:strCache>
            </c:strRef>
          </c:cat>
          <c:val>
            <c:numRef>
              <c:f>Hoja1!$C$2:$C$9</c:f>
              <c:numCache>
                <c:formatCode>0%</c:formatCode>
                <c:ptCount val="8"/>
                <c:pt idx="0">
                  <c:v>0.4</c:v>
                </c:pt>
                <c:pt idx="1">
                  <c:v>0.32</c:v>
                </c:pt>
                <c:pt idx="2">
                  <c:v>0.26</c:v>
                </c:pt>
                <c:pt idx="3">
                  <c:v>0.75</c:v>
                </c:pt>
                <c:pt idx="4">
                  <c:v>0.31</c:v>
                </c:pt>
                <c:pt idx="5">
                  <c:v>0.27</c:v>
                </c:pt>
                <c:pt idx="6">
                  <c:v>0.4</c:v>
                </c:pt>
                <c:pt idx="7">
                  <c:v>0.19</c:v>
                </c:pt>
              </c:numCache>
            </c:numRef>
          </c:val>
          <c:extLst xmlns:c16r2="http://schemas.microsoft.com/office/drawing/2015/06/chart">
            <c:ext xmlns:c16="http://schemas.microsoft.com/office/drawing/2014/chart" uri="{C3380CC4-5D6E-409C-BE32-E72D297353CC}">
              <c16:uniqueId val="{00000003-F20A-4BCD-BBE5-33B836BCF465}"/>
            </c:ext>
          </c:extLst>
        </c:ser>
        <c:dLbls>
          <c:dLblPos val="ctr"/>
          <c:showLegendKey val="0"/>
          <c:showVal val="1"/>
          <c:showCatName val="0"/>
          <c:showSerName val="0"/>
          <c:showPercent val="0"/>
          <c:showBubbleSize val="0"/>
        </c:dLbls>
        <c:gapWidth val="100"/>
        <c:overlap val="100"/>
        <c:axId val="44317312"/>
        <c:axId val="44319104"/>
      </c:barChart>
      <c:catAx>
        <c:axId val="443173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4319104"/>
        <c:crosses val="autoZero"/>
        <c:auto val="1"/>
        <c:lblAlgn val="ctr"/>
        <c:lblOffset val="100"/>
        <c:noMultiLvlLbl val="0"/>
      </c:catAx>
      <c:valAx>
        <c:axId val="44319104"/>
        <c:scaling>
          <c:orientation val="minMax"/>
        </c:scaling>
        <c:delete val="1"/>
        <c:axPos val="l"/>
        <c:majorGridlines>
          <c:spPr>
            <a:ln w="9525" cap="flat" cmpd="sng" algn="ctr">
              <a:noFill/>
              <a:round/>
            </a:ln>
            <a:effectLst/>
          </c:spPr>
        </c:majorGridlines>
        <c:numFmt formatCode="0%" sourceLinked="1"/>
        <c:majorTickMark val="out"/>
        <c:minorTickMark val="none"/>
        <c:tickLblPos val="nextTo"/>
        <c:crossAx val="443173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spc="0" baseline="0">
                <a:solidFill>
                  <a:srgbClr val="253746"/>
                </a:solidFill>
                <a:latin typeface="+mn-lt"/>
                <a:ea typeface="+mn-ea"/>
                <a:cs typeface="+mn-cs"/>
              </a:defRPr>
            </a:pPr>
            <a:r>
              <a:rPr lang="es-ES" sz="1200" b="1" i="1">
                <a:solidFill>
                  <a:srgbClr val="253746"/>
                </a:solidFill>
                <a:latin typeface="Arial" panose="020B0604020202020204" pitchFamily="34" charset="0"/>
                <a:cs typeface="Arial" panose="020B0604020202020204" pitchFamily="34" charset="0"/>
              </a:rPr>
              <a:t>Gráfica 15. Concentración por sexo y Consejerías </a:t>
            </a:r>
          </a:p>
          <a:p>
            <a:pPr algn="ctr">
              <a:defRPr sz="1200" b="1" i="0" u="none" strike="noStrike" kern="1200" spc="0" baseline="0">
                <a:solidFill>
                  <a:srgbClr val="253746"/>
                </a:solidFill>
                <a:latin typeface="+mn-lt"/>
                <a:ea typeface="+mn-ea"/>
                <a:cs typeface="+mn-cs"/>
              </a:defRPr>
            </a:pPr>
            <a:r>
              <a:rPr lang="es-ES" sz="1200" b="0" i="1">
                <a:solidFill>
                  <a:srgbClr val="253746"/>
                </a:solidFill>
                <a:latin typeface="Arial" panose="020B0604020202020204" pitchFamily="34" charset="0"/>
                <a:cs typeface="Arial" panose="020B0604020202020204" pitchFamily="34" charset="0"/>
              </a:rPr>
              <a:t>(Servicios</a:t>
            </a:r>
            <a:r>
              <a:rPr lang="es-ES" sz="1200" b="0" i="1" baseline="0">
                <a:solidFill>
                  <a:srgbClr val="253746"/>
                </a:solidFill>
                <a:latin typeface="Arial" panose="020B0604020202020204" pitchFamily="34" charset="0"/>
                <a:cs typeface="Arial" panose="020B0604020202020204" pitchFamily="34" charset="0"/>
              </a:rPr>
              <a:t> Generales)</a:t>
            </a:r>
            <a:endParaRPr lang="es-ES" sz="1200" b="0" i="1">
              <a:solidFill>
                <a:srgbClr val="253746"/>
              </a:solidFill>
              <a:latin typeface="Arial" panose="020B0604020202020204" pitchFamily="34" charset="0"/>
              <a:cs typeface="Arial" panose="020B0604020202020204" pitchFamily="34" charset="0"/>
            </a:endParaRPr>
          </a:p>
        </c:rich>
      </c:tx>
      <c:layout>
        <c:manualLayout>
          <c:xMode val="edge"/>
          <c:yMode val="edge"/>
          <c:x val="0.1358889934148636"/>
          <c:y val="2.4188671638782504E-2"/>
        </c:manualLayout>
      </c:layout>
      <c:overlay val="0"/>
      <c:spPr>
        <a:noFill/>
        <a:ln>
          <a:noFill/>
        </a:ln>
        <a:effectLst/>
      </c:spPr>
    </c:title>
    <c:autoTitleDeleted val="0"/>
    <c:plotArea>
      <c:layout>
        <c:manualLayout>
          <c:layoutTarget val="inner"/>
          <c:xMode val="edge"/>
          <c:yMode val="edge"/>
          <c:x val="0.11934430115332478"/>
          <c:y val="0.19193710945373915"/>
          <c:w val="0.8547855201072585"/>
          <c:h val="0.39433248630657719"/>
        </c:manualLayout>
      </c:layout>
      <c:barChart>
        <c:barDir val="bar"/>
        <c:grouping val="percentStacked"/>
        <c:varyColors val="0"/>
        <c:ser>
          <c:idx val="0"/>
          <c:order val="0"/>
          <c:tx>
            <c:strRef>
              <c:f>Hoja1!$B$1</c:f>
              <c:strCache>
                <c:ptCount val="1"/>
                <c:pt idx="0">
                  <c:v>Agri., Ganad., Mundo Rural, Terr. y  Pob.</c:v>
                </c:pt>
              </c:strCache>
            </c:strRef>
          </c:tx>
          <c:spPr>
            <a:solidFill>
              <a:srgbClr val="B1E670"/>
            </a:solidFill>
            <a:ln>
              <a:solidFill>
                <a:srgbClr val="B1E67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Hoja1!$B$2:$B$3</c:f>
              <c:numCache>
                <c:formatCode>0%</c:formatCode>
                <c:ptCount val="2"/>
                <c:pt idx="0">
                  <c:v>0.1</c:v>
                </c:pt>
                <c:pt idx="1">
                  <c:v>0.12</c:v>
                </c:pt>
              </c:numCache>
            </c:numRef>
          </c:val>
          <c:extLst xmlns:c16r2="http://schemas.microsoft.com/office/drawing/2015/06/chart">
            <c:ext xmlns:c16="http://schemas.microsoft.com/office/drawing/2014/chart" uri="{C3380CC4-5D6E-409C-BE32-E72D297353CC}">
              <c16:uniqueId val="{00000000-AB88-465D-A52F-23DB28770CB2}"/>
            </c:ext>
          </c:extLst>
        </c:ser>
        <c:ser>
          <c:idx val="1"/>
          <c:order val="1"/>
          <c:tx>
            <c:strRef>
              <c:f>Hoja1!$C$1</c:f>
              <c:strCache>
                <c:ptCount val="1"/>
                <c:pt idx="0">
                  <c:v>Salud </c:v>
                </c:pt>
              </c:strCache>
            </c:strRef>
          </c:tx>
          <c:spPr>
            <a:solidFill>
              <a:srgbClr val="779AB7"/>
            </a:solidFill>
            <a:ln>
              <a:solidFill>
                <a:srgbClr val="779AB7"/>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Hoja1!$C$2:$C$3</c:f>
              <c:numCache>
                <c:formatCode>0%</c:formatCode>
                <c:ptCount val="2"/>
                <c:pt idx="0">
                  <c:v>0.06</c:v>
                </c:pt>
                <c:pt idx="1">
                  <c:v>0.06</c:v>
                </c:pt>
              </c:numCache>
            </c:numRef>
          </c:val>
          <c:extLst xmlns:c16r2="http://schemas.microsoft.com/office/drawing/2015/06/chart">
            <c:ext xmlns:c16="http://schemas.microsoft.com/office/drawing/2014/chart" uri="{C3380CC4-5D6E-409C-BE32-E72D297353CC}">
              <c16:uniqueId val="{00000001-AB88-465D-A52F-23DB28770CB2}"/>
            </c:ext>
          </c:extLst>
        </c:ser>
        <c:ser>
          <c:idx val="2"/>
          <c:order val="2"/>
          <c:tx>
            <c:strRef>
              <c:f>Hoja1!$D$1</c:f>
              <c:strCache>
                <c:ptCount val="1"/>
                <c:pt idx="0">
                  <c:v>Educación, Cultura, Deporte y Juventud</c:v>
                </c:pt>
              </c:strCache>
            </c:strRef>
          </c:tx>
          <c:spPr>
            <a:solidFill>
              <a:srgbClr val="EAF8D8"/>
            </a:solidFill>
            <a:ln>
              <a:solidFill>
                <a:srgbClr val="EAF8D8"/>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Hoja1!$D$2:$D$3</c:f>
              <c:numCache>
                <c:formatCode>0%</c:formatCode>
                <c:ptCount val="2"/>
                <c:pt idx="0">
                  <c:v>0.3</c:v>
                </c:pt>
                <c:pt idx="1">
                  <c:v>0.21</c:v>
                </c:pt>
              </c:numCache>
            </c:numRef>
          </c:val>
          <c:extLst xmlns:c16r2="http://schemas.microsoft.com/office/drawing/2015/06/chart">
            <c:ext xmlns:c16="http://schemas.microsoft.com/office/drawing/2014/chart" uri="{C3380CC4-5D6E-409C-BE32-E72D297353CC}">
              <c16:uniqueId val="{00000004-AB88-465D-A52F-23DB28770CB2}"/>
            </c:ext>
          </c:extLst>
        </c:ser>
        <c:ser>
          <c:idx val="3"/>
          <c:order val="3"/>
          <c:tx>
            <c:strRef>
              <c:f>Hoja1!$E$1</c:f>
              <c:strCache>
                <c:ptCount val="1"/>
                <c:pt idx="0">
                  <c:v>Sostenibilidad, Trans. Ecológica y Portavocía del Gob. </c:v>
                </c:pt>
              </c:strCache>
            </c:strRef>
          </c:tx>
          <c:spPr>
            <a:solidFill>
              <a:srgbClr val="3A566E"/>
            </a:solidFill>
            <a:ln>
              <a:solidFill>
                <a:srgbClr val="3A566E"/>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Hoja1!$E$2:$E$3</c:f>
              <c:numCache>
                <c:formatCode>0%</c:formatCode>
                <c:ptCount val="2"/>
                <c:pt idx="0">
                  <c:v>0.05</c:v>
                </c:pt>
                <c:pt idx="1">
                  <c:v>0.28000000000000003</c:v>
                </c:pt>
              </c:numCache>
            </c:numRef>
          </c:val>
          <c:extLst xmlns:c16r2="http://schemas.microsoft.com/office/drawing/2015/06/chart">
            <c:ext xmlns:c16="http://schemas.microsoft.com/office/drawing/2014/chart" uri="{C3380CC4-5D6E-409C-BE32-E72D297353CC}">
              <c16:uniqueId val="{00000005-AB88-465D-A52F-23DB28770CB2}"/>
            </c:ext>
          </c:extLst>
        </c:ser>
        <c:ser>
          <c:idx val="4"/>
          <c:order val="4"/>
          <c:tx>
            <c:strRef>
              <c:f>Hoja1!$F$1</c:f>
              <c:strCache>
                <c:ptCount val="1"/>
                <c:pt idx="0">
                  <c:v>Hacienda y Adm. Pública</c:v>
                </c:pt>
              </c:strCache>
            </c:strRef>
          </c:tx>
          <c:spPr>
            <a:solidFill>
              <a:srgbClr val="C6D4E0"/>
            </a:solidFill>
            <a:ln>
              <a:solidFill>
                <a:srgbClr val="C6D4E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Hoja1!$F$2:$F$3</c:f>
              <c:numCache>
                <c:formatCode>0%</c:formatCode>
                <c:ptCount val="2"/>
                <c:pt idx="0">
                  <c:v>0.11</c:v>
                </c:pt>
                <c:pt idx="1">
                  <c:v>0.1</c:v>
                </c:pt>
              </c:numCache>
            </c:numRef>
          </c:val>
          <c:extLst xmlns:c16r2="http://schemas.microsoft.com/office/drawing/2015/06/chart">
            <c:ext xmlns:c16="http://schemas.microsoft.com/office/drawing/2014/chart" uri="{C3380CC4-5D6E-409C-BE32-E72D297353CC}">
              <c16:uniqueId val="{00000006-AB88-465D-A52F-23DB28770CB2}"/>
            </c:ext>
          </c:extLst>
        </c:ser>
        <c:ser>
          <c:idx val="5"/>
          <c:order val="5"/>
          <c:tx>
            <c:strRef>
              <c:f>Hoja1!$G$1</c:f>
              <c:strCache>
                <c:ptCount val="1"/>
                <c:pt idx="0">
                  <c:v>Igualdad, Participación y Ag. 2030</c:v>
                </c:pt>
              </c:strCache>
            </c:strRef>
          </c:tx>
          <c:spPr>
            <a:solidFill>
              <a:srgbClr val="568A18"/>
            </a:solidFill>
            <a:ln>
              <a:solidFill>
                <a:srgbClr val="568A18"/>
              </a:solidFill>
            </a:ln>
            <a:effectLst/>
          </c:spPr>
          <c:invertIfNegative val="0"/>
          <c:dLbls>
            <c:delete val="1"/>
          </c:dLbls>
          <c:cat>
            <c:strRef>
              <c:f>Hoja1!$A$2:$A$3</c:f>
              <c:strCache>
                <c:ptCount val="2"/>
                <c:pt idx="0">
                  <c:v>Mujeres</c:v>
                </c:pt>
                <c:pt idx="1">
                  <c:v>Hombres</c:v>
                </c:pt>
              </c:strCache>
            </c:strRef>
          </c:cat>
          <c:val>
            <c:numRef>
              <c:f>Hoja1!$G$2:$G$3</c:f>
              <c:numCache>
                <c:formatCode>0%</c:formatCode>
                <c:ptCount val="2"/>
                <c:pt idx="0">
                  <c:v>0.02</c:v>
                </c:pt>
                <c:pt idx="1">
                  <c:v>0.01</c:v>
                </c:pt>
              </c:numCache>
            </c:numRef>
          </c:val>
          <c:extLst xmlns:c16r2="http://schemas.microsoft.com/office/drawing/2015/06/chart">
            <c:ext xmlns:c16="http://schemas.microsoft.com/office/drawing/2014/chart" uri="{C3380CC4-5D6E-409C-BE32-E72D297353CC}">
              <c16:uniqueId val="{00000007-AB88-465D-A52F-23DB28770CB2}"/>
            </c:ext>
          </c:extLst>
        </c:ser>
        <c:ser>
          <c:idx val="6"/>
          <c:order val="6"/>
          <c:tx>
            <c:strRef>
              <c:f>Hoja1!$H$1</c:f>
              <c:strCache>
                <c:ptCount val="1"/>
                <c:pt idx="0">
                  <c:v>Desarrollo Autonómico</c:v>
                </c:pt>
              </c:strCache>
            </c:strRef>
          </c:tx>
          <c:spPr>
            <a:solidFill>
              <a:srgbClr val="1A2732"/>
            </a:solidFill>
            <a:ln>
              <a:solidFill>
                <a:srgbClr val="1A273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Hoja1!$H$2:$H$3</c:f>
              <c:numCache>
                <c:formatCode>0%</c:formatCode>
                <c:ptCount val="2"/>
                <c:pt idx="0">
                  <c:v>7.0000000000000007E-2</c:v>
                </c:pt>
                <c:pt idx="1">
                  <c:v>0.09</c:v>
                </c:pt>
              </c:numCache>
            </c:numRef>
          </c:val>
          <c:extLst xmlns:c16r2="http://schemas.microsoft.com/office/drawing/2015/06/chart">
            <c:ext xmlns:c16="http://schemas.microsoft.com/office/drawing/2014/chart" uri="{C3380CC4-5D6E-409C-BE32-E72D297353CC}">
              <c16:uniqueId val="{00000008-AB88-465D-A52F-23DB28770CB2}"/>
            </c:ext>
          </c:extLst>
        </c:ser>
        <c:dLbls>
          <c:dLblPos val="ctr"/>
          <c:showLegendKey val="0"/>
          <c:showVal val="1"/>
          <c:showCatName val="0"/>
          <c:showSerName val="0"/>
          <c:showPercent val="0"/>
          <c:showBubbleSize val="0"/>
        </c:dLbls>
        <c:gapWidth val="150"/>
        <c:overlap val="100"/>
        <c:axId val="44563072"/>
        <c:axId val="44466560"/>
      </c:barChart>
      <c:catAx>
        <c:axId val="44563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4466560"/>
        <c:crosses val="autoZero"/>
        <c:auto val="1"/>
        <c:lblAlgn val="ctr"/>
        <c:lblOffset val="100"/>
        <c:noMultiLvlLbl val="0"/>
      </c:catAx>
      <c:valAx>
        <c:axId val="44466560"/>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44563072"/>
        <c:crosses val="autoZero"/>
        <c:crossBetween val="between"/>
      </c:valAx>
      <c:spPr>
        <a:noFill/>
        <a:ln>
          <a:noFill/>
        </a:ln>
        <a:effectLst/>
      </c:spPr>
    </c:plotArea>
    <c:legend>
      <c:legendPos val="b"/>
      <c:layout>
        <c:manualLayout>
          <c:xMode val="edge"/>
          <c:yMode val="edge"/>
          <c:x val="0.25080795697809644"/>
          <c:y val="0.62658404849162053"/>
          <c:w val="0.4842728942748572"/>
          <c:h val="0.373415951508379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16. Distribución por sexo y Grupo </a:t>
            </a:r>
          </a:p>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0" i="1">
                <a:solidFill>
                  <a:srgbClr val="253746"/>
                </a:solidFill>
                <a:latin typeface="Arial" panose="020B0604020202020204" pitchFamily="34" charset="0"/>
                <a:cs typeface="Arial" panose="020B0604020202020204" pitchFamily="34" charset="0"/>
              </a:rPr>
              <a:t>(Servicios Generales)</a:t>
            </a:r>
          </a:p>
        </c:rich>
      </c:tx>
      <c:layout>
        <c:manualLayout>
          <c:xMode val="edge"/>
          <c:yMode val="edge"/>
          <c:x val="0.22186609686609687"/>
          <c:y val="2.5640803164067302E-2"/>
        </c:manualLayout>
      </c:layout>
      <c:overlay val="0"/>
      <c:spPr>
        <a:noFill/>
        <a:ln>
          <a:noFill/>
        </a:ln>
        <a:effectLst/>
      </c:spPr>
    </c:title>
    <c:autoTitleDeleted val="0"/>
    <c:plotArea>
      <c:layout>
        <c:manualLayout>
          <c:layoutTarget val="inner"/>
          <c:xMode val="edge"/>
          <c:yMode val="edge"/>
          <c:x val="9.657128863165608E-2"/>
          <c:y val="0.36140141573212436"/>
          <c:w val="0.87731285191915109"/>
          <c:h val="0.52580348943985311"/>
        </c:manualLayout>
      </c:layout>
      <c:barChart>
        <c:barDir val="col"/>
        <c:grouping val="percentStacked"/>
        <c:varyColors val="0"/>
        <c:ser>
          <c:idx val="0"/>
          <c:order val="0"/>
          <c:tx>
            <c:strRef>
              <c:f>Hoja1!$B$1</c:f>
              <c:strCache>
                <c:ptCount val="1"/>
                <c:pt idx="0">
                  <c:v>Mujeres</c:v>
                </c:pt>
              </c:strCache>
            </c:strRef>
          </c:tx>
          <c:spPr>
            <a:solidFill>
              <a:srgbClr val="78BE20"/>
            </a:solidFill>
            <a:ln w="19050">
              <a:solidFill>
                <a:srgbClr val="78BE20"/>
              </a:solidFill>
            </a:ln>
            <a:effectLst/>
          </c:spPr>
          <c:invertIfNegative val="0"/>
          <c:dPt>
            <c:idx val="0"/>
            <c:invertIfNegative val="0"/>
            <c:bubble3D val="0"/>
            <c:explosion val="1"/>
            <c:extLst xmlns:c16r2="http://schemas.microsoft.com/office/drawing/2015/06/chart">
              <c:ext xmlns:c16="http://schemas.microsoft.com/office/drawing/2014/chart" uri="{C3380CC4-5D6E-409C-BE32-E72D297353CC}">
                <c16:uniqueId val="{00000000-BF17-417B-8A17-0496DCD2360B}"/>
              </c:ext>
            </c:extLst>
          </c:dPt>
          <c:dPt>
            <c:idx val="1"/>
            <c:invertIfNegative val="0"/>
            <c:bubble3D val="0"/>
            <c:extLst xmlns:c16r2="http://schemas.microsoft.com/office/drawing/2015/06/chart">
              <c:ext xmlns:c16="http://schemas.microsoft.com/office/drawing/2014/chart" uri="{C3380CC4-5D6E-409C-BE32-E72D297353CC}">
                <c16:uniqueId val="{00000001-BF17-417B-8A17-0496DCD2360B}"/>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Grupo A1</c:v>
                </c:pt>
                <c:pt idx="1">
                  <c:v>Grupo A2</c:v>
                </c:pt>
                <c:pt idx="2">
                  <c:v>Grupo C1</c:v>
                </c:pt>
                <c:pt idx="3">
                  <c:v>Grupo C2</c:v>
                </c:pt>
                <c:pt idx="4">
                  <c:v>Grupo E</c:v>
                </c:pt>
              </c:strCache>
            </c:strRef>
          </c:cat>
          <c:val>
            <c:numRef>
              <c:f>Hoja1!$B$2:$B$6</c:f>
              <c:numCache>
                <c:formatCode>0%</c:formatCode>
                <c:ptCount val="5"/>
                <c:pt idx="0">
                  <c:v>0.62</c:v>
                </c:pt>
                <c:pt idx="1">
                  <c:v>0.73</c:v>
                </c:pt>
                <c:pt idx="2">
                  <c:v>0.71</c:v>
                </c:pt>
                <c:pt idx="3">
                  <c:v>0.75</c:v>
                </c:pt>
                <c:pt idx="4">
                  <c:v>0.45</c:v>
                </c:pt>
              </c:numCache>
            </c:numRef>
          </c:val>
          <c:extLst xmlns:c16r2="http://schemas.microsoft.com/office/drawing/2015/06/chart">
            <c:ext xmlns:c16="http://schemas.microsoft.com/office/drawing/2014/chart" uri="{C3380CC4-5D6E-409C-BE32-E72D297353CC}">
              <c16:uniqueId val="{00000002-BF17-417B-8A17-0496DCD2360B}"/>
            </c:ext>
          </c:extLst>
        </c:ser>
        <c:ser>
          <c:idx val="1"/>
          <c:order val="1"/>
          <c:tx>
            <c:strRef>
              <c:f>Hoja1!$C$1</c:f>
              <c:strCache>
                <c:ptCount val="1"/>
                <c:pt idx="0">
                  <c:v>Hombres</c:v>
                </c:pt>
              </c:strCache>
            </c:strRef>
          </c:tx>
          <c:spPr>
            <a:solidFill>
              <a:srgbClr val="253746"/>
            </a:solidFill>
            <a:ln w="19050">
              <a:solidFill>
                <a:srgbClr val="25374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Grupo A1</c:v>
                </c:pt>
                <c:pt idx="1">
                  <c:v>Grupo A2</c:v>
                </c:pt>
                <c:pt idx="2">
                  <c:v>Grupo C1</c:v>
                </c:pt>
                <c:pt idx="3">
                  <c:v>Grupo C2</c:v>
                </c:pt>
                <c:pt idx="4">
                  <c:v>Grupo E</c:v>
                </c:pt>
              </c:strCache>
            </c:strRef>
          </c:cat>
          <c:val>
            <c:numRef>
              <c:f>Hoja1!$C$2:$C$6</c:f>
              <c:numCache>
                <c:formatCode>0%</c:formatCode>
                <c:ptCount val="5"/>
                <c:pt idx="0">
                  <c:v>0.38</c:v>
                </c:pt>
                <c:pt idx="1">
                  <c:v>0.27</c:v>
                </c:pt>
                <c:pt idx="2">
                  <c:v>0.28999999999999998</c:v>
                </c:pt>
                <c:pt idx="3">
                  <c:v>0.25</c:v>
                </c:pt>
                <c:pt idx="4">
                  <c:v>0.55000000000000004</c:v>
                </c:pt>
              </c:numCache>
            </c:numRef>
          </c:val>
          <c:extLst xmlns:c16r2="http://schemas.microsoft.com/office/drawing/2015/06/chart">
            <c:ext xmlns:c16="http://schemas.microsoft.com/office/drawing/2014/chart" uri="{C3380CC4-5D6E-409C-BE32-E72D297353CC}">
              <c16:uniqueId val="{00000003-BF17-417B-8A17-0496DCD2360B}"/>
            </c:ext>
          </c:extLst>
        </c:ser>
        <c:dLbls>
          <c:dLblPos val="ctr"/>
          <c:showLegendKey val="0"/>
          <c:showVal val="1"/>
          <c:showCatName val="0"/>
          <c:showSerName val="0"/>
          <c:showPercent val="0"/>
          <c:showBubbleSize val="0"/>
        </c:dLbls>
        <c:gapWidth val="100"/>
        <c:overlap val="100"/>
        <c:axId val="44564480"/>
        <c:axId val="44566016"/>
      </c:barChart>
      <c:catAx>
        <c:axId val="445644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4566016"/>
        <c:crosses val="autoZero"/>
        <c:auto val="1"/>
        <c:lblAlgn val="ctr"/>
        <c:lblOffset val="100"/>
        <c:noMultiLvlLbl val="0"/>
      </c:catAx>
      <c:valAx>
        <c:axId val="44566016"/>
        <c:scaling>
          <c:orientation val="minMax"/>
        </c:scaling>
        <c:delete val="1"/>
        <c:axPos val="l"/>
        <c:majorGridlines>
          <c:spPr>
            <a:ln w="9525" cap="flat" cmpd="sng" algn="ctr">
              <a:noFill/>
              <a:round/>
            </a:ln>
            <a:effectLst/>
          </c:spPr>
        </c:majorGridlines>
        <c:numFmt formatCode="0%" sourceLinked="1"/>
        <c:majorTickMark val="out"/>
        <c:minorTickMark val="none"/>
        <c:tickLblPos val="nextTo"/>
        <c:crossAx val="445644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253746"/>
                </a:solidFill>
                <a:latin typeface="+mn-lt"/>
                <a:ea typeface="+mn-ea"/>
                <a:cs typeface="+mn-cs"/>
              </a:defRPr>
            </a:pPr>
            <a:r>
              <a:rPr lang="es-ES" sz="1200" b="1" i="1">
                <a:solidFill>
                  <a:srgbClr val="253746"/>
                </a:solidFill>
                <a:latin typeface="Arial" panose="020B0604020202020204" pitchFamily="34" charset="0"/>
                <a:cs typeface="Arial" panose="020B0604020202020204" pitchFamily="34" charset="0"/>
              </a:rPr>
              <a:t>Gráfica 17. Concentración por sexo y Grupo </a:t>
            </a:r>
          </a:p>
          <a:p>
            <a:pPr>
              <a:defRPr sz="1200" b="1" i="0" u="none" strike="noStrike" kern="1200" spc="0" baseline="0">
                <a:solidFill>
                  <a:srgbClr val="253746"/>
                </a:solidFill>
                <a:latin typeface="+mn-lt"/>
                <a:ea typeface="+mn-ea"/>
                <a:cs typeface="+mn-cs"/>
              </a:defRPr>
            </a:pPr>
            <a:r>
              <a:rPr lang="es-ES" sz="1200" b="0" i="1">
                <a:solidFill>
                  <a:srgbClr val="253746"/>
                </a:solidFill>
                <a:latin typeface="Arial" panose="020B0604020202020204" pitchFamily="34" charset="0"/>
                <a:cs typeface="Arial" panose="020B0604020202020204" pitchFamily="34" charset="0"/>
              </a:rPr>
              <a:t>(Servicios Generales</a:t>
            </a:r>
            <a:r>
              <a:rPr lang="es-ES" sz="1200" b="0" i="1" baseline="0">
                <a:solidFill>
                  <a:srgbClr val="253746"/>
                </a:solidFill>
                <a:latin typeface="Arial" panose="020B0604020202020204" pitchFamily="34" charset="0"/>
                <a:cs typeface="Arial" panose="020B0604020202020204" pitchFamily="34" charset="0"/>
              </a:rPr>
              <a:t>)</a:t>
            </a:r>
            <a:endParaRPr lang="es-ES" sz="1200" b="0" i="1">
              <a:solidFill>
                <a:srgbClr val="253746"/>
              </a:solidFill>
              <a:latin typeface="Arial" panose="020B0604020202020204" pitchFamily="34" charset="0"/>
              <a:cs typeface="Arial" panose="020B0604020202020204" pitchFamily="34" charset="0"/>
            </a:endParaRPr>
          </a:p>
        </c:rich>
      </c:tx>
      <c:layout>
        <c:manualLayout>
          <c:xMode val="edge"/>
          <c:yMode val="edge"/>
          <c:x val="0.18527751646284105"/>
          <c:y val="2.822011691191292E-2"/>
        </c:manualLayout>
      </c:layout>
      <c:overlay val="0"/>
      <c:spPr>
        <a:noFill/>
        <a:ln>
          <a:noFill/>
        </a:ln>
        <a:effectLst/>
      </c:spPr>
    </c:title>
    <c:autoTitleDeleted val="0"/>
    <c:plotArea>
      <c:layout/>
      <c:barChart>
        <c:barDir val="bar"/>
        <c:grouping val="percentStacked"/>
        <c:varyColors val="0"/>
        <c:ser>
          <c:idx val="0"/>
          <c:order val="0"/>
          <c:tx>
            <c:strRef>
              <c:f>Hoja1!$B$1</c:f>
              <c:strCache>
                <c:ptCount val="1"/>
                <c:pt idx="0">
                  <c:v>Grupo A1</c:v>
                </c:pt>
              </c:strCache>
            </c:strRef>
          </c:tx>
          <c:spPr>
            <a:solidFill>
              <a:srgbClr val="B1E670"/>
            </a:solidFill>
            <a:ln>
              <a:solidFill>
                <a:srgbClr val="B1E67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Hoja1!$B$2:$B$3</c:f>
              <c:numCache>
                <c:formatCode>0%</c:formatCode>
                <c:ptCount val="2"/>
                <c:pt idx="0">
                  <c:v>0.14000000000000001</c:v>
                </c:pt>
                <c:pt idx="1">
                  <c:v>0.17</c:v>
                </c:pt>
              </c:numCache>
            </c:numRef>
          </c:val>
          <c:extLst xmlns:c16r2="http://schemas.microsoft.com/office/drawing/2015/06/chart">
            <c:ext xmlns:c16="http://schemas.microsoft.com/office/drawing/2014/chart" uri="{C3380CC4-5D6E-409C-BE32-E72D297353CC}">
              <c16:uniqueId val="{00000000-BF25-4B57-AE41-B228552443C1}"/>
            </c:ext>
          </c:extLst>
        </c:ser>
        <c:ser>
          <c:idx val="1"/>
          <c:order val="1"/>
          <c:tx>
            <c:strRef>
              <c:f>Hoja1!$C$1</c:f>
              <c:strCache>
                <c:ptCount val="1"/>
                <c:pt idx="0">
                  <c:v>Grupo A2</c:v>
                </c:pt>
              </c:strCache>
            </c:strRef>
          </c:tx>
          <c:spPr>
            <a:solidFill>
              <a:srgbClr val="779AB7"/>
            </a:solidFill>
            <a:ln>
              <a:solidFill>
                <a:srgbClr val="779AB7"/>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Hoja1!$C$2:$C$3</c:f>
              <c:numCache>
                <c:formatCode>0%</c:formatCode>
                <c:ptCount val="2"/>
                <c:pt idx="0">
                  <c:v>0.2</c:v>
                </c:pt>
                <c:pt idx="1">
                  <c:v>0.14000000000000001</c:v>
                </c:pt>
              </c:numCache>
            </c:numRef>
          </c:val>
          <c:extLst xmlns:c16r2="http://schemas.microsoft.com/office/drawing/2015/06/chart">
            <c:ext xmlns:c16="http://schemas.microsoft.com/office/drawing/2014/chart" uri="{C3380CC4-5D6E-409C-BE32-E72D297353CC}">
              <c16:uniqueId val="{00000001-BF25-4B57-AE41-B228552443C1}"/>
            </c:ext>
          </c:extLst>
        </c:ser>
        <c:ser>
          <c:idx val="2"/>
          <c:order val="2"/>
          <c:tx>
            <c:strRef>
              <c:f>Hoja1!$D$1</c:f>
              <c:strCache>
                <c:ptCount val="1"/>
                <c:pt idx="0">
                  <c:v>Grupo C1</c:v>
                </c:pt>
              </c:strCache>
            </c:strRef>
          </c:tx>
          <c:spPr>
            <a:solidFill>
              <a:srgbClr val="EAF8D8"/>
            </a:solidFill>
            <a:ln>
              <a:solidFill>
                <a:srgbClr val="EAF8D8"/>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Hoja1!$D$2:$D$3</c:f>
              <c:numCache>
                <c:formatCode>0%</c:formatCode>
                <c:ptCount val="2"/>
                <c:pt idx="0">
                  <c:v>0.25</c:v>
                </c:pt>
                <c:pt idx="1">
                  <c:v>0.2</c:v>
                </c:pt>
              </c:numCache>
            </c:numRef>
          </c:val>
          <c:extLst xmlns:c16r2="http://schemas.microsoft.com/office/drawing/2015/06/chart">
            <c:ext xmlns:c16="http://schemas.microsoft.com/office/drawing/2014/chart" uri="{C3380CC4-5D6E-409C-BE32-E72D297353CC}">
              <c16:uniqueId val="{00000002-BF25-4B57-AE41-B228552443C1}"/>
            </c:ext>
          </c:extLst>
        </c:ser>
        <c:ser>
          <c:idx val="3"/>
          <c:order val="3"/>
          <c:tx>
            <c:strRef>
              <c:f>Hoja1!$E$1</c:f>
              <c:strCache>
                <c:ptCount val="1"/>
                <c:pt idx="0">
                  <c:v>Grupo C2</c:v>
                </c:pt>
              </c:strCache>
            </c:strRef>
          </c:tx>
          <c:spPr>
            <a:solidFill>
              <a:srgbClr val="3A566E"/>
            </a:solidFill>
            <a:ln>
              <a:solidFill>
                <a:srgbClr val="3A566E"/>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Hoja1!$E$2:$E$3</c:f>
              <c:numCache>
                <c:formatCode>0%</c:formatCode>
                <c:ptCount val="2"/>
                <c:pt idx="0">
                  <c:v>0.27</c:v>
                </c:pt>
                <c:pt idx="1">
                  <c:v>0.18</c:v>
                </c:pt>
              </c:numCache>
            </c:numRef>
          </c:val>
          <c:extLst xmlns:c16r2="http://schemas.microsoft.com/office/drawing/2015/06/chart">
            <c:ext xmlns:c16="http://schemas.microsoft.com/office/drawing/2014/chart" uri="{C3380CC4-5D6E-409C-BE32-E72D297353CC}">
              <c16:uniqueId val="{00000003-BF25-4B57-AE41-B228552443C1}"/>
            </c:ext>
          </c:extLst>
        </c:ser>
        <c:ser>
          <c:idx val="4"/>
          <c:order val="4"/>
          <c:tx>
            <c:strRef>
              <c:f>Hoja1!$F$1</c:f>
              <c:strCache>
                <c:ptCount val="1"/>
                <c:pt idx="0">
                  <c:v>Grupo E</c:v>
                </c:pt>
              </c:strCache>
            </c:strRef>
          </c:tx>
          <c:spPr>
            <a:solidFill>
              <a:srgbClr val="C6D4E0"/>
            </a:solidFill>
            <a:ln>
              <a:solidFill>
                <a:srgbClr val="C6D4E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Hoja1!$F$2:$F$3</c:f>
              <c:numCache>
                <c:formatCode>0%</c:formatCode>
                <c:ptCount val="2"/>
                <c:pt idx="0">
                  <c:v>0.13</c:v>
                </c:pt>
                <c:pt idx="1">
                  <c:v>0.31</c:v>
                </c:pt>
              </c:numCache>
            </c:numRef>
          </c:val>
          <c:extLst xmlns:c16r2="http://schemas.microsoft.com/office/drawing/2015/06/chart">
            <c:ext xmlns:c16="http://schemas.microsoft.com/office/drawing/2014/chart" uri="{C3380CC4-5D6E-409C-BE32-E72D297353CC}">
              <c16:uniqueId val="{00000004-BF25-4B57-AE41-B228552443C1}"/>
            </c:ext>
          </c:extLst>
        </c:ser>
        <c:dLbls>
          <c:dLblPos val="ctr"/>
          <c:showLegendKey val="0"/>
          <c:showVal val="1"/>
          <c:showCatName val="0"/>
          <c:showSerName val="0"/>
          <c:showPercent val="0"/>
          <c:showBubbleSize val="0"/>
        </c:dLbls>
        <c:gapWidth val="150"/>
        <c:overlap val="100"/>
        <c:axId val="44721280"/>
        <c:axId val="44722816"/>
      </c:barChart>
      <c:catAx>
        <c:axId val="44721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4722816"/>
        <c:crosses val="autoZero"/>
        <c:auto val="1"/>
        <c:lblAlgn val="ctr"/>
        <c:lblOffset val="100"/>
        <c:noMultiLvlLbl val="0"/>
      </c:catAx>
      <c:valAx>
        <c:axId val="44722816"/>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44721280"/>
        <c:crosses val="autoZero"/>
        <c:crossBetween val="between"/>
      </c:valAx>
      <c:spPr>
        <a:noFill/>
        <a:ln>
          <a:noFill/>
        </a:ln>
        <a:effectLst/>
      </c:spPr>
    </c:plotArea>
    <c:legend>
      <c:legendPos val="t"/>
      <c:layout>
        <c:manualLayout>
          <c:xMode val="edge"/>
          <c:yMode val="edge"/>
          <c:x val="0.13335734550114445"/>
          <c:y val="0.18790566418060875"/>
          <c:w val="0.73328512381389765"/>
          <c:h val="6.8789471261667776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18. Distribución por sexo y Grupo </a:t>
            </a:r>
          </a:p>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0" i="1">
                <a:solidFill>
                  <a:srgbClr val="253746"/>
                </a:solidFill>
                <a:latin typeface="Arial" panose="020B0604020202020204" pitchFamily="34" charset="0"/>
                <a:cs typeface="Arial" panose="020B0604020202020204" pitchFamily="34" charset="0"/>
              </a:rPr>
              <a:t>(Personal Docente)</a:t>
            </a:r>
          </a:p>
        </c:rich>
      </c:tx>
      <c:layout>
        <c:manualLayout>
          <c:xMode val="edge"/>
          <c:yMode val="edge"/>
          <c:x val="0.22424026590693258"/>
          <c:y val="2.5640803164067302E-2"/>
        </c:manualLayout>
      </c:layout>
      <c:overlay val="0"/>
      <c:spPr>
        <a:noFill/>
        <a:ln>
          <a:noFill/>
        </a:ln>
        <a:effectLst/>
      </c:spPr>
    </c:title>
    <c:autoTitleDeleted val="0"/>
    <c:plotArea>
      <c:layout>
        <c:manualLayout>
          <c:layoutTarget val="inner"/>
          <c:xMode val="edge"/>
          <c:yMode val="edge"/>
          <c:x val="9.657128863165608E-2"/>
          <c:y val="0.35221867927666067"/>
          <c:w val="0.87731285191915109"/>
          <c:h val="0.53498622589531675"/>
        </c:manualLayout>
      </c:layout>
      <c:barChart>
        <c:barDir val="col"/>
        <c:grouping val="percentStacked"/>
        <c:varyColors val="0"/>
        <c:ser>
          <c:idx val="0"/>
          <c:order val="0"/>
          <c:tx>
            <c:strRef>
              <c:f>Hoja1!$B$1</c:f>
              <c:strCache>
                <c:ptCount val="1"/>
                <c:pt idx="0">
                  <c:v>Mujeres</c:v>
                </c:pt>
              </c:strCache>
            </c:strRef>
          </c:tx>
          <c:spPr>
            <a:solidFill>
              <a:srgbClr val="78BE20"/>
            </a:solidFill>
            <a:ln w="19050">
              <a:solidFill>
                <a:srgbClr val="78BE20"/>
              </a:solidFill>
            </a:ln>
            <a:effectLst/>
          </c:spPr>
          <c:invertIfNegative val="0"/>
          <c:dPt>
            <c:idx val="0"/>
            <c:invertIfNegative val="0"/>
            <c:bubble3D val="0"/>
            <c:explosion val="1"/>
            <c:extLst xmlns:c16r2="http://schemas.microsoft.com/office/drawing/2015/06/chart">
              <c:ext xmlns:c16="http://schemas.microsoft.com/office/drawing/2014/chart" uri="{C3380CC4-5D6E-409C-BE32-E72D297353CC}">
                <c16:uniqueId val="{00000000-059A-49C3-87C3-09A4F770983B}"/>
              </c:ext>
            </c:extLst>
          </c:dPt>
          <c:dPt>
            <c:idx val="1"/>
            <c:invertIfNegative val="0"/>
            <c:bubble3D val="0"/>
            <c:extLst xmlns:c16r2="http://schemas.microsoft.com/office/drawing/2015/06/chart">
              <c:ext xmlns:c16="http://schemas.microsoft.com/office/drawing/2014/chart" uri="{C3380CC4-5D6E-409C-BE32-E72D297353CC}">
                <c16:uniqueId val="{00000001-059A-49C3-87C3-09A4F770983B}"/>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Grupo A1</c:v>
                </c:pt>
                <c:pt idx="1">
                  <c:v>Grupo A2</c:v>
                </c:pt>
              </c:strCache>
            </c:strRef>
          </c:cat>
          <c:val>
            <c:numRef>
              <c:f>Hoja1!$B$2:$B$3</c:f>
              <c:numCache>
                <c:formatCode>0%</c:formatCode>
                <c:ptCount val="2"/>
                <c:pt idx="0">
                  <c:v>0.62</c:v>
                </c:pt>
                <c:pt idx="1">
                  <c:v>0.77</c:v>
                </c:pt>
              </c:numCache>
            </c:numRef>
          </c:val>
          <c:extLst xmlns:c16r2="http://schemas.microsoft.com/office/drawing/2015/06/chart">
            <c:ext xmlns:c16="http://schemas.microsoft.com/office/drawing/2014/chart" uri="{C3380CC4-5D6E-409C-BE32-E72D297353CC}">
              <c16:uniqueId val="{00000002-059A-49C3-87C3-09A4F770983B}"/>
            </c:ext>
          </c:extLst>
        </c:ser>
        <c:ser>
          <c:idx val="1"/>
          <c:order val="1"/>
          <c:tx>
            <c:strRef>
              <c:f>Hoja1!$C$1</c:f>
              <c:strCache>
                <c:ptCount val="1"/>
                <c:pt idx="0">
                  <c:v>Hombres</c:v>
                </c:pt>
              </c:strCache>
            </c:strRef>
          </c:tx>
          <c:spPr>
            <a:solidFill>
              <a:srgbClr val="253746"/>
            </a:solidFill>
            <a:ln w="19050">
              <a:solidFill>
                <a:srgbClr val="25374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Grupo A1</c:v>
                </c:pt>
                <c:pt idx="1">
                  <c:v>Grupo A2</c:v>
                </c:pt>
              </c:strCache>
            </c:strRef>
          </c:cat>
          <c:val>
            <c:numRef>
              <c:f>Hoja1!$C$2:$C$3</c:f>
              <c:numCache>
                <c:formatCode>0%</c:formatCode>
                <c:ptCount val="2"/>
                <c:pt idx="0">
                  <c:v>0.38</c:v>
                </c:pt>
                <c:pt idx="1">
                  <c:v>0.23</c:v>
                </c:pt>
              </c:numCache>
            </c:numRef>
          </c:val>
          <c:extLst xmlns:c16r2="http://schemas.microsoft.com/office/drawing/2015/06/chart">
            <c:ext xmlns:c16="http://schemas.microsoft.com/office/drawing/2014/chart" uri="{C3380CC4-5D6E-409C-BE32-E72D297353CC}">
              <c16:uniqueId val="{00000003-059A-49C3-87C3-09A4F770983B}"/>
            </c:ext>
          </c:extLst>
        </c:ser>
        <c:dLbls>
          <c:dLblPos val="ctr"/>
          <c:showLegendKey val="0"/>
          <c:showVal val="1"/>
          <c:showCatName val="0"/>
          <c:showSerName val="0"/>
          <c:showPercent val="0"/>
          <c:showBubbleSize val="0"/>
        </c:dLbls>
        <c:gapWidth val="100"/>
        <c:overlap val="100"/>
        <c:axId val="44660992"/>
        <c:axId val="44675072"/>
      </c:barChart>
      <c:catAx>
        <c:axId val="446609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4675072"/>
        <c:crosses val="autoZero"/>
        <c:auto val="1"/>
        <c:lblAlgn val="ctr"/>
        <c:lblOffset val="100"/>
        <c:noMultiLvlLbl val="0"/>
      </c:catAx>
      <c:valAx>
        <c:axId val="44675072"/>
        <c:scaling>
          <c:orientation val="minMax"/>
        </c:scaling>
        <c:delete val="1"/>
        <c:axPos val="l"/>
        <c:majorGridlines>
          <c:spPr>
            <a:ln w="9525" cap="flat" cmpd="sng" algn="ctr">
              <a:noFill/>
              <a:round/>
            </a:ln>
            <a:effectLst/>
          </c:spPr>
        </c:majorGridlines>
        <c:numFmt formatCode="0%" sourceLinked="1"/>
        <c:majorTickMark val="out"/>
        <c:minorTickMark val="none"/>
        <c:tickLblPos val="nextTo"/>
        <c:crossAx val="44660992"/>
        <c:crosses val="autoZero"/>
        <c:crossBetween val="between"/>
      </c:valAx>
      <c:spPr>
        <a:noFill/>
        <a:ln>
          <a:noFill/>
        </a:ln>
        <a:effectLst/>
      </c:spPr>
    </c:plotArea>
    <c:legend>
      <c:legendPos val="t"/>
      <c:layout>
        <c:manualLayout>
          <c:xMode val="edge"/>
          <c:yMode val="edge"/>
          <c:x val="0.3629132362728163"/>
          <c:y val="0.20112506597832297"/>
          <c:w val="0.27417352745436735"/>
          <c:h val="7.834356449245497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253746"/>
                </a:solidFill>
                <a:latin typeface="+mn-lt"/>
                <a:ea typeface="+mn-ea"/>
                <a:cs typeface="+mn-cs"/>
              </a:defRPr>
            </a:pPr>
            <a:r>
              <a:rPr lang="es-ES" sz="1200" b="1" i="1">
                <a:solidFill>
                  <a:srgbClr val="253746"/>
                </a:solidFill>
                <a:latin typeface="Arial" panose="020B0604020202020204" pitchFamily="34" charset="0"/>
                <a:cs typeface="Arial" panose="020B0604020202020204" pitchFamily="34" charset="0"/>
              </a:rPr>
              <a:t>Gráfica 19. Concentración por sexo y grupo </a:t>
            </a:r>
          </a:p>
          <a:p>
            <a:pPr>
              <a:defRPr sz="1200" b="1" i="0" u="none" strike="noStrike" kern="1200" spc="0" baseline="0">
                <a:solidFill>
                  <a:srgbClr val="253746"/>
                </a:solidFill>
                <a:latin typeface="+mn-lt"/>
                <a:ea typeface="+mn-ea"/>
                <a:cs typeface="+mn-cs"/>
              </a:defRPr>
            </a:pPr>
            <a:r>
              <a:rPr lang="es-ES" sz="1200" b="0" i="1">
                <a:solidFill>
                  <a:srgbClr val="253746"/>
                </a:solidFill>
                <a:latin typeface="Arial" panose="020B0604020202020204" pitchFamily="34" charset="0"/>
                <a:cs typeface="Arial" panose="020B0604020202020204" pitchFamily="34" charset="0"/>
              </a:rPr>
              <a:t>(Personal</a:t>
            </a:r>
            <a:r>
              <a:rPr lang="es-ES" sz="1200" b="0" i="1" baseline="0">
                <a:solidFill>
                  <a:srgbClr val="253746"/>
                </a:solidFill>
                <a:latin typeface="Arial" panose="020B0604020202020204" pitchFamily="34" charset="0"/>
                <a:cs typeface="Arial" panose="020B0604020202020204" pitchFamily="34" charset="0"/>
              </a:rPr>
              <a:t> Docente)</a:t>
            </a:r>
            <a:endParaRPr lang="es-ES" sz="1200" b="0" i="1">
              <a:solidFill>
                <a:srgbClr val="253746"/>
              </a:solidFill>
              <a:latin typeface="Arial" panose="020B0604020202020204" pitchFamily="34" charset="0"/>
              <a:cs typeface="Arial" panose="020B0604020202020204" pitchFamily="34" charset="0"/>
            </a:endParaRPr>
          </a:p>
        </c:rich>
      </c:tx>
      <c:layout>
        <c:manualLayout>
          <c:xMode val="edge"/>
          <c:yMode val="edge"/>
          <c:x val="0.21349952963311383"/>
          <c:y val="2.4188671638782504E-2"/>
        </c:manualLayout>
      </c:layout>
      <c:overlay val="0"/>
      <c:spPr>
        <a:noFill/>
        <a:ln>
          <a:noFill/>
        </a:ln>
        <a:effectLst/>
      </c:spPr>
    </c:title>
    <c:autoTitleDeleted val="0"/>
    <c:plotArea>
      <c:layout/>
      <c:barChart>
        <c:barDir val="bar"/>
        <c:grouping val="percentStacked"/>
        <c:varyColors val="0"/>
        <c:ser>
          <c:idx val="0"/>
          <c:order val="0"/>
          <c:tx>
            <c:strRef>
              <c:f>Hoja1!$B$1</c:f>
              <c:strCache>
                <c:ptCount val="1"/>
                <c:pt idx="0">
                  <c:v>Grupo A1</c:v>
                </c:pt>
              </c:strCache>
            </c:strRef>
          </c:tx>
          <c:spPr>
            <a:solidFill>
              <a:srgbClr val="B1E670"/>
            </a:solidFill>
            <a:ln>
              <a:solidFill>
                <a:srgbClr val="B1E67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Hoja1!$B$2:$B$3</c:f>
              <c:numCache>
                <c:formatCode>0%</c:formatCode>
                <c:ptCount val="2"/>
                <c:pt idx="0">
                  <c:v>0.39</c:v>
                </c:pt>
                <c:pt idx="1">
                  <c:v>0.56000000000000005</c:v>
                </c:pt>
              </c:numCache>
            </c:numRef>
          </c:val>
          <c:extLst xmlns:c16r2="http://schemas.microsoft.com/office/drawing/2015/06/chart">
            <c:ext xmlns:c16="http://schemas.microsoft.com/office/drawing/2014/chart" uri="{C3380CC4-5D6E-409C-BE32-E72D297353CC}">
              <c16:uniqueId val="{00000000-C50B-4205-AC49-807B3F2AC499}"/>
            </c:ext>
          </c:extLst>
        </c:ser>
        <c:ser>
          <c:idx val="1"/>
          <c:order val="1"/>
          <c:tx>
            <c:strRef>
              <c:f>Hoja1!$C$1</c:f>
              <c:strCache>
                <c:ptCount val="1"/>
                <c:pt idx="0">
                  <c:v>Grupo A2</c:v>
                </c:pt>
              </c:strCache>
            </c:strRef>
          </c:tx>
          <c:spPr>
            <a:solidFill>
              <a:srgbClr val="779AB7"/>
            </a:solidFill>
            <a:ln>
              <a:solidFill>
                <a:srgbClr val="779AB7"/>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Hoja1!$C$2:$C$3</c:f>
              <c:numCache>
                <c:formatCode>0%</c:formatCode>
                <c:ptCount val="2"/>
                <c:pt idx="0">
                  <c:v>0.61</c:v>
                </c:pt>
                <c:pt idx="1">
                  <c:v>0.44</c:v>
                </c:pt>
              </c:numCache>
            </c:numRef>
          </c:val>
          <c:extLst xmlns:c16r2="http://schemas.microsoft.com/office/drawing/2015/06/chart">
            <c:ext xmlns:c16="http://schemas.microsoft.com/office/drawing/2014/chart" uri="{C3380CC4-5D6E-409C-BE32-E72D297353CC}">
              <c16:uniqueId val="{00000001-C50B-4205-AC49-807B3F2AC499}"/>
            </c:ext>
          </c:extLst>
        </c:ser>
        <c:dLbls>
          <c:dLblPos val="ctr"/>
          <c:showLegendKey val="0"/>
          <c:showVal val="1"/>
          <c:showCatName val="0"/>
          <c:showSerName val="0"/>
          <c:showPercent val="0"/>
          <c:showBubbleSize val="0"/>
        </c:dLbls>
        <c:gapWidth val="150"/>
        <c:overlap val="100"/>
        <c:axId val="44866560"/>
        <c:axId val="44872448"/>
      </c:barChart>
      <c:catAx>
        <c:axId val="44866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4872448"/>
        <c:crosses val="autoZero"/>
        <c:auto val="1"/>
        <c:lblAlgn val="ctr"/>
        <c:lblOffset val="100"/>
        <c:noMultiLvlLbl val="0"/>
      </c:catAx>
      <c:valAx>
        <c:axId val="44872448"/>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44866560"/>
        <c:crosses val="autoZero"/>
        <c:crossBetween val="between"/>
      </c:valAx>
      <c:spPr>
        <a:noFill/>
        <a:ln>
          <a:noFill/>
        </a:ln>
        <a:effectLst/>
      </c:spPr>
    </c:plotArea>
    <c:legend>
      <c:legendPos val="t"/>
      <c:layout>
        <c:manualLayout>
          <c:xMode val="edge"/>
          <c:yMode val="edge"/>
          <c:x val="0.3531773838712306"/>
          <c:y val="0.18790566418060875"/>
          <c:w val="0.29834890111925094"/>
          <c:h val="6.8789471261667776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2. Distribución de la plantilla por sexo</a:t>
            </a:r>
          </a:p>
        </c:rich>
      </c:tx>
      <c:layout>
        <c:manualLayout>
          <c:xMode val="edge"/>
          <c:yMode val="edge"/>
          <c:x val="0.19003335053203818"/>
          <c:y val="3.0838394421071585E-2"/>
        </c:manualLayout>
      </c:layout>
      <c:overlay val="0"/>
      <c:spPr>
        <a:noFill/>
        <a:ln>
          <a:noFill/>
        </a:ln>
        <a:effectLst/>
      </c:spPr>
    </c:title>
    <c:autoTitleDeleted val="0"/>
    <c:plotArea>
      <c:layout>
        <c:manualLayout>
          <c:layoutTarget val="inner"/>
          <c:xMode val="edge"/>
          <c:yMode val="edge"/>
          <c:x val="0.37391349051454037"/>
          <c:y val="0.2963953050567224"/>
          <c:w val="0.2735407272808848"/>
          <c:h val="0.59883240296626128"/>
        </c:manualLayout>
      </c:layout>
      <c:doughnutChart>
        <c:varyColors val="1"/>
        <c:ser>
          <c:idx val="0"/>
          <c:order val="0"/>
          <c:tx>
            <c:strRef>
              <c:f>Hoja1!$B$1</c:f>
              <c:strCache>
                <c:ptCount val="1"/>
                <c:pt idx="0">
                  <c:v>Ventas</c:v>
                </c:pt>
              </c:strCache>
            </c:strRef>
          </c:tx>
          <c:dPt>
            <c:idx val="0"/>
            <c:bubble3D val="0"/>
            <c:explosion val="1"/>
            <c:spPr>
              <a:solidFill>
                <a:srgbClr val="78BE20"/>
              </a:solidFill>
              <a:ln w="19050">
                <a:solidFill>
                  <a:srgbClr val="78BE20"/>
                </a:solidFill>
              </a:ln>
              <a:effectLst/>
            </c:spPr>
            <c:extLst xmlns:c16r2="http://schemas.microsoft.com/office/drawing/2015/06/chart">
              <c:ext xmlns:c16="http://schemas.microsoft.com/office/drawing/2014/chart" uri="{C3380CC4-5D6E-409C-BE32-E72D297353CC}">
                <c16:uniqueId val="{00000002-1557-47D0-9A13-D21E3F1AA6BE}"/>
              </c:ext>
            </c:extLst>
          </c:dPt>
          <c:dPt>
            <c:idx val="1"/>
            <c:bubble3D val="0"/>
            <c:spPr>
              <a:solidFill>
                <a:srgbClr val="253746"/>
              </a:solidFill>
              <a:ln w="19050">
                <a:solidFill>
                  <a:srgbClr val="253746"/>
                </a:solidFill>
              </a:ln>
              <a:effectLst/>
            </c:spPr>
            <c:extLst xmlns:c16r2="http://schemas.microsoft.com/office/drawing/2015/06/chart">
              <c:ext xmlns:c16="http://schemas.microsoft.com/office/drawing/2014/chart" uri="{C3380CC4-5D6E-409C-BE32-E72D297353CC}">
                <c16:uniqueId val="{00000003-1557-47D0-9A13-D21E3F1AA6BE}"/>
              </c:ext>
            </c:extLst>
          </c:dPt>
          <c:dLbls>
            <c:dLbl>
              <c:idx val="0"/>
              <c:layout>
                <c:manualLayout>
                  <c:x val="6.4102564102564097E-2"/>
                  <c:y val="-5.1975051975051978E-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557-47D0-9A13-D21E3F1AA6BE}"/>
                </c:ext>
              </c:extLst>
            </c:dLbl>
            <c:dLbl>
              <c:idx val="1"/>
              <c:layout>
                <c:manualLayout>
                  <c:x val="-5.6980056980057023E-2"/>
                  <c:y val="-5.1975051975052455E-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557-47D0-9A13-D21E3F1AA6BE}"/>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Hoja1!$A$2:$A$3</c:f>
              <c:strCache>
                <c:ptCount val="2"/>
                <c:pt idx="0">
                  <c:v>Mujeres</c:v>
                </c:pt>
                <c:pt idx="1">
                  <c:v>Hombres</c:v>
                </c:pt>
              </c:strCache>
            </c:strRef>
          </c:cat>
          <c:val>
            <c:numRef>
              <c:f>Hoja1!$B$2:$B$3</c:f>
              <c:numCache>
                <c:formatCode>0%</c:formatCode>
                <c:ptCount val="2"/>
                <c:pt idx="0">
                  <c:v>0.68</c:v>
                </c:pt>
                <c:pt idx="1">
                  <c:v>0.32</c:v>
                </c:pt>
              </c:numCache>
            </c:numRef>
          </c:val>
          <c:extLst xmlns:c16r2="http://schemas.microsoft.com/office/drawing/2015/06/chart">
            <c:ext xmlns:c16="http://schemas.microsoft.com/office/drawing/2014/chart" uri="{C3380CC4-5D6E-409C-BE32-E72D297353CC}">
              <c16:uniqueId val="{00000000-1557-47D0-9A13-D21E3F1AA6BE}"/>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20. Distribución por sexo </a:t>
            </a:r>
          </a:p>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y Grupo de Personal Laboral </a:t>
            </a:r>
          </a:p>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0" i="1">
                <a:solidFill>
                  <a:srgbClr val="253746"/>
                </a:solidFill>
                <a:latin typeface="Arial" panose="020B0604020202020204" pitchFamily="34" charset="0"/>
                <a:cs typeface="Arial" panose="020B0604020202020204" pitchFamily="34" charset="0"/>
              </a:rPr>
              <a:t>(Servicios Generales)</a:t>
            </a:r>
          </a:p>
        </c:rich>
      </c:tx>
      <c:layout>
        <c:manualLayout>
          <c:xMode val="edge"/>
          <c:yMode val="edge"/>
          <c:x val="0.27172364672364674"/>
          <c:y val="2.1049434936335439E-2"/>
        </c:manualLayout>
      </c:layout>
      <c:overlay val="0"/>
      <c:spPr>
        <a:noFill/>
        <a:ln>
          <a:noFill/>
        </a:ln>
        <a:effectLst/>
      </c:spPr>
    </c:title>
    <c:autoTitleDeleted val="0"/>
    <c:plotArea>
      <c:layout>
        <c:manualLayout>
          <c:layoutTarget val="inner"/>
          <c:xMode val="edge"/>
          <c:yMode val="edge"/>
          <c:x val="9.657128863165608E-2"/>
          <c:y val="0.36599278395985624"/>
          <c:w val="0.87731285191915109"/>
          <c:h val="0.52121212121212124"/>
        </c:manualLayout>
      </c:layout>
      <c:barChart>
        <c:barDir val="col"/>
        <c:grouping val="percentStacked"/>
        <c:varyColors val="0"/>
        <c:ser>
          <c:idx val="0"/>
          <c:order val="0"/>
          <c:tx>
            <c:strRef>
              <c:f>Hoja1!$B$1</c:f>
              <c:strCache>
                <c:ptCount val="1"/>
                <c:pt idx="0">
                  <c:v>Mujeres</c:v>
                </c:pt>
              </c:strCache>
            </c:strRef>
          </c:tx>
          <c:spPr>
            <a:solidFill>
              <a:srgbClr val="78BE20"/>
            </a:solidFill>
            <a:ln w="19050">
              <a:solidFill>
                <a:srgbClr val="78BE20"/>
              </a:solidFill>
            </a:ln>
            <a:effectLst/>
          </c:spPr>
          <c:invertIfNegative val="0"/>
          <c:dPt>
            <c:idx val="0"/>
            <c:invertIfNegative val="0"/>
            <c:bubble3D val="0"/>
            <c:explosion val="1"/>
            <c:extLst xmlns:c16r2="http://schemas.microsoft.com/office/drawing/2015/06/chart">
              <c:ext xmlns:c16="http://schemas.microsoft.com/office/drawing/2014/chart" uri="{C3380CC4-5D6E-409C-BE32-E72D297353CC}">
                <c16:uniqueId val="{00000000-79F8-4750-B89E-160CED047A42}"/>
              </c:ext>
            </c:extLst>
          </c:dPt>
          <c:dPt>
            <c:idx val="1"/>
            <c:invertIfNegative val="0"/>
            <c:bubble3D val="0"/>
            <c:extLst xmlns:c16r2="http://schemas.microsoft.com/office/drawing/2015/06/chart">
              <c:ext xmlns:c16="http://schemas.microsoft.com/office/drawing/2014/chart" uri="{C3380CC4-5D6E-409C-BE32-E72D297353CC}">
                <c16:uniqueId val="{00000001-79F8-4750-B89E-160CED047A42}"/>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Grupo A</c:v>
                </c:pt>
                <c:pt idx="1">
                  <c:v>Grupo B</c:v>
                </c:pt>
                <c:pt idx="2">
                  <c:v>Grupo C</c:v>
                </c:pt>
                <c:pt idx="3">
                  <c:v>Grupo D</c:v>
                </c:pt>
                <c:pt idx="4">
                  <c:v>Grupo E</c:v>
                </c:pt>
              </c:strCache>
            </c:strRef>
          </c:cat>
          <c:val>
            <c:numRef>
              <c:f>Hoja1!$B$2:$B$6</c:f>
              <c:numCache>
                <c:formatCode>0%</c:formatCode>
                <c:ptCount val="5"/>
                <c:pt idx="0">
                  <c:v>0.41</c:v>
                </c:pt>
                <c:pt idx="1">
                  <c:v>0.5</c:v>
                </c:pt>
                <c:pt idx="2">
                  <c:v>0.65</c:v>
                </c:pt>
                <c:pt idx="3">
                  <c:v>0.7</c:v>
                </c:pt>
                <c:pt idx="4">
                  <c:v>0.64</c:v>
                </c:pt>
              </c:numCache>
            </c:numRef>
          </c:val>
          <c:extLst xmlns:c16r2="http://schemas.microsoft.com/office/drawing/2015/06/chart">
            <c:ext xmlns:c16="http://schemas.microsoft.com/office/drawing/2014/chart" uri="{C3380CC4-5D6E-409C-BE32-E72D297353CC}">
              <c16:uniqueId val="{00000002-79F8-4750-B89E-160CED047A42}"/>
            </c:ext>
          </c:extLst>
        </c:ser>
        <c:ser>
          <c:idx val="1"/>
          <c:order val="1"/>
          <c:tx>
            <c:strRef>
              <c:f>Hoja1!$C$1</c:f>
              <c:strCache>
                <c:ptCount val="1"/>
                <c:pt idx="0">
                  <c:v>Hombres</c:v>
                </c:pt>
              </c:strCache>
            </c:strRef>
          </c:tx>
          <c:spPr>
            <a:solidFill>
              <a:srgbClr val="253746"/>
            </a:solidFill>
            <a:ln w="19050">
              <a:solidFill>
                <a:srgbClr val="25374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Grupo A</c:v>
                </c:pt>
                <c:pt idx="1">
                  <c:v>Grupo B</c:v>
                </c:pt>
                <c:pt idx="2">
                  <c:v>Grupo C</c:v>
                </c:pt>
                <c:pt idx="3">
                  <c:v>Grupo D</c:v>
                </c:pt>
                <c:pt idx="4">
                  <c:v>Grupo E</c:v>
                </c:pt>
              </c:strCache>
            </c:strRef>
          </c:cat>
          <c:val>
            <c:numRef>
              <c:f>Hoja1!$C$2:$C$6</c:f>
              <c:numCache>
                <c:formatCode>0%</c:formatCode>
                <c:ptCount val="5"/>
                <c:pt idx="0">
                  <c:v>0.59</c:v>
                </c:pt>
                <c:pt idx="1">
                  <c:v>0.5</c:v>
                </c:pt>
                <c:pt idx="2">
                  <c:v>0.35</c:v>
                </c:pt>
                <c:pt idx="3">
                  <c:v>0.3</c:v>
                </c:pt>
                <c:pt idx="4">
                  <c:v>0.36</c:v>
                </c:pt>
              </c:numCache>
            </c:numRef>
          </c:val>
          <c:extLst xmlns:c16r2="http://schemas.microsoft.com/office/drawing/2015/06/chart">
            <c:ext xmlns:c16="http://schemas.microsoft.com/office/drawing/2014/chart" uri="{C3380CC4-5D6E-409C-BE32-E72D297353CC}">
              <c16:uniqueId val="{00000003-79F8-4750-B89E-160CED047A42}"/>
            </c:ext>
          </c:extLst>
        </c:ser>
        <c:dLbls>
          <c:dLblPos val="ctr"/>
          <c:showLegendKey val="0"/>
          <c:showVal val="1"/>
          <c:showCatName val="0"/>
          <c:showSerName val="0"/>
          <c:showPercent val="0"/>
          <c:showBubbleSize val="0"/>
        </c:dLbls>
        <c:gapWidth val="100"/>
        <c:overlap val="100"/>
        <c:axId val="44965888"/>
        <c:axId val="44967424"/>
      </c:barChart>
      <c:catAx>
        <c:axId val="449658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4967424"/>
        <c:crosses val="autoZero"/>
        <c:auto val="1"/>
        <c:lblAlgn val="ctr"/>
        <c:lblOffset val="100"/>
        <c:noMultiLvlLbl val="0"/>
      </c:catAx>
      <c:valAx>
        <c:axId val="44967424"/>
        <c:scaling>
          <c:orientation val="minMax"/>
        </c:scaling>
        <c:delete val="1"/>
        <c:axPos val="l"/>
        <c:majorGridlines>
          <c:spPr>
            <a:ln w="9525" cap="flat" cmpd="sng" algn="ctr">
              <a:noFill/>
              <a:round/>
            </a:ln>
            <a:effectLst/>
          </c:spPr>
        </c:majorGridlines>
        <c:numFmt formatCode="0%" sourceLinked="1"/>
        <c:majorTickMark val="out"/>
        <c:minorTickMark val="none"/>
        <c:tickLblPos val="nextTo"/>
        <c:crossAx val="449658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21. Evolución del</a:t>
            </a:r>
            <a:r>
              <a:rPr lang="en-US" sz="1200" b="1" i="1" baseline="0">
                <a:solidFill>
                  <a:srgbClr val="253746"/>
                </a:solidFill>
                <a:latin typeface="Arial" panose="020B0604020202020204" pitchFamily="34" charset="0"/>
                <a:cs typeface="Arial" panose="020B0604020202020204" pitchFamily="34" charset="0"/>
              </a:rPr>
              <a:t> Personal Docente en </a:t>
            </a:r>
          </a:p>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baseline="0">
                <a:solidFill>
                  <a:srgbClr val="253746"/>
                </a:solidFill>
                <a:latin typeface="Arial" panose="020B0604020202020204" pitchFamily="34" charset="0"/>
                <a:cs typeface="Arial" panose="020B0604020202020204" pitchFamily="34" charset="0"/>
              </a:rPr>
              <a:t>cargos directivos</a:t>
            </a:r>
            <a:endParaRPr lang="en-US" sz="1200" b="1" i="1">
              <a:solidFill>
                <a:srgbClr val="253746"/>
              </a:solidFill>
              <a:latin typeface="Arial" panose="020B0604020202020204" pitchFamily="34" charset="0"/>
              <a:cs typeface="Arial" panose="020B0604020202020204" pitchFamily="34" charset="0"/>
            </a:endParaRPr>
          </a:p>
        </c:rich>
      </c:tx>
      <c:layout>
        <c:manualLayout>
          <c:xMode val="edge"/>
          <c:yMode val="edge"/>
          <c:x val="0.14114434947768284"/>
          <c:y val="2.5640889223566388E-2"/>
        </c:manualLayout>
      </c:layout>
      <c:overlay val="0"/>
      <c:spPr>
        <a:noFill/>
        <a:ln>
          <a:noFill/>
        </a:ln>
        <a:effectLst/>
      </c:spPr>
    </c:title>
    <c:autoTitleDeleted val="0"/>
    <c:plotArea>
      <c:layout>
        <c:manualLayout>
          <c:layoutTarget val="inner"/>
          <c:xMode val="edge"/>
          <c:yMode val="edge"/>
          <c:x val="9.657128863165608E-2"/>
          <c:y val="0.31089636522707392"/>
          <c:w val="0.87731285191915109"/>
          <c:h val="0.57630853994490361"/>
        </c:manualLayout>
      </c:layout>
      <c:lineChart>
        <c:grouping val="standard"/>
        <c:varyColors val="0"/>
        <c:ser>
          <c:idx val="0"/>
          <c:order val="0"/>
          <c:tx>
            <c:strRef>
              <c:f>Hoja1!$B$1</c:f>
              <c:strCache>
                <c:ptCount val="1"/>
                <c:pt idx="0">
                  <c:v>Mujeres</c:v>
                </c:pt>
              </c:strCache>
            </c:strRef>
          </c:tx>
          <c:spPr>
            <a:ln w="19050" cap="rnd">
              <a:solidFill>
                <a:srgbClr val="78BE20"/>
              </a:solidFill>
              <a:round/>
            </a:ln>
            <a:effectLst/>
          </c:spPr>
          <c:marker>
            <c:symbol val="circle"/>
            <c:size val="5"/>
            <c:spPr>
              <a:solidFill>
                <a:srgbClr val="78BE20"/>
              </a:solidFill>
              <a:ln w="9525">
                <a:solidFill>
                  <a:srgbClr val="78BE20"/>
                </a:solidFill>
              </a:ln>
              <a:effectLst/>
            </c:spPr>
          </c:marker>
          <c:dPt>
            <c:idx val="0"/>
            <c:bubble3D val="0"/>
            <c:explosion val="1"/>
            <c:extLst xmlns:c16r2="http://schemas.microsoft.com/office/drawing/2015/06/chart">
              <c:ext xmlns:c16="http://schemas.microsoft.com/office/drawing/2014/chart" uri="{C3380CC4-5D6E-409C-BE32-E72D297353CC}">
                <c16:uniqueId val="{00000001-CAF3-4D16-9BE5-D798BC105F7D}"/>
              </c:ext>
            </c:extLst>
          </c:dPt>
          <c:dPt>
            <c:idx val="1"/>
            <c:bubble3D val="0"/>
            <c:extLst xmlns:c16r2="http://schemas.microsoft.com/office/drawing/2015/06/chart">
              <c:ext xmlns:c16="http://schemas.microsoft.com/office/drawing/2014/chart" uri="{C3380CC4-5D6E-409C-BE32-E72D297353CC}">
                <c16:uniqueId val="{00000002-CAF3-4D16-9BE5-D798BC105F7D}"/>
              </c:ext>
            </c:extLst>
          </c:dPt>
          <c:dLbls>
            <c:delete val="1"/>
          </c:dLbls>
          <c:cat>
            <c:numRef>
              <c:f>Hoja1!$A$2:$A$6</c:f>
              <c:numCache>
                <c:formatCode>General</c:formatCode>
                <c:ptCount val="5"/>
                <c:pt idx="0">
                  <c:v>2017</c:v>
                </c:pt>
                <c:pt idx="1">
                  <c:v>2018</c:v>
                </c:pt>
                <c:pt idx="2">
                  <c:v>2019</c:v>
                </c:pt>
                <c:pt idx="3">
                  <c:v>2020</c:v>
                </c:pt>
                <c:pt idx="4">
                  <c:v>2021</c:v>
                </c:pt>
              </c:numCache>
            </c:numRef>
          </c:cat>
          <c:val>
            <c:numRef>
              <c:f>Hoja1!$B$2:$B$6</c:f>
              <c:numCache>
                <c:formatCode>0%</c:formatCode>
                <c:ptCount val="5"/>
                <c:pt idx="0">
                  <c:v>0.46</c:v>
                </c:pt>
                <c:pt idx="1">
                  <c:v>0.51</c:v>
                </c:pt>
                <c:pt idx="2">
                  <c:v>0.53</c:v>
                </c:pt>
                <c:pt idx="3">
                  <c:v>0.53</c:v>
                </c:pt>
                <c:pt idx="4">
                  <c:v>0.56000000000000005</c:v>
                </c:pt>
              </c:numCache>
            </c:numRef>
          </c:val>
          <c:smooth val="0"/>
          <c:extLst xmlns:c16r2="http://schemas.microsoft.com/office/drawing/2015/06/chart">
            <c:ext xmlns:c16="http://schemas.microsoft.com/office/drawing/2014/chart" uri="{C3380CC4-5D6E-409C-BE32-E72D297353CC}">
              <c16:uniqueId val="{00000003-CAF3-4D16-9BE5-D798BC105F7D}"/>
            </c:ext>
          </c:extLst>
        </c:ser>
        <c:ser>
          <c:idx val="1"/>
          <c:order val="1"/>
          <c:tx>
            <c:strRef>
              <c:f>Hoja1!$C$1</c:f>
              <c:strCache>
                <c:ptCount val="1"/>
                <c:pt idx="0">
                  <c:v>Hombres</c:v>
                </c:pt>
              </c:strCache>
            </c:strRef>
          </c:tx>
          <c:spPr>
            <a:ln w="19050" cap="rnd">
              <a:solidFill>
                <a:srgbClr val="253746"/>
              </a:solidFill>
              <a:round/>
            </a:ln>
            <a:effectLst/>
          </c:spPr>
          <c:marker>
            <c:symbol val="circle"/>
            <c:size val="5"/>
            <c:spPr>
              <a:solidFill>
                <a:srgbClr val="253746"/>
              </a:solidFill>
              <a:ln w="9525">
                <a:solidFill>
                  <a:srgbClr val="253746"/>
                </a:solidFill>
              </a:ln>
              <a:effectLst/>
            </c:spPr>
          </c:marker>
          <c:dLbls>
            <c:delete val="1"/>
          </c:dLbls>
          <c:cat>
            <c:numRef>
              <c:f>Hoja1!$A$2:$A$6</c:f>
              <c:numCache>
                <c:formatCode>General</c:formatCode>
                <c:ptCount val="5"/>
                <c:pt idx="0">
                  <c:v>2017</c:v>
                </c:pt>
                <c:pt idx="1">
                  <c:v>2018</c:v>
                </c:pt>
                <c:pt idx="2">
                  <c:v>2019</c:v>
                </c:pt>
                <c:pt idx="3">
                  <c:v>2020</c:v>
                </c:pt>
                <c:pt idx="4">
                  <c:v>2021</c:v>
                </c:pt>
              </c:numCache>
            </c:numRef>
          </c:cat>
          <c:val>
            <c:numRef>
              <c:f>Hoja1!$C$2:$C$6</c:f>
              <c:numCache>
                <c:formatCode>0%</c:formatCode>
                <c:ptCount val="5"/>
                <c:pt idx="0">
                  <c:v>0.54</c:v>
                </c:pt>
                <c:pt idx="1">
                  <c:v>0.49</c:v>
                </c:pt>
                <c:pt idx="2">
                  <c:v>0.47</c:v>
                </c:pt>
                <c:pt idx="3">
                  <c:v>0.47</c:v>
                </c:pt>
                <c:pt idx="4">
                  <c:v>0.44</c:v>
                </c:pt>
              </c:numCache>
            </c:numRef>
          </c:val>
          <c:smooth val="0"/>
          <c:extLst xmlns:c16r2="http://schemas.microsoft.com/office/drawing/2015/06/chart">
            <c:ext xmlns:c16="http://schemas.microsoft.com/office/drawing/2014/chart" uri="{C3380CC4-5D6E-409C-BE32-E72D297353CC}">
              <c16:uniqueId val="{00000004-CAF3-4D16-9BE5-D798BC105F7D}"/>
            </c:ext>
          </c:extLst>
        </c:ser>
        <c:dLbls>
          <c:dLblPos val="ctr"/>
          <c:showLegendKey val="0"/>
          <c:showVal val="1"/>
          <c:showCatName val="0"/>
          <c:showSerName val="0"/>
          <c:showPercent val="0"/>
          <c:showBubbleSize val="0"/>
        </c:dLbls>
        <c:marker val="1"/>
        <c:smooth val="0"/>
        <c:axId val="42262912"/>
        <c:axId val="42264832"/>
      </c:lineChart>
      <c:catAx>
        <c:axId val="422629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2264832"/>
        <c:crosses val="autoZero"/>
        <c:auto val="1"/>
        <c:lblAlgn val="ctr"/>
        <c:lblOffset val="100"/>
        <c:noMultiLvlLbl val="0"/>
      </c:catAx>
      <c:valAx>
        <c:axId val="42264832"/>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22629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22. Distribución por sexo y Alto Cargo</a:t>
            </a:r>
          </a:p>
        </c:rich>
      </c:tx>
      <c:layout>
        <c:manualLayout>
          <c:xMode val="edge"/>
          <c:yMode val="edge"/>
          <c:x val="0.21236942070275408"/>
          <c:y val="3.4823539619531031E-2"/>
        </c:manualLayout>
      </c:layout>
      <c:overlay val="0"/>
      <c:spPr>
        <a:noFill/>
        <a:ln>
          <a:noFill/>
        </a:ln>
        <a:effectLst/>
      </c:spPr>
    </c:title>
    <c:autoTitleDeleted val="0"/>
    <c:plotArea>
      <c:layout>
        <c:manualLayout>
          <c:layoutTarget val="inner"/>
          <c:xMode val="edge"/>
          <c:yMode val="edge"/>
          <c:x val="9.657128863165608E-2"/>
          <c:y val="0.31089636522707392"/>
          <c:w val="0.87731285191915109"/>
          <c:h val="0.57630853994490361"/>
        </c:manualLayout>
      </c:layout>
      <c:barChart>
        <c:barDir val="col"/>
        <c:grouping val="percentStacked"/>
        <c:varyColors val="0"/>
        <c:ser>
          <c:idx val="0"/>
          <c:order val="0"/>
          <c:tx>
            <c:strRef>
              <c:f>Hoja1!$B$1</c:f>
              <c:strCache>
                <c:ptCount val="1"/>
                <c:pt idx="0">
                  <c:v>Mujeres</c:v>
                </c:pt>
              </c:strCache>
            </c:strRef>
          </c:tx>
          <c:spPr>
            <a:solidFill>
              <a:srgbClr val="78BE20"/>
            </a:solidFill>
            <a:ln w="19050">
              <a:solidFill>
                <a:srgbClr val="78BE20"/>
              </a:solidFill>
            </a:ln>
            <a:effectLst/>
          </c:spPr>
          <c:invertIfNegative val="0"/>
          <c:dPt>
            <c:idx val="0"/>
            <c:invertIfNegative val="0"/>
            <c:bubble3D val="0"/>
            <c:explosion val="1"/>
            <c:extLst xmlns:c16r2="http://schemas.microsoft.com/office/drawing/2015/06/chart">
              <c:ext xmlns:c16="http://schemas.microsoft.com/office/drawing/2014/chart" uri="{C3380CC4-5D6E-409C-BE32-E72D297353CC}">
                <c16:uniqueId val="{00000000-1FA1-4211-8BB3-55A9EC1A6801}"/>
              </c:ext>
            </c:extLst>
          </c:dPt>
          <c:dPt>
            <c:idx val="1"/>
            <c:invertIfNegative val="0"/>
            <c:bubble3D val="0"/>
            <c:extLst xmlns:c16r2="http://schemas.microsoft.com/office/drawing/2015/06/chart">
              <c:ext xmlns:c16="http://schemas.microsoft.com/office/drawing/2014/chart" uri="{C3380CC4-5D6E-409C-BE32-E72D297353CC}">
                <c16:uniqueId val="{00000001-1FA1-4211-8BB3-55A9EC1A6801}"/>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Presidencia</c:v>
                </c:pt>
                <c:pt idx="1">
                  <c:v>Consejería</c:v>
                </c:pt>
                <c:pt idx="2">
                  <c:v>Secretaría Gral Técnica</c:v>
                </c:pt>
                <c:pt idx="3">
                  <c:v>Dirección General</c:v>
                </c:pt>
              </c:strCache>
            </c:strRef>
          </c:cat>
          <c:val>
            <c:numRef>
              <c:f>Hoja1!$B$2:$B$5</c:f>
              <c:numCache>
                <c:formatCode>0%</c:formatCode>
                <c:ptCount val="4"/>
                <c:pt idx="0">
                  <c:v>1</c:v>
                </c:pt>
                <c:pt idx="1">
                  <c:v>0.38</c:v>
                </c:pt>
                <c:pt idx="2">
                  <c:v>0.75</c:v>
                </c:pt>
                <c:pt idx="3">
                  <c:v>0.42</c:v>
                </c:pt>
              </c:numCache>
            </c:numRef>
          </c:val>
          <c:extLst xmlns:c16r2="http://schemas.microsoft.com/office/drawing/2015/06/chart">
            <c:ext xmlns:c16="http://schemas.microsoft.com/office/drawing/2014/chart" uri="{C3380CC4-5D6E-409C-BE32-E72D297353CC}">
              <c16:uniqueId val="{00000002-1FA1-4211-8BB3-55A9EC1A6801}"/>
            </c:ext>
          </c:extLst>
        </c:ser>
        <c:ser>
          <c:idx val="1"/>
          <c:order val="1"/>
          <c:tx>
            <c:strRef>
              <c:f>Hoja1!$C$1</c:f>
              <c:strCache>
                <c:ptCount val="1"/>
                <c:pt idx="0">
                  <c:v>Hombres</c:v>
                </c:pt>
              </c:strCache>
            </c:strRef>
          </c:tx>
          <c:spPr>
            <a:solidFill>
              <a:srgbClr val="253746"/>
            </a:solidFill>
            <a:ln w="19050">
              <a:solidFill>
                <a:srgbClr val="253746"/>
              </a:solidFill>
            </a:ln>
            <a:effectLst/>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FA1-4211-8BB3-55A9EC1A6801}"/>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Presidencia</c:v>
                </c:pt>
                <c:pt idx="1">
                  <c:v>Consejería</c:v>
                </c:pt>
                <c:pt idx="2">
                  <c:v>Secretaría Gral Técnica</c:v>
                </c:pt>
                <c:pt idx="3">
                  <c:v>Dirección General</c:v>
                </c:pt>
              </c:strCache>
            </c:strRef>
          </c:cat>
          <c:val>
            <c:numRef>
              <c:f>Hoja1!$C$2:$C$5</c:f>
              <c:numCache>
                <c:formatCode>0%</c:formatCode>
                <c:ptCount val="4"/>
                <c:pt idx="0">
                  <c:v>0</c:v>
                </c:pt>
                <c:pt idx="1">
                  <c:v>0.63</c:v>
                </c:pt>
                <c:pt idx="2">
                  <c:v>0.25</c:v>
                </c:pt>
                <c:pt idx="3">
                  <c:v>0.57999999999999996</c:v>
                </c:pt>
              </c:numCache>
            </c:numRef>
          </c:val>
          <c:extLst xmlns:c16r2="http://schemas.microsoft.com/office/drawing/2015/06/chart">
            <c:ext xmlns:c16="http://schemas.microsoft.com/office/drawing/2014/chart" uri="{C3380CC4-5D6E-409C-BE32-E72D297353CC}">
              <c16:uniqueId val="{00000003-1FA1-4211-8BB3-55A9EC1A6801}"/>
            </c:ext>
          </c:extLst>
        </c:ser>
        <c:dLbls>
          <c:dLblPos val="ctr"/>
          <c:showLegendKey val="0"/>
          <c:showVal val="1"/>
          <c:showCatName val="0"/>
          <c:showSerName val="0"/>
          <c:showPercent val="0"/>
          <c:showBubbleSize val="0"/>
        </c:dLbls>
        <c:gapWidth val="100"/>
        <c:overlap val="100"/>
        <c:axId val="42297600"/>
        <c:axId val="42315776"/>
      </c:barChart>
      <c:catAx>
        <c:axId val="42297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2315776"/>
        <c:crosses val="autoZero"/>
        <c:auto val="1"/>
        <c:lblAlgn val="ctr"/>
        <c:lblOffset val="100"/>
        <c:noMultiLvlLbl val="0"/>
      </c:catAx>
      <c:valAx>
        <c:axId val="42315776"/>
        <c:scaling>
          <c:orientation val="minMax"/>
        </c:scaling>
        <c:delete val="1"/>
        <c:axPos val="l"/>
        <c:majorGridlines>
          <c:spPr>
            <a:ln w="9525" cap="flat" cmpd="sng" algn="ctr">
              <a:noFill/>
              <a:round/>
            </a:ln>
            <a:effectLst/>
          </c:spPr>
        </c:majorGridlines>
        <c:numFmt formatCode="0%" sourceLinked="1"/>
        <c:majorTickMark val="out"/>
        <c:minorTickMark val="none"/>
        <c:tickLblPos val="nextTo"/>
        <c:crossAx val="422976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253746"/>
                </a:solidFill>
                <a:latin typeface="+mn-lt"/>
                <a:ea typeface="+mn-ea"/>
                <a:cs typeface="+mn-cs"/>
              </a:defRPr>
            </a:pPr>
            <a:r>
              <a:rPr lang="es-ES" sz="1200" b="1" i="1">
                <a:solidFill>
                  <a:srgbClr val="253746"/>
                </a:solidFill>
                <a:latin typeface="Arial" panose="020B0604020202020204" pitchFamily="34" charset="0"/>
                <a:cs typeface="Arial" panose="020B0604020202020204" pitchFamily="34" charset="0"/>
              </a:rPr>
              <a:t>Gráfica 23. Concentración por sexo y Alto Cargo</a:t>
            </a:r>
          </a:p>
        </c:rich>
      </c:tx>
      <c:layout>
        <c:manualLayout>
          <c:xMode val="edge"/>
          <c:yMode val="edge"/>
          <c:x val="0.19938852304797741"/>
          <c:y val="2.4188671638782504E-2"/>
        </c:manualLayout>
      </c:layout>
      <c:overlay val="0"/>
      <c:spPr>
        <a:noFill/>
        <a:ln>
          <a:noFill/>
        </a:ln>
        <a:effectLst/>
      </c:spPr>
    </c:title>
    <c:autoTitleDeleted val="0"/>
    <c:plotArea>
      <c:layout>
        <c:manualLayout>
          <c:layoutTarget val="inner"/>
          <c:xMode val="edge"/>
          <c:yMode val="edge"/>
          <c:x val="0.11934430115332478"/>
          <c:y val="0.26857976331596062"/>
          <c:w val="0.8547855201072585"/>
          <c:h val="0.68516287755872396"/>
        </c:manualLayout>
      </c:layout>
      <c:barChart>
        <c:barDir val="bar"/>
        <c:grouping val="percentStacked"/>
        <c:varyColors val="0"/>
        <c:ser>
          <c:idx val="0"/>
          <c:order val="0"/>
          <c:tx>
            <c:strRef>
              <c:f>Hoja1!$B$1</c:f>
              <c:strCache>
                <c:ptCount val="1"/>
                <c:pt idx="0">
                  <c:v>Presidencia</c:v>
                </c:pt>
              </c:strCache>
            </c:strRef>
          </c:tx>
          <c:spPr>
            <a:solidFill>
              <a:srgbClr val="B1E670"/>
            </a:solidFill>
            <a:ln>
              <a:solidFill>
                <a:srgbClr val="B1E670"/>
              </a:solidFill>
            </a:ln>
            <a:effectLst/>
          </c:spPr>
          <c:invertIfNegative val="0"/>
          <c:dLbls>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223-48DD-B0D5-31300EC05D0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Hoja1!$B$2:$B$3</c:f>
              <c:numCache>
                <c:formatCode>0%</c:formatCode>
                <c:ptCount val="2"/>
                <c:pt idx="0">
                  <c:v>0.04</c:v>
                </c:pt>
                <c:pt idx="1">
                  <c:v>0</c:v>
                </c:pt>
              </c:numCache>
            </c:numRef>
          </c:val>
          <c:extLst xmlns:c16r2="http://schemas.microsoft.com/office/drawing/2015/06/chart">
            <c:ext xmlns:c16="http://schemas.microsoft.com/office/drawing/2014/chart" uri="{C3380CC4-5D6E-409C-BE32-E72D297353CC}">
              <c16:uniqueId val="{00000000-C223-48DD-B0D5-31300EC05D00}"/>
            </c:ext>
          </c:extLst>
        </c:ser>
        <c:ser>
          <c:idx val="1"/>
          <c:order val="1"/>
          <c:tx>
            <c:strRef>
              <c:f>Hoja1!$C$1</c:f>
              <c:strCache>
                <c:ptCount val="1"/>
                <c:pt idx="0">
                  <c:v>Consejería</c:v>
                </c:pt>
              </c:strCache>
            </c:strRef>
          </c:tx>
          <c:spPr>
            <a:solidFill>
              <a:srgbClr val="779AB7"/>
            </a:solidFill>
            <a:ln>
              <a:solidFill>
                <a:srgbClr val="779AB7"/>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Hoja1!$C$2:$C$3</c:f>
              <c:numCache>
                <c:formatCode>0%</c:formatCode>
                <c:ptCount val="2"/>
                <c:pt idx="0">
                  <c:v>0.12</c:v>
                </c:pt>
                <c:pt idx="1">
                  <c:v>0.17</c:v>
                </c:pt>
              </c:numCache>
            </c:numRef>
          </c:val>
          <c:extLst xmlns:c16r2="http://schemas.microsoft.com/office/drawing/2015/06/chart">
            <c:ext xmlns:c16="http://schemas.microsoft.com/office/drawing/2014/chart" uri="{C3380CC4-5D6E-409C-BE32-E72D297353CC}">
              <c16:uniqueId val="{00000001-C223-48DD-B0D5-31300EC05D00}"/>
            </c:ext>
          </c:extLst>
        </c:ser>
        <c:ser>
          <c:idx val="2"/>
          <c:order val="2"/>
          <c:tx>
            <c:strRef>
              <c:f>Hoja1!$D$1</c:f>
              <c:strCache>
                <c:ptCount val="1"/>
                <c:pt idx="0">
                  <c:v>Secretaría Gral Técnica</c:v>
                </c:pt>
              </c:strCache>
            </c:strRef>
          </c:tx>
          <c:spPr>
            <a:solidFill>
              <a:srgbClr val="EAF8D8"/>
            </a:solidFill>
            <a:ln>
              <a:solidFill>
                <a:srgbClr val="EAF8D8"/>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Hoja1!$D$2:$D$3</c:f>
              <c:numCache>
                <c:formatCode>0%</c:formatCode>
                <c:ptCount val="2"/>
                <c:pt idx="0">
                  <c:v>0.23</c:v>
                </c:pt>
                <c:pt idx="1">
                  <c:v>7.0000000000000007E-2</c:v>
                </c:pt>
              </c:numCache>
            </c:numRef>
          </c:val>
          <c:extLst xmlns:c16r2="http://schemas.microsoft.com/office/drawing/2015/06/chart">
            <c:ext xmlns:c16="http://schemas.microsoft.com/office/drawing/2014/chart" uri="{C3380CC4-5D6E-409C-BE32-E72D297353CC}">
              <c16:uniqueId val="{00000002-C223-48DD-B0D5-31300EC05D00}"/>
            </c:ext>
          </c:extLst>
        </c:ser>
        <c:ser>
          <c:idx val="3"/>
          <c:order val="3"/>
          <c:tx>
            <c:strRef>
              <c:f>Hoja1!$E$1</c:f>
              <c:strCache>
                <c:ptCount val="1"/>
                <c:pt idx="0">
                  <c:v>Dirección General</c:v>
                </c:pt>
              </c:strCache>
            </c:strRef>
          </c:tx>
          <c:spPr>
            <a:solidFill>
              <a:srgbClr val="3A566E"/>
            </a:solidFill>
            <a:ln>
              <a:solidFill>
                <a:srgbClr val="3A566E"/>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Hoja1!$E$2:$E$3</c:f>
              <c:numCache>
                <c:formatCode>0%</c:formatCode>
                <c:ptCount val="2"/>
                <c:pt idx="0">
                  <c:v>0.62</c:v>
                </c:pt>
                <c:pt idx="1">
                  <c:v>0.76</c:v>
                </c:pt>
              </c:numCache>
            </c:numRef>
          </c:val>
          <c:extLst xmlns:c16r2="http://schemas.microsoft.com/office/drawing/2015/06/chart">
            <c:ext xmlns:c16="http://schemas.microsoft.com/office/drawing/2014/chart" uri="{C3380CC4-5D6E-409C-BE32-E72D297353CC}">
              <c16:uniqueId val="{00000003-C223-48DD-B0D5-31300EC05D00}"/>
            </c:ext>
          </c:extLst>
        </c:ser>
        <c:dLbls>
          <c:dLblPos val="ctr"/>
          <c:showLegendKey val="0"/>
          <c:showVal val="1"/>
          <c:showCatName val="0"/>
          <c:showSerName val="0"/>
          <c:showPercent val="0"/>
          <c:showBubbleSize val="0"/>
        </c:dLbls>
        <c:gapWidth val="150"/>
        <c:overlap val="100"/>
        <c:axId val="42453248"/>
        <c:axId val="45023232"/>
      </c:barChart>
      <c:catAx>
        <c:axId val="42453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5023232"/>
        <c:crosses val="autoZero"/>
        <c:auto val="1"/>
        <c:lblAlgn val="ctr"/>
        <c:lblOffset val="100"/>
        <c:noMultiLvlLbl val="0"/>
      </c:catAx>
      <c:valAx>
        <c:axId val="45023232"/>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42453248"/>
        <c:crosses val="autoZero"/>
        <c:crossBetween val="between"/>
      </c:valAx>
      <c:spPr>
        <a:noFill/>
        <a:ln>
          <a:noFill/>
        </a:ln>
        <a:effectLst/>
      </c:spPr>
    </c:plotArea>
    <c:legend>
      <c:legendPos val="t"/>
      <c:layout>
        <c:manualLayout>
          <c:xMode val="edge"/>
          <c:yMode val="edge"/>
          <c:x val="6.8814675446848536E-2"/>
          <c:y val="0.14571068124474346"/>
          <c:w val="0.9"/>
          <c:h val="7.17545346781189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24. Evolución de la distribución por sexo </a:t>
            </a:r>
            <a:r>
              <a:rPr lang="en-US" sz="1200" b="1" i="1" baseline="0">
                <a:solidFill>
                  <a:srgbClr val="253746"/>
                </a:solidFill>
                <a:latin typeface="Arial" panose="020B0604020202020204" pitchFamily="34" charset="0"/>
                <a:cs typeface="Arial" panose="020B0604020202020204" pitchFamily="34" charset="0"/>
              </a:rPr>
              <a:t>en </a:t>
            </a:r>
          </a:p>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baseline="0">
                <a:solidFill>
                  <a:srgbClr val="253746"/>
                </a:solidFill>
                <a:latin typeface="Arial" panose="020B0604020202020204" pitchFamily="34" charset="0"/>
                <a:cs typeface="Arial" panose="020B0604020202020204" pitchFamily="34" charset="0"/>
              </a:rPr>
              <a:t>cargos directivos</a:t>
            </a:r>
            <a:endParaRPr lang="en-US" sz="1200" b="1" i="1">
              <a:solidFill>
                <a:srgbClr val="253746"/>
              </a:solidFill>
              <a:latin typeface="Arial" panose="020B0604020202020204" pitchFamily="34" charset="0"/>
              <a:cs typeface="Arial" panose="020B0604020202020204" pitchFamily="34" charset="0"/>
            </a:endParaRPr>
          </a:p>
        </c:rich>
      </c:tx>
      <c:layout>
        <c:manualLayout>
          <c:xMode val="edge"/>
          <c:yMode val="edge"/>
          <c:x val="0.16251187084520419"/>
          <c:y val="3.0232171391799165E-2"/>
        </c:manualLayout>
      </c:layout>
      <c:overlay val="0"/>
      <c:spPr>
        <a:noFill/>
        <a:ln>
          <a:noFill/>
        </a:ln>
        <a:effectLst/>
      </c:spPr>
    </c:title>
    <c:autoTitleDeleted val="0"/>
    <c:plotArea>
      <c:layout>
        <c:manualLayout>
          <c:layoutTarget val="inner"/>
          <c:xMode val="edge"/>
          <c:yMode val="edge"/>
          <c:x val="9.657128863165608E-2"/>
          <c:y val="0.31089636522707392"/>
          <c:w val="0.87731285191915109"/>
          <c:h val="0.57630853994490361"/>
        </c:manualLayout>
      </c:layout>
      <c:lineChart>
        <c:grouping val="standard"/>
        <c:varyColors val="0"/>
        <c:ser>
          <c:idx val="0"/>
          <c:order val="0"/>
          <c:tx>
            <c:strRef>
              <c:f>Hoja1!$B$1</c:f>
              <c:strCache>
                <c:ptCount val="1"/>
                <c:pt idx="0">
                  <c:v>Mujeres</c:v>
                </c:pt>
              </c:strCache>
            </c:strRef>
          </c:tx>
          <c:spPr>
            <a:ln w="19050" cap="rnd">
              <a:solidFill>
                <a:srgbClr val="78BE20"/>
              </a:solidFill>
              <a:round/>
            </a:ln>
            <a:effectLst/>
          </c:spPr>
          <c:marker>
            <c:symbol val="circle"/>
            <c:size val="5"/>
            <c:spPr>
              <a:solidFill>
                <a:srgbClr val="78BE20"/>
              </a:solidFill>
              <a:ln w="9525">
                <a:solidFill>
                  <a:srgbClr val="78BE20"/>
                </a:solidFill>
              </a:ln>
              <a:effectLst/>
            </c:spPr>
          </c:marker>
          <c:dPt>
            <c:idx val="0"/>
            <c:bubble3D val="0"/>
            <c:explosion val="1"/>
            <c:extLst xmlns:c16r2="http://schemas.microsoft.com/office/drawing/2015/06/chart">
              <c:ext xmlns:c16="http://schemas.microsoft.com/office/drawing/2014/chart" uri="{C3380CC4-5D6E-409C-BE32-E72D297353CC}">
                <c16:uniqueId val="{00000001-4126-41BE-9E8D-A330158472DB}"/>
              </c:ext>
            </c:extLst>
          </c:dPt>
          <c:dPt>
            <c:idx val="1"/>
            <c:bubble3D val="0"/>
            <c:extLst xmlns:c16r2="http://schemas.microsoft.com/office/drawing/2015/06/chart">
              <c:ext xmlns:c16="http://schemas.microsoft.com/office/drawing/2014/chart" uri="{C3380CC4-5D6E-409C-BE32-E72D297353CC}">
                <c16:uniqueId val="{00000002-4126-41BE-9E8D-A330158472DB}"/>
              </c:ext>
            </c:extLst>
          </c:dPt>
          <c:dLbls>
            <c:delete val="1"/>
          </c:dLbls>
          <c:cat>
            <c:numRef>
              <c:f>Hoja1!$A$2:$A$6</c:f>
              <c:numCache>
                <c:formatCode>General</c:formatCode>
                <c:ptCount val="5"/>
                <c:pt idx="0">
                  <c:v>2017</c:v>
                </c:pt>
                <c:pt idx="1">
                  <c:v>2018</c:v>
                </c:pt>
                <c:pt idx="2">
                  <c:v>2019</c:v>
                </c:pt>
                <c:pt idx="3">
                  <c:v>2020</c:v>
                </c:pt>
                <c:pt idx="4">
                  <c:v>2021</c:v>
                </c:pt>
              </c:numCache>
            </c:numRef>
          </c:cat>
          <c:val>
            <c:numRef>
              <c:f>Hoja1!$B$2:$B$6</c:f>
              <c:numCache>
                <c:formatCode>0%</c:formatCode>
                <c:ptCount val="5"/>
                <c:pt idx="0">
                  <c:v>0.38</c:v>
                </c:pt>
                <c:pt idx="1">
                  <c:v>0.43</c:v>
                </c:pt>
                <c:pt idx="2">
                  <c:v>0.45</c:v>
                </c:pt>
                <c:pt idx="3">
                  <c:v>0.56000000000000005</c:v>
                </c:pt>
                <c:pt idx="4">
                  <c:v>0.47</c:v>
                </c:pt>
              </c:numCache>
            </c:numRef>
          </c:val>
          <c:smooth val="0"/>
          <c:extLst xmlns:c16r2="http://schemas.microsoft.com/office/drawing/2015/06/chart">
            <c:ext xmlns:c16="http://schemas.microsoft.com/office/drawing/2014/chart" uri="{C3380CC4-5D6E-409C-BE32-E72D297353CC}">
              <c16:uniqueId val="{00000003-4126-41BE-9E8D-A330158472DB}"/>
            </c:ext>
          </c:extLst>
        </c:ser>
        <c:ser>
          <c:idx val="1"/>
          <c:order val="1"/>
          <c:tx>
            <c:strRef>
              <c:f>Hoja1!$C$1</c:f>
              <c:strCache>
                <c:ptCount val="1"/>
                <c:pt idx="0">
                  <c:v>Hombres</c:v>
                </c:pt>
              </c:strCache>
            </c:strRef>
          </c:tx>
          <c:spPr>
            <a:ln w="19050" cap="rnd">
              <a:solidFill>
                <a:srgbClr val="253746"/>
              </a:solidFill>
              <a:round/>
            </a:ln>
            <a:effectLst/>
          </c:spPr>
          <c:marker>
            <c:symbol val="circle"/>
            <c:size val="5"/>
            <c:spPr>
              <a:solidFill>
                <a:srgbClr val="253746"/>
              </a:solidFill>
              <a:ln w="9525">
                <a:solidFill>
                  <a:srgbClr val="253746"/>
                </a:solidFill>
              </a:ln>
              <a:effectLst/>
            </c:spPr>
          </c:marker>
          <c:dLbls>
            <c:delete val="1"/>
          </c:dLbls>
          <c:cat>
            <c:numRef>
              <c:f>Hoja1!$A$2:$A$6</c:f>
              <c:numCache>
                <c:formatCode>General</c:formatCode>
                <c:ptCount val="5"/>
                <c:pt idx="0">
                  <c:v>2017</c:v>
                </c:pt>
                <c:pt idx="1">
                  <c:v>2018</c:v>
                </c:pt>
                <c:pt idx="2">
                  <c:v>2019</c:v>
                </c:pt>
                <c:pt idx="3">
                  <c:v>2020</c:v>
                </c:pt>
                <c:pt idx="4">
                  <c:v>2021</c:v>
                </c:pt>
              </c:numCache>
            </c:numRef>
          </c:cat>
          <c:val>
            <c:numRef>
              <c:f>Hoja1!$C$2:$C$6</c:f>
              <c:numCache>
                <c:formatCode>0%</c:formatCode>
                <c:ptCount val="5"/>
                <c:pt idx="0">
                  <c:v>0.62</c:v>
                </c:pt>
                <c:pt idx="1">
                  <c:v>0.56999999999999995</c:v>
                </c:pt>
                <c:pt idx="2">
                  <c:v>0.55000000000000004</c:v>
                </c:pt>
                <c:pt idx="3">
                  <c:v>0.44</c:v>
                </c:pt>
                <c:pt idx="4">
                  <c:v>0.53</c:v>
                </c:pt>
              </c:numCache>
            </c:numRef>
          </c:val>
          <c:smooth val="0"/>
          <c:extLst xmlns:c16r2="http://schemas.microsoft.com/office/drawing/2015/06/chart">
            <c:ext xmlns:c16="http://schemas.microsoft.com/office/drawing/2014/chart" uri="{C3380CC4-5D6E-409C-BE32-E72D297353CC}">
              <c16:uniqueId val="{00000004-4126-41BE-9E8D-A330158472DB}"/>
            </c:ext>
          </c:extLst>
        </c:ser>
        <c:dLbls>
          <c:dLblPos val="ctr"/>
          <c:showLegendKey val="0"/>
          <c:showVal val="1"/>
          <c:showCatName val="0"/>
          <c:showSerName val="0"/>
          <c:showPercent val="0"/>
          <c:showBubbleSize val="0"/>
        </c:dLbls>
        <c:marker val="1"/>
        <c:smooth val="0"/>
        <c:axId val="45054592"/>
        <c:axId val="45056768"/>
      </c:lineChart>
      <c:catAx>
        <c:axId val="450545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5056768"/>
        <c:crosses val="autoZero"/>
        <c:auto val="1"/>
        <c:lblAlgn val="ctr"/>
        <c:lblOffset val="100"/>
        <c:noMultiLvlLbl val="0"/>
      </c:catAx>
      <c:valAx>
        <c:axId val="45056768"/>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50545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253746"/>
                </a:solidFill>
                <a:latin typeface="+mn-lt"/>
                <a:ea typeface="+mn-ea"/>
                <a:cs typeface="+mn-cs"/>
              </a:defRPr>
            </a:pPr>
            <a:r>
              <a:rPr lang="es-ES" sz="1200" b="1" i="1">
                <a:solidFill>
                  <a:srgbClr val="253746"/>
                </a:solidFill>
                <a:latin typeface="Arial" panose="020B0604020202020204" pitchFamily="34" charset="0"/>
                <a:cs typeface="Arial" panose="020B0604020202020204" pitchFamily="34" charset="0"/>
              </a:rPr>
              <a:t>Gráfica 25. Concentración por sexo y opinión sobre la existencia de igualdad en la selección de personal</a:t>
            </a:r>
          </a:p>
        </c:rich>
      </c:tx>
      <c:layout>
        <c:manualLayout>
          <c:xMode val="edge"/>
          <c:yMode val="edge"/>
          <c:x val="0.1358889934148636"/>
          <c:y val="2.4188671638782504E-2"/>
        </c:manualLayout>
      </c:layout>
      <c:overlay val="0"/>
      <c:spPr>
        <a:noFill/>
        <a:ln>
          <a:noFill/>
        </a:ln>
        <a:effectLst/>
      </c:spPr>
    </c:title>
    <c:autoTitleDeleted val="0"/>
    <c:plotArea>
      <c:layout/>
      <c:barChart>
        <c:barDir val="bar"/>
        <c:grouping val="percentStacked"/>
        <c:varyColors val="0"/>
        <c:ser>
          <c:idx val="0"/>
          <c:order val="0"/>
          <c:tx>
            <c:strRef>
              <c:f>Hoja1!$B$1</c:f>
              <c:strCache>
                <c:ptCount val="1"/>
                <c:pt idx="0">
                  <c:v>Sí</c:v>
                </c:pt>
              </c:strCache>
            </c:strRef>
          </c:tx>
          <c:spPr>
            <a:solidFill>
              <a:srgbClr val="B1E670"/>
            </a:solidFill>
            <a:ln>
              <a:solidFill>
                <a:srgbClr val="B1E67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Hoja1!$B$2:$B$3</c:f>
              <c:numCache>
                <c:formatCode>0%</c:formatCode>
                <c:ptCount val="2"/>
                <c:pt idx="0">
                  <c:v>0.69</c:v>
                </c:pt>
                <c:pt idx="1">
                  <c:v>0.78</c:v>
                </c:pt>
              </c:numCache>
            </c:numRef>
          </c:val>
          <c:extLst xmlns:c16r2="http://schemas.microsoft.com/office/drawing/2015/06/chart">
            <c:ext xmlns:c16="http://schemas.microsoft.com/office/drawing/2014/chart" uri="{C3380CC4-5D6E-409C-BE32-E72D297353CC}">
              <c16:uniqueId val="{00000000-53AF-442E-A2C8-04FD0D08B362}"/>
            </c:ext>
          </c:extLst>
        </c:ser>
        <c:ser>
          <c:idx val="1"/>
          <c:order val="1"/>
          <c:tx>
            <c:strRef>
              <c:f>Hoja1!$C$1</c:f>
              <c:strCache>
                <c:ptCount val="1"/>
                <c:pt idx="0">
                  <c:v>No</c:v>
                </c:pt>
              </c:strCache>
            </c:strRef>
          </c:tx>
          <c:spPr>
            <a:solidFill>
              <a:srgbClr val="779AB7"/>
            </a:solidFill>
            <a:ln>
              <a:solidFill>
                <a:srgbClr val="779AB7"/>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Hoja1!$C$2:$C$3</c:f>
              <c:numCache>
                <c:formatCode>0%</c:formatCode>
                <c:ptCount val="2"/>
                <c:pt idx="0">
                  <c:v>0.22</c:v>
                </c:pt>
                <c:pt idx="1">
                  <c:v>0.16</c:v>
                </c:pt>
              </c:numCache>
            </c:numRef>
          </c:val>
          <c:extLst xmlns:c16r2="http://schemas.microsoft.com/office/drawing/2015/06/chart">
            <c:ext xmlns:c16="http://schemas.microsoft.com/office/drawing/2014/chart" uri="{C3380CC4-5D6E-409C-BE32-E72D297353CC}">
              <c16:uniqueId val="{00000001-53AF-442E-A2C8-04FD0D08B362}"/>
            </c:ext>
          </c:extLst>
        </c:ser>
        <c:ser>
          <c:idx val="2"/>
          <c:order val="2"/>
          <c:tx>
            <c:strRef>
              <c:f>Hoja1!$D$1</c:f>
              <c:strCache>
                <c:ptCount val="1"/>
                <c:pt idx="0">
                  <c:v>N/C</c:v>
                </c:pt>
              </c:strCache>
            </c:strRef>
          </c:tx>
          <c:spPr>
            <a:solidFill>
              <a:srgbClr val="EAF8D8"/>
            </a:solidFill>
            <a:ln>
              <a:solidFill>
                <a:srgbClr val="EAF8D8"/>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Hoja1!$D$2:$D$3</c:f>
              <c:numCache>
                <c:formatCode>0%</c:formatCode>
                <c:ptCount val="2"/>
                <c:pt idx="0">
                  <c:v>0.08</c:v>
                </c:pt>
                <c:pt idx="1">
                  <c:v>0.06</c:v>
                </c:pt>
              </c:numCache>
            </c:numRef>
          </c:val>
          <c:extLst xmlns:c16r2="http://schemas.microsoft.com/office/drawing/2015/06/chart">
            <c:ext xmlns:c16="http://schemas.microsoft.com/office/drawing/2014/chart" uri="{C3380CC4-5D6E-409C-BE32-E72D297353CC}">
              <c16:uniqueId val="{00000002-53AF-442E-A2C8-04FD0D08B362}"/>
            </c:ext>
          </c:extLst>
        </c:ser>
        <c:dLbls>
          <c:dLblPos val="ctr"/>
          <c:showLegendKey val="0"/>
          <c:showVal val="1"/>
          <c:showCatName val="0"/>
          <c:showSerName val="0"/>
          <c:showPercent val="0"/>
          <c:showBubbleSize val="0"/>
        </c:dLbls>
        <c:gapWidth val="150"/>
        <c:overlap val="100"/>
        <c:axId val="45155840"/>
        <c:axId val="45157376"/>
      </c:barChart>
      <c:catAx>
        <c:axId val="45155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5157376"/>
        <c:crosses val="autoZero"/>
        <c:auto val="1"/>
        <c:lblAlgn val="ctr"/>
        <c:lblOffset val="100"/>
        <c:noMultiLvlLbl val="0"/>
      </c:catAx>
      <c:valAx>
        <c:axId val="45157376"/>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45155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26. Distribución por sexo en la participación de los procesos selectivos </a:t>
            </a:r>
            <a:r>
              <a:rPr lang="en-US" sz="1200" b="0" i="1">
                <a:solidFill>
                  <a:srgbClr val="253746"/>
                </a:solidFill>
                <a:latin typeface="Arial" panose="020B0604020202020204" pitchFamily="34" charset="0"/>
                <a:cs typeface="Arial" panose="020B0604020202020204" pitchFamily="34" charset="0"/>
              </a:rPr>
              <a:t>(Servicios Generales)</a:t>
            </a:r>
          </a:p>
        </c:rich>
      </c:tx>
      <c:layout>
        <c:manualLayout>
          <c:xMode val="edge"/>
          <c:yMode val="edge"/>
          <c:x val="0.15538936372269704"/>
          <c:y val="3.4823539619531031E-2"/>
        </c:manualLayout>
      </c:layout>
      <c:overlay val="0"/>
      <c:spPr>
        <a:noFill/>
        <a:ln>
          <a:noFill/>
        </a:ln>
        <a:effectLst/>
      </c:spPr>
    </c:title>
    <c:autoTitleDeleted val="0"/>
    <c:plotArea>
      <c:layout>
        <c:manualLayout>
          <c:layoutTarget val="inner"/>
          <c:xMode val="edge"/>
          <c:yMode val="edge"/>
          <c:x val="3.7217062610763386E-2"/>
          <c:y val="0.36140141573212436"/>
          <c:w val="0.93666707794004378"/>
          <c:h val="0.52580348943985311"/>
        </c:manualLayout>
      </c:layout>
      <c:barChart>
        <c:barDir val="col"/>
        <c:grouping val="percentStacked"/>
        <c:varyColors val="0"/>
        <c:ser>
          <c:idx val="0"/>
          <c:order val="0"/>
          <c:tx>
            <c:strRef>
              <c:f>Hoja1!$B$1</c:f>
              <c:strCache>
                <c:ptCount val="1"/>
                <c:pt idx="0">
                  <c:v>Mujeres</c:v>
                </c:pt>
              </c:strCache>
            </c:strRef>
          </c:tx>
          <c:spPr>
            <a:solidFill>
              <a:srgbClr val="78BE20"/>
            </a:solidFill>
            <a:ln w="19050">
              <a:solidFill>
                <a:srgbClr val="78BE20"/>
              </a:solidFill>
            </a:ln>
            <a:effectLst/>
          </c:spPr>
          <c:invertIfNegative val="0"/>
          <c:dPt>
            <c:idx val="0"/>
            <c:invertIfNegative val="0"/>
            <c:bubble3D val="0"/>
            <c:explosion val="1"/>
            <c:extLst xmlns:c16r2="http://schemas.microsoft.com/office/drawing/2015/06/chart">
              <c:ext xmlns:c16="http://schemas.microsoft.com/office/drawing/2014/chart" uri="{C3380CC4-5D6E-409C-BE32-E72D297353CC}">
                <c16:uniqueId val="{00000000-D6CF-4D55-BEFC-035CD4EDE124}"/>
              </c:ext>
            </c:extLst>
          </c:dPt>
          <c:dPt>
            <c:idx val="1"/>
            <c:invertIfNegative val="0"/>
            <c:bubble3D val="0"/>
            <c:extLst xmlns:c16r2="http://schemas.microsoft.com/office/drawing/2015/06/chart">
              <c:ext xmlns:c16="http://schemas.microsoft.com/office/drawing/2014/chart" uri="{C3380CC4-5D6E-409C-BE32-E72D297353CC}">
                <c16:uniqueId val="{00000001-D6CF-4D55-BEFC-035CD4EDE124}"/>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OPE (2017-2020)</c:v>
                </c:pt>
                <c:pt idx="1">
                  <c:v>OPE (2017)</c:v>
                </c:pt>
              </c:strCache>
            </c:strRef>
          </c:cat>
          <c:val>
            <c:numRef>
              <c:f>Hoja1!$B$2:$B$3</c:f>
              <c:numCache>
                <c:formatCode>0%</c:formatCode>
                <c:ptCount val="2"/>
                <c:pt idx="0">
                  <c:v>0.74</c:v>
                </c:pt>
                <c:pt idx="1">
                  <c:v>0.63</c:v>
                </c:pt>
              </c:numCache>
            </c:numRef>
          </c:val>
          <c:extLst xmlns:c16r2="http://schemas.microsoft.com/office/drawing/2015/06/chart">
            <c:ext xmlns:c16="http://schemas.microsoft.com/office/drawing/2014/chart" uri="{C3380CC4-5D6E-409C-BE32-E72D297353CC}">
              <c16:uniqueId val="{00000002-D6CF-4D55-BEFC-035CD4EDE124}"/>
            </c:ext>
          </c:extLst>
        </c:ser>
        <c:ser>
          <c:idx val="1"/>
          <c:order val="1"/>
          <c:tx>
            <c:strRef>
              <c:f>Hoja1!$C$1</c:f>
              <c:strCache>
                <c:ptCount val="1"/>
                <c:pt idx="0">
                  <c:v>Hombres</c:v>
                </c:pt>
              </c:strCache>
            </c:strRef>
          </c:tx>
          <c:spPr>
            <a:solidFill>
              <a:srgbClr val="253746"/>
            </a:solidFill>
            <a:ln w="19050">
              <a:solidFill>
                <a:srgbClr val="25374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OPE (2017-2020)</c:v>
                </c:pt>
                <c:pt idx="1">
                  <c:v>OPE (2017)</c:v>
                </c:pt>
              </c:strCache>
            </c:strRef>
          </c:cat>
          <c:val>
            <c:numRef>
              <c:f>Hoja1!$C$2:$C$3</c:f>
              <c:numCache>
                <c:formatCode>0%</c:formatCode>
                <c:ptCount val="2"/>
                <c:pt idx="0">
                  <c:v>0.26</c:v>
                </c:pt>
                <c:pt idx="1">
                  <c:v>0.37</c:v>
                </c:pt>
              </c:numCache>
            </c:numRef>
          </c:val>
          <c:extLst xmlns:c16r2="http://schemas.microsoft.com/office/drawing/2015/06/chart">
            <c:ext xmlns:c16="http://schemas.microsoft.com/office/drawing/2014/chart" uri="{C3380CC4-5D6E-409C-BE32-E72D297353CC}">
              <c16:uniqueId val="{00000003-D6CF-4D55-BEFC-035CD4EDE124}"/>
            </c:ext>
          </c:extLst>
        </c:ser>
        <c:dLbls>
          <c:dLblPos val="ctr"/>
          <c:showLegendKey val="0"/>
          <c:showVal val="1"/>
          <c:showCatName val="0"/>
          <c:showSerName val="0"/>
          <c:showPercent val="0"/>
          <c:showBubbleSize val="0"/>
        </c:dLbls>
        <c:gapWidth val="100"/>
        <c:overlap val="100"/>
        <c:axId val="45218432"/>
        <c:axId val="45293952"/>
      </c:barChart>
      <c:catAx>
        <c:axId val="452184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5293952"/>
        <c:crosses val="autoZero"/>
        <c:auto val="1"/>
        <c:lblAlgn val="ctr"/>
        <c:lblOffset val="100"/>
        <c:noMultiLvlLbl val="0"/>
      </c:catAx>
      <c:valAx>
        <c:axId val="45293952"/>
        <c:scaling>
          <c:orientation val="minMax"/>
        </c:scaling>
        <c:delete val="1"/>
        <c:axPos val="l"/>
        <c:majorGridlines>
          <c:spPr>
            <a:ln w="9525" cap="flat" cmpd="sng" algn="ctr">
              <a:noFill/>
              <a:round/>
            </a:ln>
            <a:effectLst/>
          </c:spPr>
        </c:majorGridlines>
        <c:numFmt formatCode="0%" sourceLinked="1"/>
        <c:majorTickMark val="out"/>
        <c:minorTickMark val="none"/>
        <c:tickLblPos val="nextTo"/>
        <c:crossAx val="45218432"/>
        <c:crosses val="autoZero"/>
        <c:crossBetween val="between"/>
      </c:valAx>
      <c:spPr>
        <a:noFill/>
        <a:ln>
          <a:noFill/>
        </a:ln>
        <a:effectLst/>
      </c:spPr>
    </c:plotArea>
    <c:legend>
      <c:legendPos val="t"/>
      <c:layout>
        <c:manualLayout>
          <c:xMode val="edge"/>
          <c:yMode val="edge"/>
          <c:x val="0.3629132362728163"/>
          <c:y val="0.23236914600550965"/>
          <c:w val="0.27417352745436735"/>
          <c:h val="7.834356449245497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100" b="1" i="1">
                <a:solidFill>
                  <a:srgbClr val="253746"/>
                </a:solidFill>
                <a:latin typeface="Arial" panose="020B0604020202020204" pitchFamily="34" charset="0"/>
                <a:cs typeface="Arial" panose="020B0604020202020204" pitchFamily="34" charset="0"/>
              </a:rPr>
              <a:t>Grafica 27. Distribución por sexo</a:t>
            </a:r>
            <a:r>
              <a:rPr lang="en-US" sz="1100" b="1" i="1" baseline="0">
                <a:solidFill>
                  <a:srgbClr val="253746"/>
                </a:solidFill>
                <a:latin typeface="Arial" panose="020B0604020202020204" pitchFamily="34" charset="0"/>
                <a:cs typeface="Arial" panose="020B0604020202020204" pitchFamily="34" charset="0"/>
              </a:rPr>
              <a:t> en la convocatoria, </a:t>
            </a:r>
          </a:p>
          <a:p>
            <a:pPr algn="ctr">
              <a:defRPr sz="11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100" b="1" i="1" baseline="0">
                <a:solidFill>
                  <a:srgbClr val="253746"/>
                </a:solidFill>
                <a:latin typeface="Arial" panose="020B0604020202020204" pitchFamily="34" charset="0"/>
                <a:cs typeface="Arial" panose="020B0604020202020204" pitchFamily="34" charset="0"/>
              </a:rPr>
              <a:t>por cuerpos</a:t>
            </a:r>
            <a:endParaRPr lang="en-US" sz="1100" b="1" i="1">
              <a:solidFill>
                <a:srgbClr val="253746"/>
              </a:solidFill>
              <a:latin typeface="Arial" panose="020B0604020202020204" pitchFamily="34" charset="0"/>
              <a:cs typeface="Arial" panose="020B0604020202020204" pitchFamily="34" charset="0"/>
            </a:endParaRPr>
          </a:p>
        </c:rich>
      </c:tx>
      <c:layout>
        <c:manualLayout>
          <c:xMode val="edge"/>
          <c:yMode val="edge"/>
          <c:x val="0.16488603988603989"/>
          <c:y val="3.0232171391799165E-2"/>
        </c:manualLayout>
      </c:layout>
      <c:overlay val="0"/>
      <c:spPr>
        <a:noFill/>
        <a:ln>
          <a:noFill/>
        </a:ln>
        <a:effectLst/>
      </c:spPr>
    </c:title>
    <c:autoTitleDeleted val="0"/>
    <c:plotArea>
      <c:layout>
        <c:manualLayout>
          <c:layoutTarget val="inner"/>
          <c:xMode val="edge"/>
          <c:yMode val="edge"/>
          <c:x val="3.0094555488256271E-2"/>
          <c:y val="0.36599278395985624"/>
          <c:w val="0.94378958506255095"/>
          <c:h val="0.42621562800517693"/>
        </c:manualLayout>
      </c:layout>
      <c:barChart>
        <c:barDir val="col"/>
        <c:grouping val="percentStacked"/>
        <c:varyColors val="0"/>
        <c:ser>
          <c:idx val="0"/>
          <c:order val="0"/>
          <c:tx>
            <c:strRef>
              <c:f>Hoja1!$B$1</c:f>
              <c:strCache>
                <c:ptCount val="1"/>
                <c:pt idx="0">
                  <c:v>Mujeres</c:v>
                </c:pt>
              </c:strCache>
            </c:strRef>
          </c:tx>
          <c:spPr>
            <a:solidFill>
              <a:srgbClr val="78BE20"/>
            </a:solidFill>
            <a:ln w="19050">
              <a:solidFill>
                <a:srgbClr val="78BE20"/>
              </a:solidFill>
            </a:ln>
            <a:effectLst/>
          </c:spPr>
          <c:invertIfNegative val="0"/>
          <c:dPt>
            <c:idx val="0"/>
            <c:invertIfNegative val="0"/>
            <c:bubble3D val="0"/>
            <c:explosion val="1"/>
            <c:extLst xmlns:c16r2="http://schemas.microsoft.com/office/drawing/2015/06/chart">
              <c:ext xmlns:c16="http://schemas.microsoft.com/office/drawing/2014/chart" uri="{C3380CC4-5D6E-409C-BE32-E72D297353CC}">
                <c16:uniqueId val="{00000000-523A-4124-AD98-E5F2A0FAE31D}"/>
              </c:ext>
            </c:extLst>
          </c:dPt>
          <c:dPt>
            <c:idx val="1"/>
            <c:invertIfNegative val="0"/>
            <c:bubble3D val="0"/>
            <c:extLst xmlns:c16r2="http://schemas.microsoft.com/office/drawing/2015/06/chart">
              <c:ext xmlns:c16="http://schemas.microsoft.com/office/drawing/2014/chart" uri="{C3380CC4-5D6E-409C-BE32-E72D297353CC}">
                <c16:uniqueId val="{00000001-523A-4124-AD98-E5F2A0FAE31D}"/>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Hoja1!$A$2:$A$7</c:f>
              <c:strCache>
                <c:ptCount val="6"/>
                <c:pt idx="0">
                  <c:v>Técnico/a A.G.</c:v>
                </c:pt>
                <c:pt idx="1">
                  <c:v>CFSAE Veterinaria/o</c:v>
                </c:pt>
                <c:pt idx="2">
                  <c:v>CFSAE Psicóloga/o</c:v>
                </c:pt>
                <c:pt idx="3">
                  <c:v>Tco. Sup. Acción Exterior</c:v>
                </c:pt>
                <c:pt idx="4">
                  <c:v>Telefonista</c:v>
                </c:pt>
                <c:pt idx="5">
                  <c:v>CFGMAE Arquitec. Técnico</c:v>
                </c:pt>
              </c:strCache>
            </c:strRef>
          </c:cat>
          <c:val>
            <c:numRef>
              <c:f>Hoja1!$B$2:$B$7</c:f>
              <c:numCache>
                <c:formatCode>0%</c:formatCode>
                <c:ptCount val="6"/>
                <c:pt idx="0">
                  <c:v>0.67</c:v>
                </c:pt>
                <c:pt idx="1">
                  <c:v>0.63</c:v>
                </c:pt>
                <c:pt idx="2">
                  <c:v>0.84</c:v>
                </c:pt>
                <c:pt idx="3">
                  <c:v>0.67</c:v>
                </c:pt>
                <c:pt idx="4">
                  <c:v>0.8</c:v>
                </c:pt>
                <c:pt idx="5">
                  <c:v>0.59</c:v>
                </c:pt>
              </c:numCache>
            </c:numRef>
          </c:val>
          <c:extLst xmlns:c16r2="http://schemas.microsoft.com/office/drawing/2015/06/chart">
            <c:ext xmlns:c16="http://schemas.microsoft.com/office/drawing/2014/chart" uri="{C3380CC4-5D6E-409C-BE32-E72D297353CC}">
              <c16:uniqueId val="{00000002-523A-4124-AD98-E5F2A0FAE31D}"/>
            </c:ext>
          </c:extLst>
        </c:ser>
        <c:ser>
          <c:idx val="1"/>
          <c:order val="1"/>
          <c:tx>
            <c:strRef>
              <c:f>Hoja1!$C$1</c:f>
              <c:strCache>
                <c:ptCount val="1"/>
                <c:pt idx="0">
                  <c:v>Hombres</c:v>
                </c:pt>
              </c:strCache>
            </c:strRef>
          </c:tx>
          <c:spPr>
            <a:solidFill>
              <a:srgbClr val="253746"/>
            </a:solidFill>
            <a:ln w="19050">
              <a:solidFill>
                <a:srgbClr val="25374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Hoja1!$A$2:$A$7</c:f>
              <c:strCache>
                <c:ptCount val="6"/>
                <c:pt idx="0">
                  <c:v>Técnico/a A.G.</c:v>
                </c:pt>
                <c:pt idx="1">
                  <c:v>CFSAE Veterinaria/o</c:v>
                </c:pt>
                <c:pt idx="2">
                  <c:v>CFSAE Psicóloga/o</c:v>
                </c:pt>
                <c:pt idx="3">
                  <c:v>Tco. Sup. Acción Exterior</c:v>
                </c:pt>
                <c:pt idx="4">
                  <c:v>Telefonista</c:v>
                </c:pt>
                <c:pt idx="5">
                  <c:v>CFGMAE Arquitec. Técnico</c:v>
                </c:pt>
              </c:strCache>
            </c:strRef>
          </c:cat>
          <c:val>
            <c:numRef>
              <c:f>Hoja1!$C$2:$C$7</c:f>
              <c:numCache>
                <c:formatCode>0%</c:formatCode>
                <c:ptCount val="6"/>
                <c:pt idx="0">
                  <c:v>0.33</c:v>
                </c:pt>
                <c:pt idx="1">
                  <c:v>0.37</c:v>
                </c:pt>
                <c:pt idx="2">
                  <c:v>0.16</c:v>
                </c:pt>
                <c:pt idx="3">
                  <c:v>0.33</c:v>
                </c:pt>
                <c:pt idx="4">
                  <c:v>0.2</c:v>
                </c:pt>
                <c:pt idx="5">
                  <c:v>0.41</c:v>
                </c:pt>
              </c:numCache>
            </c:numRef>
          </c:val>
          <c:extLst xmlns:c16r2="http://schemas.microsoft.com/office/drawing/2015/06/chart">
            <c:ext xmlns:c16="http://schemas.microsoft.com/office/drawing/2014/chart" uri="{C3380CC4-5D6E-409C-BE32-E72D297353CC}">
              <c16:uniqueId val="{00000004-523A-4124-AD98-E5F2A0FAE31D}"/>
            </c:ext>
          </c:extLst>
        </c:ser>
        <c:dLbls>
          <c:dLblPos val="ctr"/>
          <c:showLegendKey val="0"/>
          <c:showVal val="1"/>
          <c:showCatName val="0"/>
          <c:showSerName val="0"/>
          <c:showPercent val="0"/>
          <c:showBubbleSize val="0"/>
        </c:dLbls>
        <c:gapWidth val="100"/>
        <c:overlap val="100"/>
        <c:axId val="45326336"/>
        <c:axId val="45327872"/>
      </c:barChart>
      <c:catAx>
        <c:axId val="45326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5327872"/>
        <c:crosses val="autoZero"/>
        <c:auto val="1"/>
        <c:lblAlgn val="ctr"/>
        <c:lblOffset val="100"/>
        <c:noMultiLvlLbl val="0"/>
      </c:catAx>
      <c:valAx>
        <c:axId val="45327872"/>
        <c:scaling>
          <c:orientation val="minMax"/>
        </c:scaling>
        <c:delete val="1"/>
        <c:axPos val="l"/>
        <c:majorGridlines>
          <c:spPr>
            <a:ln w="9525" cap="flat" cmpd="sng" algn="ctr">
              <a:noFill/>
              <a:round/>
            </a:ln>
            <a:effectLst/>
          </c:spPr>
        </c:majorGridlines>
        <c:numFmt formatCode="0%" sourceLinked="1"/>
        <c:majorTickMark val="out"/>
        <c:minorTickMark val="none"/>
        <c:tickLblPos val="nextTo"/>
        <c:crossAx val="453263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28. Distribución por sexo y procesos selectivos </a:t>
            </a:r>
          </a:p>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0" i="1">
                <a:solidFill>
                  <a:srgbClr val="253746"/>
                </a:solidFill>
                <a:latin typeface="Arial" panose="020B0604020202020204" pitchFamily="34" charset="0"/>
                <a:cs typeface="Arial" panose="020B0604020202020204" pitchFamily="34" charset="0"/>
              </a:rPr>
              <a:t>(Personal Docente)</a:t>
            </a:r>
          </a:p>
        </c:rich>
      </c:tx>
      <c:layout>
        <c:manualLayout>
          <c:xMode val="edge"/>
          <c:yMode val="edge"/>
          <c:x val="0.14114434947768284"/>
          <c:y val="3.0232171391799165E-2"/>
        </c:manualLayout>
      </c:layout>
      <c:overlay val="0"/>
      <c:spPr>
        <a:noFill/>
        <a:ln>
          <a:noFill/>
        </a:ln>
        <a:effectLst/>
      </c:spPr>
    </c:title>
    <c:autoTitleDeleted val="0"/>
    <c:plotArea>
      <c:layout>
        <c:manualLayout>
          <c:layoutTarget val="inner"/>
          <c:xMode val="edge"/>
          <c:yMode val="edge"/>
          <c:x val="2.2972048365749148E-2"/>
          <c:y val="0.37976688864305186"/>
          <c:w val="0.95091209218505801"/>
          <c:h val="0.50743801652892562"/>
        </c:manualLayout>
      </c:layout>
      <c:barChart>
        <c:barDir val="col"/>
        <c:grouping val="percentStacked"/>
        <c:varyColors val="0"/>
        <c:ser>
          <c:idx val="0"/>
          <c:order val="0"/>
          <c:tx>
            <c:strRef>
              <c:f>Hoja1!$B$1</c:f>
              <c:strCache>
                <c:ptCount val="1"/>
                <c:pt idx="0">
                  <c:v>Mujeres</c:v>
                </c:pt>
              </c:strCache>
            </c:strRef>
          </c:tx>
          <c:spPr>
            <a:solidFill>
              <a:srgbClr val="78BE20"/>
            </a:solidFill>
            <a:ln w="19050">
              <a:solidFill>
                <a:srgbClr val="78BE20"/>
              </a:solidFill>
            </a:ln>
            <a:effectLst/>
          </c:spPr>
          <c:invertIfNegative val="0"/>
          <c:dPt>
            <c:idx val="0"/>
            <c:invertIfNegative val="0"/>
            <c:bubble3D val="0"/>
            <c:explosion val="1"/>
            <c:extLst xmlns:c16r2="http://schemas.microsoft.com/office/drawing/2015/06/chart">
              <c:ext xmlns:c16="http://schemas.microsoft.com/office/drawing/2014/chart" uri="{C3380CC4-5D6E-409C-BE32-E72D297353CC}">
                <c16:uniqueId val="{00000000-9672-4A1C-AA0F-B32A42FA801B}"/>
              </c:ext>
            </c:extLst>
          </c:dPt>
          <c:dPt>
            <c:idx val="1"/>
            <c:invertIfNegative val="0"/>
            <c:bubble3D val="0"/>
            <c:extLst xmlns:c16r2="http://schemas.microsoft.com/office/drawing/2015/06/chart">
              <c:ext xmlns:c16="http://schemas.microsoft.com/office/drawing/2014/chart" uri="{C3380CC4-5D6E-409C-BE32-E72D297353CC}">
                <c16:uniqueId val="{00000001-9672-4A1C-AA0F-B32A42FA801B}"/>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Primaria 2019</c:v>
                </c:pt>
                <c:pt idx="1">
                  <c:v>Secundaria 2018</c:v>
                </c:pt>
                <c:pt idx="2">
                  <c:v>Secundaria 2021</c:v>
                </c:pt>
                <c:pt idx="3">
                  <c:v>Inspección  2020</c:v>
                </c:pt>
              </c:strCache>
            </c:strRef>
          </c:cat>
          <c:val>
            <c:numRef>
              <c:f>Hoja1!$B$2:$B$5</c:f>
              <c:numCache>
                <c:formatCode>0%</c:formatCode>
                <c:ptCount val="4"/>
                <c:pt idx="0">
                  <c:v>0.8</c:v>
                </c:pt>
                <c:pt idx="1">
                  <c:v>0.6</c:v>
                </c:pt>
                <c:pt idx="2">
                  <c:v>0.64</c:v>
                </c:pt>
                <c:pt idx="3">
                  <c:v>0.5</c:v>
                </c:pt>
              </c:numCache>
            </c:numRef>
          </c:val>
          <c:extLst xmlns:c16r2="http://schemas.microsoft.com/office/drawing/2015/06/chart">
            <c:ext xmlns:c16="http://schemas.microsoft.com/office/drawing/2014/chart" uri="{C3380CC4-5D6E-409C-BE32-E72D297353CC}">
              <c16:uniqueId val="{00000002-9672-4A1C-AA0F-B32A42FA801B}"/>
            </c:ext>
          </c:extLst>
        </c:ser>
        <c:ser>
          <c:idx val="1"/>
          <c:order val="1"/>
          <c:tx>
            <c:strRef>
              <c:f>Hoja1!$C$1</c:f>
              <c:strCache>
                <c:ptCount val="1"/>
                <c:pt idx="0">
                  <c:v>Hombres</c:v>
                </c:pt>
              </c:strCache>
            </c:strRef>
          </c:tx>
          <c:spPr>
            <a:solidFill>
              <a:srgbClr val="253746"/>
            </a:solidFill>
            <a:ln w="19050">
              <a:solidFill>
                <a:srgbClr val="25374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Primaria 2019</c:v>
                </c:pt>
                <c:pt idx="1">
                  <c:v>Secundaria 2018</c:v>
                </c:pt>
                <c:pt idx="2">
                  <c:v>Secundaria 2021</c:v>
                </c:pt>
                <c:pt idx="3">
                  <c:v>Inspección  2020</c:v>
                </c:pt>
              </c:strCache>
            </c:strRef>
          </c:cat>
          <c:val>
            <c:numRef>
              <c:f>Hoja1!$C$2:$C$5</c:f>
              <c:numCache>
                <c:formatCode>0%</c:formatCode>
                <c:ptCount val="4"/>
                <c:pt idx="0">
                  <c:v>0.2</c:v>
                </c:pt>
                <c:pt idx="1">
                  <c:v>0.4</c:v>
                </c:pt>
                <c:pt idx="2">
                  <c:v>0.36</c:v>
                </c:pt>
                <c:pt idx="3">
                  <c:v>0.5</c:v>
                </c:pt>
              </c:numCache>
            </c:numRef>
          </c:val>
          <c:extLst xmlns:c16r2="http://schemas.microsoft.com/office/drawing/2015/06/chart">
            <c:ext xmlns:c16="http://schemas.microsoft.com/office/drawing/2014/chart" uri="{C3380CC4-5D6E-409C-BE32-E72D297353CC}">
              <c16:uniqueId val="{00000003-9672-4A1C-AA0F-B32A42FA801B}"/>
            </c:ext>
          </c:extLst>
        </c:ser>
        <c:dLbls>
          <c:dLblPos val="ctr"/>
          <c:showLegendKey val="0"/>
          <c:showVal val="1"/>
          <c:showCatName val="0"/>
          <c:showSerName val="0"/>
          <c:showPercent val="0"/>
          <c:showBubbleSize val="0"/>
        </c:dLbls>
        <c:gapWidth val="100"/>
        <c:overlap val="100"/>
        <c:axId val="45413120"/>
        <c:axId val="45414656"/>
      </c:barChart>
      <c:catAx>
        <c:axId val="454131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5414656"/>
        <c:crosses val="autoZero"/>
        <c:auto val="1"/>
        <c:lblAlgn val="ctr"/>
        <c:lblOffset val="100"/>
        <c:noMultiLvlLbl val="0"/>
      </c:catAx>
      <c:valAx>
        <c:axId val="45414656"/>
        <c:scaling>
          <c:orientation val="minMax"/>
        </c:scaling>
        <c:delete val="1"/>
        <c:axPos val="l"/>
        <c:majorGridlines>
          <c:spPr>
            <a:ln w="9525" cap="flat" cmpd="sng" algn="ctr">
              <a:noFill/>
              <a:round/>
            </a:ln>
            <a:effectLst/>
          </c:spPr>
        </c:majorGridlines>
        <c:numFmt formatCode="0%" sourceLinked="1"/>
        <c:majorTickMark val="out"/>
        <c:minorTickMark val="none"/>
        <c:tickLblPos val="nextTo"/>
        <c:crossAx val="45413120"/>
        <c:crosses val="autoZero"/>
        <c:crossBetween val="between"/>
      </c:valAx>
      <c:spPr>
        <a:noFill/>
        <a:ln>
          <a:noFill/>
        </a:ln>
        <a:effectLst/>
      </c:spPr>
    </c:plotArea>
    <c:legend>
      <c:legendPos val="t"/>
      <c:layout>
        <c:manualLayout>
          <c:xMode val="edge"/>
          <c:yMode val="edge"/>
          <c:x val="0.365287405313652"/>
          <c:y val="0.20482093663911846"/>
          <c:w val="0.27417352745436735"/>
          <c:h val="7.83435644924549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253746"/>
                </a:solidFill>
                <a:latin typeface="+mn-lt"/>
                <a:ea typeface="+mn-ea"/>
                <a:cs typeface="+mn-cs"/>
              </a:defRPr>
            </a:pPr>
            <a:r>
              <a:rPr lang="es-ES" sz="1200" b="1" i="1">
                <a:solidFill>
                  <a:srgbClr val="253746"/>
                </a:solidFill>
                <a:latin typeface="Arial" panose="020B0604020202020204" pitchFamily="34" charset="0"/>
                <a:cs typeface="Arial" panose="020B0604020202020204" pitchFamily="34" charset="0"/>
              </a:rPr>
              <a:t>Gráfica 29. Concentración por sexo y cargos </a:t>
            </a:r>
          </a:p>
          <a:p>
            <a:pPr>
              <a:defRPr sz="1200" b="1" i="0" u="none" strike="noStrike" kern="1200" spc="0" baseline="0">
                <a:solidFill>
                  <a:srgbClr val="253746"/>
                </a:solidFill>
                <a:latin typeface="+mn-lt"/>
                <a:ea typeface="+mn-ea"/>
                <a:cs typeface="+mn-cs"/>
              </a:defRPr>
            </a:pPr>
            <a:r>
              <a:rPr lang="es-ES" sz="1200" b="1" i="1">
                <a:solidFill>
                  <a:srgbClr val="253746"/>
                </a:solidFill>
                <a:latin typeface="Arial" panose="020B0604020202020204" pitchFamily="34" charset="0"/>
                <a:cs typeface="Arial" panose="020B0604020202020204" pitchFamily="34" charset="0"/>
              </a:rPr>
              <a:t>en Tribunales </a:t>
            </a:r>
            <a:r>
              <a:rPr lang="es-ES" sz="1200" b="0" i="1">
                <a:solidFill>
                  <a:srgbClr val="253746"/>
                </a:solidFill>
                <a:latin typeface="Arial" panose="020B0604020202020204" pitchFamily="34" charset="0"/>
                <a:cs typeface="Arial" panose="020B0604020202020204" pitchFamily="34" charset="0"/>
              </a:rPr>
              <a:t>(Servicios Generales)</a:t>
            </a:r>
          </a:p>
        </c:rich>
      </c:tx>
      <c:layout>
        <c:manualLayout>
          <c:xMode val="edge"/>
          <c:yMode val="edge"/>
          <c:x val="0.20879586077140169"/>
          <c:y val="2.4188671638782504E-2"/>
        </c:manualLayout>
      </c:layout>
      <c:overlay val="0"/>
      <c:spPr>
        <a:noFill/>
        <a:ln>
          <a:noFill/>
        </a:ln>
        <a:effectLst/>
      </c:spPr>
    </c:title>
    <c:autoTitleDeleted val="0"/>
    <c:plotArea>
      <c:layout/>
      <c:barChart>
        <c:barDir val="bar"/>
        <c:grouping val="percentStacked"/>
        <c:varyColors val="0"/>
        <c:ser>
          <c:idx val="0"/>
          <c:order val="0"/>
          <c:tx>
            <c:strRef>
              <c:f>Hoja1!$B$1</c:f>
              <c:strCache>
                <c:ptCount val="1"/>
                <c:pt idx="0">
                  <c:v>Presidencia</c:v>
                </c:pt>
              </c:strCache>
            </c:strRef>
          </c:tx>
          <c:spPr>
            <a:solidFill>
              <a:srgbClr val="B1E670"/>
            </a:solidFill>
            <a:ln>
              <a:solidFill>
                <a:srgbClr val="B1E67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Hoja1!$B$2:$B$3</c:f>
              <c:numCache>
                <c:formatCode>0%</c:formatCode>
                <c:ptCount val="2"/>
                <c:pt idx="0">
                  <c:v>0.09</c:v>
                </c:pt>
                <c:pt idx="1">
                  <c:v>0.32</c:v>
                </c:pt>
              </c:numCache>
            </c:numRef>
          </c:val>
          <c:extLst xmlns:c16r2="http://schemas.microsoft.com/office/drawing/2015/06/chart">
            <c:ext xmlns:c16="http://schemas.microsoft.com/office/drawing/2014/chart" uri="{C3380CC4-5D6E-409C-BE32-E72D297353CC}">
              <c16:uniqueId val="{00000000-4A85-4EEF-A71B-00B5C4E1F03D}"/>
            </c:ext>
          </c:extLst>
        </c:ser>
        <c:ser>
          <c:idx val="1"/>
          <c:order val="1"/>
          <c:tx>
            <c:strRef>
              <c:f>Hoja1!$C$1</c:f>
              <c:strCache>
                <c:ptCount val="1"/>
                <c:pt idx="0">
                  <c:v>Secretaría</c:v>
                </c:pt>
              </c:strCache>
            </c:strRef>
          </c:tx>
          <c:spPr>
            <a:solidFill>
              <a:srgbClr val="779AB7"/>
            </a:solidFill>
            <a:ln>
              <a:solidFill>
                <a:srgbClr val="779AB7"/>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Hoja1!$C$2:$C$3</c:f>
              <c:numCache>
                <c:formatCode>0%</c:formatCode>
                <c:ptCount val="2"/>
                <c:pt idx="0">
                  <c:v>0.19</c:v>
                </c:pt>
                <c:pt idx="1">
                  <c:v>0.21</c:v>
                </c:pt>
              </c:numCache>
            </c:numRef>
          </c:val>
          <c:extLst xmlns:c16r2="http://schemas.microsoft.com/office/drawing/2015/06/chart">
            <c:ext xmlns:c16="http://schemas.microsoft.com/office/drawing/2014/chart" uri="{C3380CC4-5D6E-409C-BE32-E72D297353CC}">
              <c16:uniqueId val="{00000001-4A85-4EEF-A71B-00B5C4E1F03D}"/>
            </c:ext>
          </c:extLst>
        </c:ser>
        <c:ser>
          <c:idx val="2"/>
          <c:order val="2"/>
          <c:tx>
            <c:strRef>
              <c:f>Hoja1!$D$1</c:f>
              <c:strCache>
                <c:ptCount val="1"/>
                <c:pt idx="0">
                  <c:v>Vocalía</c:v>
                </c:pt>
              </c:strCache>
            </c:strRef>
          </c:tx>
          <c:spPr>
            <a:solidFill>
              <a:srgbClr val="EAF8D8"/>
            </a:solidFill>
            <a:ln>
              <a:solidFill>
                <a:srgbClr val="EAF8D8"/>
              </a:solidFill>
            </a:ln>
            <a:effectLst/>
          </c:spPr>
          <c:invertIfNegative val="0"/>
          <c:dLbls>
            <c:dLbl>
              <c:idx val="1"/>
              <c:layout>
                <c:manualLayout>
                  <c:x val="0"/>
                  <c:y val="0"/>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E5B-44E9-B9F4-A49977D22AD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Hoja1!$D$2:$D$3</c:f>
              <c:numCache>
                <c:formatCode>0%</c:formatCode>
                <c:ptCount val="2"/>
                <c:pt idx="0">
                  <c:v>0.72</c:v>
                </c:pt>
                <c:pt idx="1">
                  <c:v>0.46</c:v>
                </c:pt>
              </c:numCache>
            </c:numRef>
          </c:val>
          <c:extLst xmlns:c16r2="http://schemas.microsoft.com/office/drawing/2015/06/chart">
            <c:ext xmlns:c16="http://schemas.microsoft.com/office/drawing/2014/chart" uri="{C3380CC4-5D6E-409C-BE32-E72D297353CC}">
              <c16:uniqueId val="{00000009-4A85-4EEF-A71B-00B5C4E1F03D}"/>
            </c:ext>
          </c:extLst>
        </c:ser>
        <c:dLbls>
          <c:dLblPos val="ctr"/>
          <c:showLegendKey val="0"/>
          <c:showVal val="1"/>
          <c:showCatName val="0"/>
          <c:showSerName val="0"/>
          <c:showPercent val="0"/>
          <c:showBubbleSize val="0"/>
        </c:dLbls>
        <c:gapWidth val="150"/>
        <c:overlap val="100"/>
        <c:axId val="45468672"/>
        <c:axId val="45486848"/>
      </c:barChart>
      <c:catAx>
        <c:axId val="45468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5486848"/>
        <c:crosses val="autoZero"/>
        <c:auto val="1"/>
        <c:lblAlgn val="ctr"/>
        <c:lblOffset val="100"/>
        <c:noMultiLvlLbl val="0"/>
      </c:catAx>
      <c:valAx>
        <c:axId val="45486848"/>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45468672"/>
        <c:crosses val="autoZero"/>
        <c:crossBetween val="between"/>
      </c:valAx>
      <c:spPr>
        <a:noFill/>
        <a:ln>
          <a:noFill/>
        </a:ln>
        <a:effectLst/>
      </c:spPr>
    </c:plotArea>
    <c:legend>
      <c:legendPos val="t"/>
      <c:layout>
        <c:manualLayout>
          <c:xMode val="edge"/>
          <c:yMode val="edge"/>
          <c:x val="0.27155354404782189"/>
          <c:y val="0.18387421890747832"/>
          <c:w val="0.45689291190435627"/>
          <c:h val="6.8789471261667776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3. Distribución por sexo de Servicios Generales y Personal Docente</a:t>
            </a:r>
          </a:p>
        </c:rich>
      </c:tx>
      <c:layout>
        <c:manualLayout>
          <c:xMode val="edge"/>
          <c:yMode val="edge"/>
          <c:x val="0.14114434947768284"/>
          <c:y val="2.5640889223566388E-2"/>
        </c:manualLayout>
      </c:layout>
      <c:overlay val="0"/>
      <c:spPr>
        <a:noFill/>
        <a:ln>
          <a:noFill/>
        </a:ln>
        <a:effectLst/>
      </c:spPr>
    </c:title>
    <c:autoTitleDeleted val="0"/>
    <c:plotArea>
      <c:layout>
        <c:manualLayout>
          <c:layoutTarget val="inner"/>
          <c:xMode val="edge"/>
          <c:yMode val="edge"/>
          <c:x val="9.657128863165608E-2"/>
          <c:y val="0.41190646623717492"/>
          <c:w val="0.87731285191915109"/>
          <c:h val="0.47529843893480256"/>
        </c:manualLayout>
      </c:layout>
      <c:barChart>
        <c:barDir val="col"/>
        <c:grouping val="percentStacked"/>
        <c:varyColors val="0"/>
        <c:ser>
          <c:idx val="0"/>
          <c:order val="0"/>
          <c:tx>
            <c:strRef>
              <c:f>Hoja1!$B$1</c:f>
              <c:strCache>
                <c:ptCount val="1"/>
                <c:pt idx="0">
                  <c:v>Mujeres</c:v>
                </c:pt>
              </c:strCache>
            </c:strRef>
          </c:tx>
          <c:spPr>
            <a:solidFill>
              <a:srgbClr val="78BE20"/>
            </a:solidFill>
            <a:ln w="19050">
              <a:solidFill>
                <a:srgbClr val="78BE20"/>
              </a:solidFill>
            </a:ln>
            <a:effectLst/>
          </c:spPr>
          <c:invertIfNegative val="0"/>
          <c:dPt>
            <c:idx val="0"/>
            <c:invertIfNegative val="0"/>
            <c:bubble3D val="0"/>
            <c:explosion val="1"/>
            <c:extLst xmlns:c16r2="http://schemas.microsoft.com/office/drawing/2015/06/chart">
              <c:ext xmlns:c16="http://schemas.microsoft.com/office/drawing/2014/chart" uri="{C3380CC4-5D6E-409C-BE32-E72D297353CC}">
                <c16:uniqueId val="{00000001-B5EA-4A9A-B8E9-B32EAE154353}"/>
              </c:ext>
            </c:extLst>
          </c:dPt>
          <c:dPt>
            <c:idx val="1"/>
            <c:invertIfNegative val="0"/>
            <c:bubble3D val="0"/>
            <c:extLst xmlns:c16r2="http://schemas.microsoft.com/office/drawing/2015/06/chart">
              <c:ext xmlns:c16="http://schemas.microsoft.com/office/drawing/2014/chart" uri="{C3380CC4-5D6E-409C-BE32-E72D297353CC}">
                <c16:uniqueId val="{00000003-B5EA-4A9A-B8E9-B32EAE154353}"/>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Servicios Generales</c:v>
                </c:pt>
                <c:pt idx="1">
                  <c:v>Personal Docente</c:v>
                </c:pt>
              </c:strCache>
            </c:strRef>
          </c:cat>
          <c:val>
            <c:numRef>
              <c:f>Hoja1!$B$2:$B$3</c:f>
              <c:numCache>
                <c:formatCode>0%</c:formatCode>
                <c:ptCount val="2"/>
                <c:pt idx="0">
                  <c:v>0.66</c:v>
                </c:pt>
                <c:pt idx="1">
                  <c:v>0.7</c:v>
                </c:pt>
              </c:numCache>
            </c:numRef>
          </c:val>
          <c:extLst xmlns:c16r2="http://schemas.microsoft.com/office/drawing/2015/06/chart">
            <c:ext xmlns:c16="http://schemas.microsoft.com/office/drawing/2014/chart" uri="{C3380CC4-5D6E-409C-BE32-E72D297353CC}">
              <c16:uniqueId val="{00000004-B5EA-4A9A-B8E9-B32EAE154353}"/>
            </c:ext>
          </c:extLst>
        </c:ser>
        <c:ser>
          <c:idx val="1"/>
          <c:order val="1"/>
          <c:tx>
            <c:strRef>
              <c:f>Hoja1!$C$1</c:f>
              <c:strCache>
                <c:ptCount val="1"/>
                <c:pt idx="0">
                  <c:v>Hombres</c:v>
                </c:pt>
              </c:strCache>
            </c:strRef>
          </c:tx>
          <c:spPr>
            <a:solidFill>
              <a:srgbClr val="253746"/>
            </a:solidFill>
            <a:ln w="19050">
              <a:solidFill>
                <a:srgbClr val="25374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Servicios Generales</c:v>
                </c:pt>
                <c:pt idx="1">
                  <c:v>Personal Docente</c:v>
                </c:pt>
              </c:strCache>
            </c:strRef>
          </c:cat>
          <c:val>
            <c:numRef>
              <c:f>Hoja1!$C$2:$C$3</c:f>
              <c:numCache>
                <c:formatCode>0%</c:formatCode>
                <c:ptCount val="2"/>
                <c:pt idx="0">
                  <c:v>0.34</c:v>
                </c:pt>
                <c:pt idx="1">
                  <c:v>0.3</c:v>
                </c:pt>
              </c:numCache>
            </c:numRef>
          </c:val>
          <c:extLst xmlns:c16r2="http://schemas.microsoft.com/office/drawing/2015/06/chart">
            <c:ext xmlns:c16="http://schemas.microsoft.com/office/drawing/2014/chart" uri="{C3380CC4-5D6E-409C-BE32-E72D297353CC}">
              <c16:uniqueId val="{00000006-B5EA-4A9A-B8E9-B32EAE154353}"/>
            </c:ext>
          </c:extLst>
        </c:ser>
        <c:dLbls>
          <c:dLblPos val="ctr"/>
          <c:showLegendKey val="0"/>
          <c:showVal val="1"/>
          <c:showCatName val="0"/>
          <c:showSerName val="0"/>
          <c:showPercent val="0"/>
          <c:showBubbleSize val="0"/>
        </c:dLbls>
        <c:gapWidth val="100"/>
        <c:overlap val="100"/>
        <c:axId val="42530688"/>
        <c:axId val="42532224"/>
      </c:barChart>
      <c:catAx>
        <c:axId val="425306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2532224"/>
        <c:crosses val="autoZero"/>
        <c:auto val="1"/>
        <c:lblAlgn val="ctr"/>
        <c:lblOffset val="100"/>
        <c:noMultiLvlLbl val="0"/>
      </c:catAx>
      <c:valAx>
        <c:axId val="42532224"/>
        <c:scaling>
          <c:orientation val="minMax"/>
        </c:scaling>
        <c:delete val="1"/>
        <c:axPos val="l"/>
        <c:majorGridlines>
          <c:spPr>
            <a:ln w="9525" cap="flat" cmpd="sng" algn="ctr">
              <a:noFill/>
              <a:round/>
            </a:ln>
            <a:effectLst/>
          </c:spPr>
        </c:majorGridlines>
        <c:numFmt formatCode="0%" sourceLinked="1"/>
        <c:majorTickMark val="out"/>
        <c:minorTickMark val="none"/>
        <c:tickLblPos val="nextTo"/>
        <c:crossAx val="425306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100" b="1" i="1">
                <a:solidFill>
                  <a:srgbClr val="253746"/>
                </a:solidFill>
                <a:latin typeface="Arial" panose="020B0604020202020204" pitchFamily="34" charset="0"/>
                <a:cs typeface="Arial" panose="020B0604020202020204" pitchFamily="34" charset="0"/>
              </a:rPr>
              <a:t>Grafica 30. Distribución por sexo de las solicitudes</a:t>
            </a:r>
            <a:r>
              <a:rPr lang="en-US" sz="1100" b="1" i="1" baseline="0">
                <a:solidFill>
                  <a:srgbClr val="253746"/>
                </a:solidFill>
                <a:latin typeface="Arial" panose="020B0604020202020204" pitchFamily="34" charset="0"/>
                <a:cs typeface="Arial" panose="020B0604020202020204" pitchFamily="34" charset="0"/>
              </a:rPr>
              <a:t> cursadas</a:t>
            </a:r>
            <a:endParaRPr lang="en-US" sz="1100" b="1" i="1">
              <a:solidFill>
                <a:srgbClr val="253746"/>
              </a:solidFill>
              <a:latin typeface="Arial" panose="020B0604020202020204" pitchFamily="34" charset="0"/>
              <a:cs typeface="Arial" panose="020B0604020202020204" pitchFamily="34" charset="0"/>
            </a:endParaRPr>
          </a:p>
        </c:rich>
      </c:tx>
      <c:layout>
        <c:manualLayout>
          <c:xMode val="edge"/>
          <c:yMode val="edge"/>
          <c:x val="0.14114434947768284"/>
          <c:y val="2.5640889223566388E-2"/>
        </c:manualLayout>
      </c:layout>
      <c:overlay val="0"/>
      <c:spPr>
        <a:noFill/>
        <a:ln>
          <a:noFill/>
        </a:ln>
        <a:effectLst/>
      </c:spPr>
    </c:title>
    <c:autoTitleDeleted val="0"/>
    <c:plotArea>
      <c:layout>
        <c:manualLayout>
          <c:layoutTarget val="inner"/>
          <c:xMode val="edge"/>
          <c:yMode val="edge"/>
          <c:x val="1.5849541243242022E-2"/>
          <c:y val="0.36140141573212436"/>
          <c:w val="0.95803459930756518"/>
          <c:h val="0.52580348943985311"/>
        </c:manualLayout>
      </c:layout>
      <c:barChart>
        <c:barDir val="col"/>
        <c:grouping val="percentStacked"/>
        <c:varyColors val="0"/>
        <c:ser>
          <c:idx val="0"/>
          <c:order val="0"/>
          <c:tx>
            <c:strRef>
              <c:f>Hoja1!$B$1</c:f>
              <c:strCache>
                <c:ptCount val="1"/>
                <c:pt idx="0">
                  <c:v>Mujeres</c:v>
                </c:pt>
              </c:strCache>
            </c:strRef>
          </c:tx>
          <c:spPr>
            <a:solidFill>
              <a:srgbClr val="78BE20"/>
            </a:solidFill>
            <a:ln w="19050">
              <a:solidFill>
                <a:srgbClr val="78BE20"/>
              </a:solidFill>
            </a:ln>
            <a:effectLst/>
          </c:spPr>
          <c:invertIfNegative val="0"/>
          <c:dPt>
            <c:idx val="0"/>
            <c:invertIfNegative val="0"/>
            <c:bubble3D val="0"/>
            <c:explosion val="1"/>
            <c:extLst xmlns:c16r2="http://schemas.microsoft.com/office/drawing/2015/06/chart">
              <c:ext xmlns:c16="http://schemas.microsoft.com/office/drawing/2014/chart" uri="{C3380CC4-5D6E-409C-BE32-E72D297353CC}">
                <c16:uniqueId val="{00000000-E613-4B01-9835-25B829580976}"/>
              </c:ext>
            </c:extLst>
          </c:dPt>
          <c:dPt>
            <c:idx val="1"/>
            <c:invertIfNegative val="0"/>
            <c:bubble3D val="0"/>
            <c:extLst xmlns:c16r2="http://schemas.microsoft.com/office/drawing/2015/06/chart">
              <c:ext xmlns:c16="http://schemas.microsoft.com/office/drawing/2014/chart" uri="{C3380CC4-5D6E-409C-BE32-E72D297353CC}">
                <c16:uniqueId val="{00000001-E613-4B01-9835-25B82958097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Servicios Generales</c:v>
                </c:pt>
                <c:pt idx="1">
                  <c:v>Personal Docente</c:v>
                </c:pt>
              </c:strCache>
            </c:strRef>
          </c:cat>
          <c:val>
            <c:numRef>
              <c:f>Hoja1!$B$2:$B$3</c:f>
              <c:numCache>
                <c:formatCode>0%</c:formatCode>
                <c:ptCount val="2"/>
                <c:pt idx="0">
                  <c:v>0.68</c:v>
                </c:pt>
                <c:pt idx="1">
                  <c:v>0.75</c:v>
                </c:pt>
              </c:numCache>
            </c:numRef>
          </c:val>
          <c:extLst xmlns:c16r2="http://schemas.microsoft.com/office/drawing/2015/06/chart">
            <c:ext xmlns:c16="http://schemas.microsoft.com/office/drawing/2014/chart" uri="{C3380CC4-5D6E-409C-BE32-E72D297353CC}">
              <c16:uniqueId val="{00000002-E613-4B01-9835-25B829580976}"/>
            </c:ext>
          </c:extLst>
        </c:ser>
        <c:ser>
          <c:idx val="1"/>
          <c:order val="1"/>
          <c:tx>
            <c:strRef>
              <c:f>Hoja1!$C$1</c:f>
              <c:strCache>
                <c:ptCount val="1"/>
                <c:pt idx="0">
                  <c:v>Hombres</c:v>
                </c:pt>
              </c:strCache>
            </c:strRef>
          </c:tx>
          <c:spPr>
            <a:solidFill>
              <a:srgbClr val="253746"/>
            </a:solidFill>
            <a:ln w="19050">
              <a:solidFill>
                <a:srgbClr val="25374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Servicios Generales</c:v>
                </c:pt>
                <c:pt idx="1">
                  <c:v>Personal Docente</c:v>
                </c:pt>
              </c:strCache>
            </c:strRef>
          </c:cat>
          <c:val>
            <c:numRef>
              <c:f>Hoja1!$C$2:$C$3</c:f>
              <c:numCache>
                <c:formatCode>0%</c:formatCode>
                <c:ptCount val="2"/>
                <c:pt idx="0">
                  <c:v>0.32</c:v>
                </c:pt>
                <c:pt idx="1">
                  <c:v>0.25</c:v>
                </c:pt>
              </c:numCache>
            </c:numRef>
          </c:val>
          <c:extLst xmlns:c16r2="http://schemas.microsoft.com/office/drawing/2015/06/chart">
            <c:ext xmlns:c16="http://schemas.microsoft.com/office/drawing/2014/chart" uri="{C3380CC4-5D6E-409C-BE32-E72D297353CC}">
              <c16:uniqueId val="{00000003-E613-4B01-9835-25B829580976}"/>
            </c:ext>
          </c:extLst>
        </c:ser>
        <c:dLbls>
          <c:dLblPos val="ctr"/>
          <c:showLegendKey val="0"/>
          <c:showVal val="1"/>
          <c:showCatName val="0"/>
          <c:showSerName val="0"/>
          <c:showPercent val="0"/>
          <c:showBubbleSize val="0"/>
        </c:dLbls>
        <c:gapWidth val="100"/>
        <c:overlap val="100"/>
        <c:axId val="45594880"/>
        <c:axId val="45600768"/>
      </c:barChart>
      <c:catAx>
        <c:axId val="455948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5600768"/>
        <c:crosses val="autoZero"/>
        <c:auto val="1"/>
        <c:lblAlgn val="ctr"/>
        <c:lblOffset val="100"/>
        <c:noMultiLvlLbl val="0"/>
      </c:catAx>
      <c:valAx>
        <c:axId val="45600768"/>
        <c:scaling>
          <c:orientation val="minMax"/>
        </c:scaling>
        <c:delete val="1"/>
        <c:axPos val="l"/>
        <c:majorGridlines>
          <c:spPr>
            <a:ln w="9525" cap="flat" cmpd="sng" algn="ctr">
              <a:noFill/>
              <a:round/>
            </a:ln>
            <a:effectLst/>
          </c:spPr>
        </c:majorGridlines>
        <c:numFmt formatCode="0%" sourceLinked="1"/>
        <c:majorTickMark val="out"/>
        <c:minorTickMark val="none"/>
        <c:tickLblPos val="nextTo"/>
        <c:crossAx val="45594880"/>
        <c:crosses val="autoZero"/>
        <c:crossBetween val="between"/>
      </c:valAx>
      <c:spPr>
        <a:noFill/>
        <a:ln>
          <a:noFill/>
        </a:ln>
        <a:effectLst/>
      </c:spPr>
    </c:plotArea>
    <c:legend>
      <c:legendPos val="t"/>
      <c:layout>
        <c:manualLayout>
          <c:xMode val="edge"/>
          <c:yMode val="edge"/>
          <c:x val="0.3629132362728163"/>
          <c:y val="0.15449954086317721"/>
          <c:w val="0.27417352745436735"/>
          <c:h val="7.834356449245497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31. Distribución por sexo y Grupo en las solicitudes</a:t>
            </a:r>
            <a:r>
              <a:rPr lang="en-US" sz="1200" b="1" i="1" baseline="0">
                <a:solidFill>
                  <a:srgbClr val="253746"/>
                </a:solidFill>
                <a:latin typeface="Arial" panose="020B0604020202020204" pitchFamily="34" charset="0"/>
                <a:cs typeface="Arial" panose="020B0604020202020204" pitchFamily="34" charset="0"/>
              </a:rPr>
              <a:t> de formación cursadas</a:t>
            </a:r>
            <a:r>
              <a:rPr lang="en-US" sz="1200" b="1" i="1">
                <a:solidFill>
                  <a:srgbClr val="253746"/>
                </a:solidFill>
                <a:latin typeface="Arial" panose="020B0604020202020204" pitchFamily="34" charset="0"/>
                <a:cs typeface="Arial" panose="020B0604020202020204" pitchFamily="34" charset="0"/>
              </a:rPr>
              <a:t> </a:t>
            </a:r>
          </a:p>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0" i="1">
                <a:solidFill>
                  <a:srgbClr val="253746"/>
                </a:solidFill>
                <a:latin typeface="Arial" panose="020B0604020202020204" pitchFamily="34" charset="0"/>
                <a:cs typeface="Arial" panose="020B0604020202020204" pitchFamily="34" charset="0"/>
              </a:rPr>
              <a:t>(Servicios Generales)</a:t>
            </a:r>
          </a:p>
        </c:rich>
      </c:tx>
      <c:layout>
        <c:manualLayout>
          <c:xMode val="edge"/>
          <c:yMode val="edge"/>
          <c:x val="0.22186609686609687"/>
          <c:y val="2.5640803164067302E-2"/>
        </c:manualLayout>
      </c:layout>
      <c:overlay val="0"/>
      <c:spPr>
        <a:noFill/>
        <a:ln>
          <a:noFill/>
        </a:ln>
        <a:effectLst/>
      </c:spPr>
    </c:title>
    <c:autoTitleDeleted val="0"/>
    <c:plotArea>
      <c:layout>
        <c:manualLayout>
          <c:layoutTarget val="inner"/>
          <c:xMode val="edge"/>
          <c:yMode val="edge"/>
          <c:x val="9.657128863165608E-2"/>
          <c:y val="0.36140141573212436"/>
          <c:w val="0.87731285191915109"/>
          <c:h val="0.52580348943985311"/>
        </c:manualLayout>
      </c:layout>
      <c:barChart>
        <c:barDir val="col"/>
        <c:grouping val="percentStacked"/>
        <c:varyColors val="0"/>
        <c:ser>
          <c:idx val="0"/>
          <c:order val="0"/>
          <c:tx>
            <c:strRef>
              <c:f>Hoja1!$B$1</c:f>
              <c:strCache>
                <c:ptCount val="1"/>
                <c:pt idx="0">
                  <c:v>Mujeres</c:v>
                </c:pt>
              </c:strCache>
            </c:strRef>
          </c:tx>
          <c:spPr>
            <a:solidFill>
              <a:srgbClr val="78BE20"/>
            </a:solidFill>
            <a:ln w="19050">
              <a:solidFill>
                <a:srgbClr val="78BE20"/>
              </a:solidFill>
            </a:ln>
            <a:effectLst/>
          </c:spPr>
          <c:invertIfNegative val="0"/>
          <c:dPt>
            <c:idx val="0"/>
            <c:invertIfNegative val="0"/>
            <c:bubble3D val="0"/>
            <c:explosion val="1"/>
            <c:extLst xmlns:c16r2="http://schemas.microsoft.com/office/drawing/2015/06/chart">
              <c:ext xmlns:c16="http://schemas.microsoft.com/office/drawing/2014/chart" uri="{C3380CC4-5D6E-409C-BE32-E72D297353CC}">
                <c16:uniqueId val="{00000000-7350-4739-A6A2-BD29AAF6B6AD}"/>
              </c:ext>
            </c:extLst>
          </c:dPt>
          <c:dPt>
            <c:idx val="1"/>
            <c:invertIfNegative val="0"/>
            <c:bubble3D val="0"/>
            <c:extLst xmlns:c16r2="http://schemas.microsoft.com/office/drawing/2015/06/chart">
              <c:ext xmlns:c16="http://schemas.microsoft.com/office/drawing/2014/chart" uri="{C3380CC4-5D6E-409C-BE32-E72D297353CC}">
                <c16:uniqueId val="{00000001-7350-4739-A6A2-BD29AAF6B6AD}"/>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Grupo A1</c:v>
                </c:pt>
                <c:pt idx="1">
                  <c:v>Grupo A2</c:v>
                </c:pt>
                <c:pt idx="2">
                  <c:v>Grupo C1</c:v>
                </c:pt>
                <c:pt idx="3">
                  <c:v>Grupo C2</c:v>
                </c:pt>
                <c:pt idx="4">
                  <c:v>Grupo E</c:v>
                </c:pt>
              </c:strCache>
            </c:strRef>
          </c:cat>
          <c:val>
            <c:numRef>
              <c:f>Hoja1!$B$2:$B$6</c:f>
              <c:numCache>
                <c:formatCode>0%</c:formatCode>
                <c:ptCount val="5"/>
                <c:pt idx="0">
                  <c:v>0.64</c:v>
                </c:pt>
                <c:pt idx="1">
                  <c:v>0.65</c:v>
                </c:pt>
                <c:pt idx="2">
                  <c:v>0.61</c:v>
                </c:pt>
                <c:pt idx="3">
                  <c:v>0.79</c:v>
                </c:pt>
                <c:pt idx="4">
                  <c:v>0.44</c:v>
                </c:pt>
              </c:numCache>
            </c:numRef>
          </c:val>
          <c:extLst xmlns:c16r2="http://schemas.microsoft.com/office/drawing/2015/06/chart">
            <c:ext xmlns:c16="http://schemas.microsoft.com/office/drawing/2014/chart" uri="{C3380CC4-5D6E-409C-BE32-E72D297353CC}">
              <c16:uniqueId val="{00000002-7350-4739-A6A2-BD29AAF6B6AD}"/>
            </c:ext>
          </c:extLst>
        </c:ser>
        <c:ser>
          <c:idx val="1"/>
          <c:order val="1"/>
          <c:tx>
            <c:strRef>
              <c:f>Hoja1!$C$1</c:f>
              <c:strCache>
                <c:ptCount val="1"/>
                <c:pt idx="0">
                  <c:v>Hombres</c:v>
                </c:pt>
              </c:strCache>
            </c:strRef>
          </c:tx>
          <c:spPr>
            <a:solidFill>
              <a:srgbClr val="253746"/>
            </a:solidFill>
            <a:ln w="19050">
              <a:solidFill>
                <a:srgbClr val="25374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Grupo A1</c:v>
                </c:pt>
                <c:pt idx="1">
                  <c:v>Grupo A2</c:v>
                </c:pt>
                <c:pt idx="2">
                  <c:v>Grupo C1</c:v>
                </c:pt>
                <c:pt idx="3">
                  <c:v>Grupo C2</c:v>
                </c:pt>
                <c:pt idx="4">
                  <c:v>Grupo E</c:v>
                </c:pt>
              </c:strCache>
            </c:strRef>
          </c:cat>
          <c:val>
            <c:numRef>
              <c:f>Hoja1!$C$2:$C$6</c:f>
              <c:numCache>
                <c:formatCode>0%</c:formatCode>
                <c:ptCount val="5"/>
                <c:pt idx="0">
                  <c:v>0.36</c:v>
                </c:pt>
                <c:pt idx="1">
                  <c:v>0.35</c:v>
                </c:pt>
                <c:pt idx="2">
                  <c:v>0.39</c:v>
                </c:pt>
                <c:pt idx="3">
                  <c:v>0.21</c:v>
                </c:pt>
                <c:pt idx="4">
                  <c:v>0.56000000000000005</c:v>
                </c:pt>
              </c:numCache>
            </c:numRef>
          </c:val>
          <c:extLst xmlns:c16r2="http://schemas.microsoft.com/office/drawing/2015/06/chart">
            <c:ext xmlns:c16="http://schemas.microsoft.com/office/drawing/2014/chart" uri="{C3380CC4-5D6E-409C-BE32-E72D297353CC}">
              <c16:uniqueId val="{00000003-7350-4739-A6A2-BD29AAF6B6AD}"/>
            </c:ext>
          </c:extLst>
        </c:ser>
        <c:dLbls>
          <c:dLblPos val="ctr"/>
          <c:showLegendKey val="0"/>
          <c:showVal val="1"/>
          <c:showCatName val="0"/>
          <c:showSerName val="0"/>
          <c:showPercent val="0"/>
          <c:showBubbleSize val="0"/>
        </c:dLbls>
        <c:gapWidth val="100"/>
        <c:overlap val="100"/>
        <c:axId val="45440384"/>
        <c:axId val="45679744"/>
      </c:barChart>
      <c:catAx>
        <c:axId val="454403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5679744"/>
        <c:crosses val="autoZero"/>
        <c:auto val="1"/>
        <c:lblAlgn val="ctr"/>
        <c:lblOffset val="100"/>
        <c:noMultiLvlLbl val="0"/>
      </c:catAx>
      <c:valAx>
        <c:axId val="45679744"/>
        <c:scaling>
          <c:orientation val="minMax"/>
        </c:scaling>
        <c:delete val="1"/>
        <c:axPos val="l"/>
        <c:majorGridlines>
          <c:spPr>
            <a:ln w="9525" cap="flat" cmpd="sng" algn="ctr">
              <a:noFill/>
              <a:round/>
            </a:ln>
            <a:effectLst/>
          </c:spPr>
        </c:majorGridlines>
        <c:numFmt formatCode="0%" sourceLinked="1"/>
        <c:majorTickMark val="out"/>
        <c:minorTickMark val="none"/>
        <c:tickLblPos val="nextTo"/>
        <c:crossAx val="454403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32. Distribución por sexo de las </a:t>
            </a:r>
          </a:p>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solicitudes</a:t>
            </a:r>
            <a:r>
              <a:rPr lang="en-US" sz="1200" b="1" i="1" baseline="0">
                <a:solidFill>
                  <a:srgbClr val="253746"/>
                </a:solidFill>
                <a:latin typeface="Arial" panose="020B0604020202020204" pitchFamily="34" charset="0"/>
                <a:cs typeface="Arial" panose="020B0604020202020204" pitchFamily="34" charset="0"/>
              </a:rPr>
              <a:t> aceptadas</a:t>
            </a:r>
            <a:endParaRPr lang="en-US" sz="1200" b="1" i="1">
              <a:solidFill>
                <a:srgbClr val="253746"/>
              </a:solidFill>
              <a:latin typeface="Arial" panose="020B0604020202020204" pitchFamily="34" charset="0"/>
              <a:cs typeface="Arial" panose="020B0604020202020204" pitchFamily="34" charset="0"/>
            </a:endParaRPr>
          </a:p>
        </c:rich>
      </c:tx>
      <c:layout>
        <c:manualLayout>
          <c:xMode val="edge"/>
          <c:yMode val="edge"/>
          <c:x val="0.21474358974358973"/>
          <c:y val="2.5640803164067302E-2"/>
        </c:manualLayout>
      </c:layout>
      <c:overlay val="0"/>
      <c:spPr>
        <a:noFill/>
        <a:ln>
          <a:noFill/>
        </a:ln>
        <a:effectLst/>
      </c:spPr>
    </c:title>
    <c:autoTitleDeleted val="0"/>
    <c:plotArea>
      <c:layout>
        <c:manualLayout>
          <c:layoutTarget val="inner"/>
          <c:xMode val="edge"/>
          <c:yMode val="edge"/>
          <c:x val="9.657128863165608E-2"/>
          <c:y val="0.37976688864305186"/>
          <c:w val="0.87731285191915109"/>
          <c:h val="0.50743801652892562"/>
        </c:manualLayout>
      </c:layout>
      <c:barChart>
        <c:barDir val="col"/>
        <c:grouping val="percentStacked"/>
        <c:varyColors val="0"/>
        <c:ser>
          <c:idx val="0"/>
          <c:order val="0"/>
          <c:tx>
            <c:strRef>
              <c:f>Hoja1!$B$1</c:f>
              <c:strCache>
                <c:ptCount val="1"/>
                <c:pt idx="0">
                  <c:v>Mujeres</c:v>
                </c:pt>
              </c:strCache>
            </c:strRef>
          </c:tx>
          <c:spPr>
            <a:solidFill>
              <a:srgbClr val="78BE20"/>
            </a:solidFill>
            <a:ln w="19050">
              <a:solidFill>
                <a:srgbClr val="78BE20"/>
              </a:solidFill>
            </a:ln>
            <a:effectLst/>
          </c:spPr>
          <c:invertIfNegative val="0"/>
          <c:dPt>
            <c:idx val="0"/>
            <c:invertIfNegative val="0"/>
            <c:bubble3D val="0"/>
            <c:explosion val="1"/>
            <c:extLst xmlns:c16r2="http://schemas.microsoft.com/office/drawing/2015/06/chart">
              <c:ext xmlns:c16="http://schemas.microsoft.com/office/drawing/2014/chart" uri="{C3380CC4-5D6E-409C-BE32-E72D297353CC}">
                <c16:uniqueId val="{00000000-A063-4500-ABF7-73AAF161CE26}"/>
              </c:ext>
            </c:extLst>
          </c:dPt>
          <c:dPt>
            <c:idx val="1"/>
            <c:invertIfNegative val="0"/>
            <c:bubble3D val="0"/>
            <c:extLst xmlns:c16r2="http://schemas.microsoft.com/office/drawing/2015/06/chart">
              <c:ext xmlns:c16="http://schemas.microsoft.com/office/drawing/2014/chart" uri="{C3380CC4-5D6E-409C-BE32-E72D297353CC}">
                <c16:uniqueId val="{00000001-A063-4500-ABF7-73AAF161CE2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Servicios Generales</c:v>
                </c:pt>
                <c:pt idx="1">
                  <c:v>Personal Docente</c:v>
                </c:pt>
              </c:strCache>
            </c:strRef>
          </c:cat>
          <c:val>
            <c:numRef>
              <c:f>Hoja1!$B$2:$B$3</c:f>
              <c:numCache>
                <c:formatCode>0%</c:formatCode>
                <c:ptCount val="2"/>
                <c:pt idx="0">
                  <c:v>0.65</c:v>
                </c:pt>
                <c:pt idx="1">
                  <c:v>0.74</c:v>
                </c:pt>
              </c:numCache>
            </c:numRef>
          </c:val>
          <c:extLst xmlns:c16r2="http://schemas.microsoft.com/office/drawing/2015/06/chart">
            <c:ext xmlns:c16="http://schemas.microsoft.com/office/drawing/2014/chart" uri="{C3380CC4-5D6E-409C-BE32-E72D297353CC}">
              <c16:uniqueId val="{00000002-A063-4500-ABF7-73AAF161CE26}"/>
            </c:ext>
          </c:extLst>
        </c:ser>
        <c:ser>
          <c:idx val="1"/>
          <c:order val="1"/>
          <c:tx>
            <c:strRef>
              <c:f>Hoja1!$C$1</c:f>
              <c:strCache>
                <c:ptCount val="1"/>
                <c:pt idx="0">
                  <c:v>Hombres</c:v>
                </c:pt>
              </c:strCache>
            </c:strRef>
          </c:tx>
          <c:spPr>
            <a:solidFill>
              <a:srgbClr val="253746"/>
            </a:solidFill>
            <a:ln w="19050">
              <a:solidFill>
                <a:srgbClr val="25374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Servicios Generales</c:v>
                </c:pt>
                <c:pt idx="1">
                  <c:v>Personal Docente</c:v>
                </c:pt>
              </c:strCache>
            </c:strRef>
          </c:cat>
          <c:val>
            <c:numRef>
              <c:f>Hoja1!$C$2:$C$3</c:f>
              <c:numCache>
                <c:formatCode>0%</c:formatCode>
                <c:ptCount val="2"/>
                <c:pt idx="0">
                  <c:v>0.35</c:v>
                </c:pt>
                <c:pt idx="1">
                  <c:v>0.26</c:v>
                </c:pt>
              </c:numCache>
            </c:numRef>
          </c:val>
          <c:extLst xmlns:c16r2="http://schemas.microsoft.com/office/drawing/2015/06/chart">
            <c:ext xmlns:c16="http://schemas.microsoft.com/office/drawing/2014/chart" uri="{C3380CC4-5D6E-409C-BE32-E72D297353CC}">
              <c16:uniqueId val="{00000003-A063-4500-ABF7-73AAF161CE26}"/>
            </c:ext>
          </c:extLst>
        </c:ser>
        <c:dLbls>
          <c:dLblPos val="ctr"/>
          <c:showLegendKey val="0"/>
          <c:showVal val="1"/>
          <c:showCatName val="0"/>
          <c:showSerName val="0"/>
          <c:showPercent val="0"/>
          <c:showBubbleSize val="0"/>
        </c:dLbls>
        <c:gapWidth val="100"/>
        <c:overlap val="100"/>
        <c:axId val="45732608"/>
        <c:axId val="45734144"/>
      </c:barChart>
      <c:catAx>
        <c:axId val="45732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5734144"/>
        <c:crosses val="autoZero"/>
        <c:auto val="1"/>
        <c:lblAlgn val="ctr"/>
        <c:lblOffset val="100"/>
        <c:noMultiLvlLbl val="0"/>
      </c:catAx>
      <c:valAx>
        <c:axId val="45734144"/>
        <c:scaling>
          <c:orientation val="minMax"/>
        </c:scaling>
        <c:delete val="1"/>
        <c:axPos val="l"/>
        <c:majorGridlines>
          <c:spPr>
            <a:ln w="9525" cap="flat" cmpd="sng" algn="ctr">
              <a:noFill/>
              <a:round/>
            </a:ln>
            <a:effectLst/>
          </c:spPr>
        </c:majorGridlines>
        <c:numFmt formatCode="0%" sourceLinked="1"/>
        <c:majorTickMark val="out"/>
        <c:minorTickMark val="none"/>
        <c:tickLblPos val="nextTo"/>
        <c:crossAx val="457326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33. Distribución por sexo de las personas diplomadas</a:t>
            </a:r>
          </a:p>
        </c:rich>
      </c:tx>
      <c:layout>
        <c:manualLayout>
          <c:xMode val="edge"/>
          <c:yMode val="edge"/>
          <c:x val="0.14114434947768284"/>
          <c:y val="2.5640889223566388E-2"/>
        </c:manualLayout>
      </c:layout>
      <c:overlay val="0"/>
      <c:spPr>
        <a:noFill/>
        <a:ln>
          <a:noFill/>
        </a:ln>
        <a:effectLst/>
      </c:spPr>
    </c:title>
    <c:autoTitleDeleted val="0"/>
    <c:plotArea>
      <c:layout>
        <c:manualLayout>
          <c:layoutTarget val="inner"/>
          <c:xMode val="edge"/>
          <c:yMode val="edge"/>
          <c:x val="3.2468724529091976E-2"/>
          <c:y val="0.31089636522707392"/>
          <c:w val="0.94141541602171519"/>
          <c:h val="0.57630853994490361"/>
        </c:manualLayout>
      </c:layout>
      <c:barChart>
        <c:barDir val="col"/>
        <c:grouping val="percentStacked"/>
        <c:varyColors val="0"/>
        <c:ser>
          <c:idx val="0"/>
          <c:order val="0"/>
          <c:tx>
            <c:strRef>
              <c:f>Hoja1!$B$1</c:f>
              <c:strCache>
                <c:ptCount val="1"/>
                <c:pt idx="0">
                  <c:v>Mujeres</c:v>
                </c:pt>
              </c:strCache>
            </c:strRef>
          </c:tx>
          <c:spPr>
            <a:solidFill>
              <a:srgbClr val="78BE20"/>
            </a:solidFill>
            <a:ln w="19050">
              <a:solidFill>
                <a:srgbClr val="78BE20"/>
              </a:solidFill>
            </a:ln>
            <a:effectLst/>
          </c:spPr>
          <c:invertIfNegative val="0"/>
          <c:dPt>
            <c:idx val="0"/>
            <c:invertIfNegative val="0"/>
            <c:bubble3D val="0"/>
            <c:explosion val="1"/>
            <c:extLst xmlns:c16r2="http://schemas.microsoft.com/office/drawing/2015/06/chart">
              <c:ext xmlns:c16="http://schemas.microsoft.com/office/drawing/2014/chart" uri="{C3380CC4-5D6E-409C-BE32-E72D297353CC}">
                <c16:uniqueId val="{00000000-33FC-48AE-8F1E-8D21FB48C1DE}"/>
              </c:ext>
            </c:extLst>
          </c:dPt>
          <c:dPt>
            <c:idx val="1"/>
            <c:invertIfNegative val="0"/>
            <c:bubble3D val="0"/>
            <c:extLst xmlns:c16r2="http://schemas.microsoft.com/office/drawing/2015/06/chart">
              <c:ext xmlns:c16="http://schemas.microsoft.com/office/drawing/2014/chart" uri="{C3380CC4-5D6E-409C-BE32-E72D297353CC}">
                <c16:uniqueId val="{00000001-33FC-48AE-8F1E-8D21FB48C1DE}"/>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Servicios Generales</c:v>
                </c:pt>
                <c:pt idx="1">
                  <c:v>Personal Docente</c:v>
                </c:pt>
              </c:strCache>
            </c:strRef>
          </c:cat>
          <c:val>
            <c:numRef>
              <c:f>Hoja1!$B$2:$B$3</c:f>
              <c:numCache>
                <c:formatCode>0%</c:formatCode>
                <c:ptCount val="2"/>
                <c:pt idx="0">
                  <c:v>0.65</c:v>
                </c:pt>
                <c:pt idx="1">
                  <c:v>0.75</c:v>
                </c:pt>
              </c:numCache>
            </c:numRef>
          </c:val>
          <c:extLst xmlns:c16r2="http://schemas.microsoft.com/office/drawing/2015/06/chart">
            <c:ext xmlns:c16="http://schemas.microsoft.com/office/drawing/2014/chart" uri="{C3380CC4-5D6E-409C-BE32-E72D297353CC}">
              <c16:uniqueId val="{00000002-33FC-48AE-8F1E-8D21FB48C1DE}"/>
            </c:ext>
          </c:extLst>
        </c:ser>
        <c:ser>
          <c:idx val="1"/>
          <c:order val="1"/>
          <c:tx>
            <c:strRef>
              <c:f>Hoja1!$C$1</c:f>
              <c:strCache>
                <c:ptCount val="1"/>
                <c:pt idx="0">
                  <c:v>Hombres</c:v>
                </c:pt>
              </c:strCache>
            </c:strRef>
          </c:tx>
          <c:spPr>
            <a:solidFill>
              <a:srgbClr val="253746"/>
            </a:solidFill>
            <a:ln w="19050">
              <a:solidFill>
                <a:srgbClr val="25374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Servicios Generales</c:v>
                </c:pt>
                <c:pt idx="1">
                  <c:v>Personal Docente</c:v>
                </c:pt>
              </c:strCache>
            </c:strRef>
          </c:cat>
          <c:val>
            <c:numRef>
              <c:f>Hoja1!$C$2:$C$3</c:f>
              <c:numCache>
                <c:formatCode>0%</c:formatCode>
                <c:ptCount val="2"/>
                <c:pt idx="0">
                  <c:v>0.35</c:v>
                </c:pt>
                <c:pt idx="1">
                  <c:v>0.25</c:v>
                </c:pt>
              </c:numCache>
            </c:numRef>
          </c:val>
          <c:extLst xmlns:c16r2="http://schemas.microsoft.com/office/drawing/2015/06/chart">
            <c:ext xmlns:c16="http://schemas.microsoft.com/office/drawing/2014/chart" uri="{C3380CC4-5D6E-409C-BE32-E72D297353CC}">
              <c16:uniqueId val="{00000003-33FC-48AE-8F1E-8D21FB48C1DE}"/>
            </c:ext>
          </c:extLst>
        </c:ser>
        <c:dLbls>
          <c:dLblPos val="ctr"/>
          <c:showLegendKey val="0"/>
          <c:showVal val="1"/>
          <c:showCatName val="0"/>
          <c:showSerName val="0"/>
          <c:showPercent val="0"/>
          <c:showBubbleSize val="0"/>
        </c:dLbls>
        <c:gapWidth val="100"/>
        <c:overlap val="100"/>
        <c:axId val="45799296"/>
        <c:axId val="45800832"/>
      </c:barChart>
      <c:catAx>
        <c:axId val="457992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5800832"/>
        <c:crosses val="autoZero"/>
        <c:auto val="1"/>
        <c:lblAlgn val="ctr"/>
        <c:lblOffset val="100"/>
        <c:noMultiLvlLbl val="0"/>
      </c:catAx>
      <c:valAx>
        <c:axId val="45800832"/>
        <c:scaling>
          <c:orientation val="minMax"/>
        </c:scaling>
        <c:delete val="1"/>
        <c:axPos val="l"/>
        <c:majorGridlines>
          <c:spPr>
            <a:ln w="9525" cap="flat" cmpd="sng" algn="ctr">
              <a:noFill/>
              <a:round/>
            </a:ln>
            <a:effectLst/>
          </c:spPr>
        </c:majorGridlines>
        <c:numFmt formatCode="0%" sourceLinked="1"/>
        <c:majorTickMark val="out"/>
        <c:minorTickMark val="none"/>
        <c:tickLblPos val="nextTo"/>
        <c:crossAx val="457992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34. Distribución por sexo de las modalidades formativas </a:t>
            </a:r>
            <a:r>
              <a:rPr lang="en-US" sz="1200" b="0" i="1">
                <a:solidFill>
                  <a:srgbClr val="253746"/>
                </a:solidFill>
                <a:latin typeface="Arial" panose="020B0604020202020204" pitchFamily="34" charset="0"/>
                <a:cs typeface="Arial" panose="020B0604020202020204" pitchFamily="34" charset="0"/>
              </a:rPr>
              <a:t>(Servicios</a:t>
            </a:r>
            <a:r>
              <a:rPr lang="en-US" sz="1200" b="0" i="1" baseline="0">
                <a:solidFill>
                  <a:srgbClr val="253746"/>
                </a:solidFill>
                <a:latin typeface="Arial" panose="020B0604020202020204" pitchFamily="34" charset="0"/>
                <a:cs typeface="Arial" panose="020B0604020202020204" pitchFamily="34" charset="0"/>
              </a:rPr>
              <a:t> Generales)</a:t>
            </a:r>
            <a:endParaRPr lang="en-US" sz="1200" b="0" i="1">
              <a:solidFill>
                <a:srgbClr val="253746"/>
              </a:solidFill>
              <a:latin typeface="Arial" panose="020B0604020202020204" pitchFamily="34" charset="0"/>
              <a:cs typeface="Arial" panose="020B0604020202020204" pitchFamily="34" charset="0"/>
            </a:endParaRPr>
          </a:p>
        </c:rich>
      </c:tx>
      <c:layout>
        <c:manualLayout>
          <c:xMode val="edge"/>
          <c:yMode val="edge"/>
          <c:x val="0.14114434947768284"/>
          <c:y val="2.5640889223566388E-2"/>
        </c:manualLayout>
      </c:layout>
      <c:overlay val="0"/>
      <c:spPr>
        <a:noFill/>
        <a:ln>
          <a:noFill/>
        </a:ln>
        <a:effectLst/>
      </c:spPr>
    </c:title>
    <c:autoTitleDeleted val="0"/>
    <c:plotArea>
      <c:layout>
        <c:manualLayout>
          <c:layoutTarget val="inner"/>
          <c:xMode val="edge"/>
          <c:yMode val="edge"/>
          <c:x val="3.0094555488256271E-2"/>
          <c:y val="0.37517552041531999"/>
          <c:w val="0.94378958506255095"/>
          <c:h val="0.51202938475665738"/>
        </c:manualLayout>
      </c:layout>
      <c:barChart>
        <c:barDir val="col"/>
        <c:grouping val="percentStacked"/>
        <c:varyColors val="0"/>
        <c:ser>
          <c:idx val="0"/>
          <c:order val="0"/>
          <c:tx>
            <c:strRef>
              <c:f>Hoja1!$B$1</c:f>
              <c:strCache>
                <c:ptCount val="1"/>
                <c:pt idx="0">
                  <c:v>Mujeres</c:v>
                </c:pt>
              </c:strCache>
            </c:strRef>
          </c:tx>
          <c:spPr>
            <a:solidFill>
              <a:srgbClr val="78BE20"/>
            </a:solidFill>
            <a:ln w="19050">
              <a:solidFill>
                <a:srgbClr val="78BE20"/>
              </a:solidFill>
            </a:ln>
            <a:effectLst/>
          </c:spPr>
          <c:invertIfNegative val="0"/>
          <c:dPt>
            <c:idx val="0"/>
            <c:invertIfNegative val="0"/>
            <c:bubble3D val="0"/>
            <c:explosion val="1"/>
            <c:extLst xmlns:c16r2="http://schemas.microsoft.com/office/drawing/2015/06/chart">
              <c:ext xmlns:c16="http://schemas.microsoft.com/office/drawing/2014/chart" uri="{C3380CC4-5D6E-409C-BE32-E72D297353CC}">
                <c16:uniqueId val="{00000000-5EE0-42DB-8189-B3FB1CE28F38}"/>
              </c:ext>
            </c:extLst>
          </c:dPt>
          <c:dPt>
            <c:idx val="1"/>
            <c:invertIfNegative val="0"/>
            <c:bubble3D val="0"/>
            <c:extLst xmlns:c16r2="http://schemas.microsoft.com/office/drawing/2015/06/chart">
              <c:ext xmlns:c16="http://schemas.microsoft.com/office/drawing/2014/chart" uri="{C3380CC4-5D6E-409C-BE32-E72D297353CC}">
                <c16:uniqueId val="{00000001-5EE0-42DB-8189-B3FB1CE28F38}"/>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Online</c:v>
                </c:pt>
                <c:pt idx="1">
                  <c:v>Presencial </c:v>
                </c:pt>
              </c:strCache>
            </c:strRef>
          </c:cat>
          <c:val>
            <c:numRef>
              <c:f>Hoja1!$B$2:$B$3</c:f>
              <c:numCache>
                <c:formatCode>0%</c:formatCode>
                <c:ptCount val="2"/>
                <c:pt idx="0">
                  <c:v>0.74</c:v>
                </c:pt>
                <c:pt idx="1">
                  <c:v>0.59</c:v>
                </c:pt>
              </c:numCache>
            </c:numRef>
          </c:val>
          <c:extLst xmlns:c16r2="http://schemas.microsoft.com/office/drawing/2015/06/chart">
            <c:ext xmlns:c16="http://schemas.microsoft.com/office/drawing/2014/chart" uri="{C3380CC4-5D6E-409C-BE32-E72D297353CC}">
              <c16:uniqueId val="{00000002-5EE0-42DB-8189-B3FB1CE28F38}"/>
            </c:ext>
          </c:extLst>
        </c:ser>
        <c:ser>
          <c:idx val="1"/>
          <c:order val="1"/>
          <c:tx>
            <c:strRef>
              <c:f>Hoja1!$C$1</c:f>
              <c:strCache>
                <c:ptCount val="1"/>
                <c:pt idx="0">
                  <c:v>Hombres</c:v>
                </c:pt>
              </c:strCache>
            </c:strRef>
          </c:tx>
          <c:spPr>
            <a:solidFill>
              <a:srgbClr val="253746"/>
            </a:solidFill>
            <a:ln w="19050">
              <a:solidFill>
                <a:srgbClr val="25374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Online</c:v>
                </c:pt>
                <c:pt idx="1">
                  <c:v>Presencial </c:v>
                </c:pt>
              </c:strCache>
            </c:strRef>
          </c:cat>
          <c:val>
            <c:numRef>
              <c:f>Hoja1!$C$2:$C$3</c:f>
              <c:numCache>
                <c:formatCode>0%</c:formatCode>
                <c:ptCount val="2"/>
                <c:pt idx="0">
                  <c:v>0.26</c:v>
                </c:pt>
                <c:pt idx="1">
                  <c:v>0.41</c:v>
                </c:pt>
              </c:numCache>
            </c:numRef>
          </c:val>
          <c:extLst xmlns:c16r2="http://schemas.microsoft.com/office/drawing/2015/06/chart">
            <c:ext xmlns:c16="http://schemas.microsoft.com/office/drawing/2014/chart" uri="{C3380CC4-5D6E-409C-BE32-E72D297353CC}">
              <c16:uniqueId val="{00000003-5EE0-42DB-8189-B3FB1CE28F38}"/>
            </c:ext>
          </c:extLst>
        </c:ser>
        <c:dLbls>
          <c:dLblPos val="ctr"/>
          <c:showLegendKey val="0"/>
          <c:showVal val="1"/>
          <c:showCatName val="0"/>
          <c:showSerName val="0"/>
          <c:showPercent val="0"/>
          <c:showBubbleSize val="0"/>
        </c:dLbls>
        <c:gapWidth val="100"/>
        <c:overlap val="100"/>
        <c:axId val="45923328"/>
        <c:axId val="45925120"/>
      </c:barChart>
      <c:catAx>
        <c:axId val="4592332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5925120"/>
        <c:crosses val="autoZero"/>
        <c:auto val="1"/>
        <c:lblAlgn val="ctr"/>
        <c:lblOffset val="100"/>
        <c:noMultiLvlLbl val="0"/>
      </c:catAx>
      <c:valAx>
        <c:axId val="45925120"/>
        <c:scaling>
          <c:orientation val="minMax"/>
        </c:scaling>
        <c:delete val="1"/>
        <c:axPos val="l"/>
        <c:majorGridlines>
          <c:spPr>
            <a:ln w="9525" cap="flat" cmpd="sng" algn="ctr">
              <a:noFill/>
              <a:round/>
            </a:ln>
            <a:effectLst/>
          </c:spPr>
        </c:majorGridlines>
        <c:numFmt formatCode="0%" sourceLinked="1"/>
        <c:majorTickMark val="out"/>
        <c:minorTickMark val="none"/>
        <c:tickLblPos val="nextTo"/>
        <c:crossAx val="45923328"/>
        <c:crosses val="autoZero"/>
        <c:crossBetween val="between"/>
      </c:valAx>
      <c:spPr>
        <a:noFill/>
        <a:ln>
          <a:noFill/>
        </a:ln>
        <a:effectLst/>
      </c:spPr>
    </c:plotArea>
    <c:legend>
      <c:legendPos val="t"/>
      <c:layout>
        <c:manualLayout>
          <c:xMode val="edge"/>
          <c:yMode val="edge"/>
          <c:x val="0.3629132362728163"/>
          <c:y val="0.20941230486685034"/>
          <c:w val="0.27417352745436735"/>
          <c:h val="7.834356449245497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35. Distribución por sexo de las modalidades formativas </a:t>
            </a:r>
            <a:r>
              <a:rPr lang="en-US" sz="1200" b="0" i="1">
                <a:solidFill>
                  <a:srgbClr val="253746"/>
                </a:solidFill>
                <a:latin typeface="Arial" panose="020B0604020202020204" pitchFamily="34" charset="0"/>
                <a:cs typeface="Arial" panose="020B0604020202020204" pitchFamily="34" charset="0"/>
              </a:rPr>
              <a:t>(</a:t>
            </a:r>
            <a:r>
              <a:rPr lang="es-ES" sz="1200" b="0" i="1" u="none" strike="noStrike" kern="1200" spc="0" baseline="0">
                <a:solidFill>
                  <a:srgbClr val="253746"/>
                </a:solidFill>
                <a:latin typeface="Arial" panose="020B0604020202020204" pitchFamily="34" charset="0"/>
                <a:ea typeface="+mn-ea"/>
                <a:cs typeface="Arial" panose="020B0604020202020204" pitchFamily="34" charset="0"/>
              </a:rPr>
              <a:t>Personal Docente</a:t>
            </a:r>
            <a:r>
              <a:rPr lang="en-US" sz="1200" b="0" i="1" baseline="0">
                <a:solidFill>
                  <a:srgbClr val="253746"/>
                </a:solidFill>
                <a:latin typeface="Arial" panose="020B0604020202020204" pitchFamily="34" charset="0"/>
                <a:cs typeface="Arial" panose="020B0604020202020204" pitchFamily="34" charset="0"/>
              </a:rPr>
              <a:t>)</a:t>
            </a:r>
            <a:endParaRPr lang="en-US" sz="1200" b="0" i="1">
              <a:solidFill>
                <a:srgbClr val="253746"/>
              </a:solidFill>
              <a:latin typeface="Arial" panose="020B0604020202020204" pitchFamily="34" charset="0"/>
              <a:cs typeface="Arial" panose="020B0604020202020204" pitchFamily="34" charset="0"/>
            </a:endParaRPr>
          </a:p>
        </c:rich>
      </c:tx>
      <c:layout>
        <c:manualLayout>
          <c:xMode val="edge"/>
          <c:yMode val="edge"/>
          <c:x val="0.14114434947768284"/>
          <c:y val="2.5640889223566388E-2"/>
        </c:manualLayout>
      </c:layout>
      <c:overlay val="0"/>
      <c:spPr>
        <a:noFill/>
        <a:ln>
          <a:noFill/>
        </a:ln>
        <a:effectLst/>
      </c:spPr>
    </c:title>
    <c:autoTitleDeleted val="0"/>
    <c:plotArea>
      <c:layout>
        <c:manualLayout>
          <c:layoutTarget val="inner"/>
          <c:xMode val="edge"/>
          <c:yMode val="edge"/>
          <c:x val="3.0094555488256271E-2"/>
          <c:y val="0.37517552041531999"/>
          <c:w val="0.94378958506255095"/>
          <c:h val="0.51202938475665738"/>
        </c:manualLayout>
      </c:layout>
      <c:barChart>
        <c:barDir val="col"/>
        <c:grouping val="percentStacked"/>
        <c:varyColors val="0"/>
        <c:ser>
          <c:idx val="0"/>
          <c:order val="0"/>
          <c:tx>
            <c:strRef>
              <c:f>Hoja1!$B$1</c:f>
              <c:strCache>
                <c:ptCount val="1"/>
                <c:pt idx="0">
                  <c:v>Mujeres</c:v>
                </c:pt>
              </c:strCache>
            </c:strRef>
          </c:tx>
          <c:spPr>
            <a:solidFill>
              <a:srgbClr val="78BE20"/>
            </a:solidFill>
            <a:ln w="19050">
              <a:solidFill>
                <a:srgbClr val="78BE20"/>
              </a:solidFill>
            </a:ln>
            <a:effectLst/>
          </c:spPr>
          <c:invertIfNegative val="0"/>
          <c:dPt>
            <c:idx val="0"/>
            <c:invertIfNegative val="0"/>
            <c:bubble3D val="0"/>
            <c:explosion val="1"/>
            <c:extLst xmlns:c16r2="http://schemas.microsoft.com/office/drawing/2015/06/chart">
              <c:ext xmlns:c16="http://schemas.microsoft.com/office/drawing/2014/chart" uri="{C3380CC4-5D6E-409C-BE32-E72D297353CC}">
                <c16:uniqueId val="{00000000-2940-48A4-976F-5E892B85433B}"/>
              </c:ext>
            </c:extLst>
          </c:dPt>
          <c:dPt>
            <c:idx val="1"/>
            <c:invertIfNegative val="0"/>
            <c:bubble3D val="0"/>
            <c:extLst xmlns:c16r2="http://schemas.microsoft.com/office/drawing/2015/06/chart">
              <c:ext xmlns:c16="http://schemas.microsoft.com/office/drawing/2014/chart" uri="{C3380CC4-5D6E-409C-BE32-E72D297353CC}">
                <c16:uniqueId val="{00000001-2940-48A4-976F-5E892B85433B}"/>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On-line</c:v>
                </c:pt>
                <c:pt idx="1">
                  <c:v>Presencial </c:v>
                </c:pt>
              </c:strCache>
            </c:strRef>
          </c:cat>
          <c:val>
            <c:numRef>
              <c:f>Hoja1!$B$2:$B$3</c:f>
              <c:numCache>
                <c:formatCode>0%</c:formatCode>
                <c:ptCount val="2"/>
                <c:pt idx="0">
                  <c:v>0.76</c:v>
                </c:pt>
                <c:pt idx="1">
                  <c:v>0.67</c:v>
                </c:pt>
              </c:numCache>
            </c:numRef>
          </c:val>
          <c:extLst xmlns:c16r2="http://schemas.microsoft.com/office/drawing/2015/06/chart">
            <c:ext xmlns:c16="http://schemas.microsoft.com/office/drawing/2014/chart" uri="{C3380CC4-5D6E-409C-BE32-E72D297353CC}">
              <c16:uniqueId val="{00000002-2940-48A4-976F-5E892B85433B}"/>
            </c:ext>
          </c:extLst>
        </c:ser>
        <c:ser>
          <c:idx val="1"/>
          <c:order val="1"/>
          <c:tx>
            <c:strRef>
              <c:f>Hoja1!$C$1</c:f>
              <c:strCache>
                <c:ptCount val="1"/>
                <c:pt idx="0">
                  <c:v>Hombres</c:v>
                </c:pt>
              </c:strCache>
            </c:strRef>
          </c:tx>
          <c:spPr>
            <a:solidFill>
              <a:srgbClr val="253746"/>
            </a:solidFill>
            <a:ln w="19050">
              <a:solidFill>
                <a:srgbClr val="25374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On-line</c:v>
                </c:pt>
                <c:pt idx="1">
                  <c:v>Presencial </c:v>
                </c:pt>
              </c:strCache>
            </c:strRef>
          </c:cat>
          <c:val>
            <c:numRef>
              <c:f>Hoja1!$C$2:$C$3</c:f>
              <c:numCache>
                <c:formatCode>0%</c:formatCode>
                <c:ptCount val="2"/>
                <c:pt idx="0">
                  <c:v>0.24</c:v>
                </c:pt>
                <c:pt idx="1">
                  <c:v>0.33</c:v>
                </c:pt>
              </c:numCache>
            </c:numRef>
          </c:val>
          <c:extLst xmlns:c16r2="http://schemas.microsoft.com/office/drawing/2015/06/chart">
            <c:ext xmlns:c16="http://schemas.microsoft.com/office/drawing/2014/chart" uri="{C3380CC4-5D6E-409C-BE32-E72D297353CC}">
              <c16:uniqueId val="{00000003-2940-48A4-976F-5E892B85433B}"/>
            </c:ext>
          </c:extLst>
        </c:ser>
        <c:dLbls>
          <c:dLblPos val="ctr"/>
          <c:showLegendKey val="0"/>
          <c:showVal val="1"/>
          <c:showCatName val="0"/>
          <c:showSerName val="0"/>
          <c:showPercent val="0"/>
          <c:showBubbleSize val="0"/>
        </c:dLbls>
        <c:gapWidth val="100"/>
        <c:overlap val="100"/>
        <c:axId val="46055808"/>
        <c:axId val="46057344"/>
      </c:barChart>
      <c:catAx>
        <c:axId val="460558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057344"/>
        <c:crosses val="autoZero"/>
        <c:auto val="1"/>
        <c:lblAlgn val="ctr"/>
        <c:lblOffset val="100"/>
        <c:noMultiLvlLbl val="0"/>
      </c:catAx>
      <c:valAx>
        <c:axId val="46057344"/>
        <c:scaling>
          <c:orientation val="minMax"/>
        </c:scaling>
        <c:delete val="1"/>
        <c:axPos val="l"/>
        <c:majorGridlines>
          <c:spPr>
            <a:ln w="9525" cap="flat" cmpd="sng" algn="ctr">
              <a:noFill/>
              <a:round/>
            </a:ln>
            <a:effectLst/>
          </c:spPr>
        </c:majorGridlines>
        <c:numFmt formatCode="0%" sourceLinked="1"/>
        <c:majorTickMark val="out"/>
        <c:minorTickMark val="none"/>
        <c:tickLblPos val="nextTo"/>
        <c:crossAx val="46055808"/>
        <c:crosses val="autoZero"/>
        <c:crossBetween val="between"/>
      </c:valAx>
      <c:spPr>
        <a:noFill/>
        <a:ln>
          <a:noFill/>
        </a:ln>
        <a:effectLst/>
      </c:spPr>
    </c:plotArea>
    <c:legend>
      <c:legendPos val="t"/>
      <c:layout>
        <c:manualLayout>
          <c:xMode val="edge"/>
          <c:yMode val="edge"/>
          <c:x val="0.3629132362728163"/>
          <c:y val="0.20941230486685034"/>
          <c:w val="0.27417352745436735"/>
          <c:h val="7.83435644924549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36. Distribución por sexo de la</a:t>
            </a:r>
            <a:r>
              <a:rPr lang="en-US" sz="1200" b="1" i="1" baseline="0">
                <a:solidFill>
                  <a:srgbClr val="253746"/>
                </a:solidFill>
                <a:latin typeface="Arial" panose="020B0604020202020204" pitchFamily="34" charset="0"/>
                <a:cs typeface="Arial" panose="020B0604020202020204" pitchFamily="34" charset="0"/>
              </a:rPr>
              <a:t> formación </a:t>
            </a:r>
          </a:p>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baseline="0">
                <a:solidFill>
                  <a:srgbClr val="253746"/>
                </a:solidFill>
                <a:latin typeface="Arial" panose="020B0604020202020204" pitchFamily="34" charset="0"/>
                <a:cs typeface="Arial" panose="020B0604020202020204" pitchFamily="34" charset="0"/>
              </a:rPr>
              <a:t>en teletrabajo</a:t>
            </a:r>
            <a:endParaRPr lang="en-US" sz="1200" b="1" i="1">
              <a:solidFill>
                <a:srgbClr val="253746"/>
              </a:solidFill>
              <a:latin typeface="Arial" panose="020B0604020202020204" pitchFamily="34" charset="0"/>
              <a:cs typeface="Arial" panose="020B0604020202020204" pitchFamily="34" charset="0"/>
            </a:endParaRPr>
          </a:p>
        </c:rich>
      </c:tx>
      <c:layout>
        <c:manualLayout>
          <c:xMode val="edge"/>
          <c:yMode val="edge"/>
          <c:x val="0.14114434947768284"/>
          <c:y val="2.5640889223566388E-2"/>
        </c:manualLayout>
      </c:layout>
      <c:overlay val="0"/>
      <c:spPr>
        <a:noFill/>
        <a:ln>
          <a:noFill/>
        </a:ln>
        <a:effectLst/>
      </c:spPr>
    </c:title>
    <c:autoTitleDeleted val="0"/>
    <c:plotArea>
      <c:layout>
        <c:manualLayout>
          <c:layoutTarget val="inner"/>
          <c:xMode val="edge"/>
          <c:yMode val="edge"/>
          <c:x val="3.2468724529091976E-2"/>
          <c:y val="0.36599278395985624"/>
          <c:w val="0.94141541602171519"/>
          <c:h val="0.52121212121212124"/>
        </c:manualLayout>
      </c:layout>
      <c:barChart>
        <c:barDir val="col"/>
        <c:grouping val="percentStacked"/>
        <c:varyColors val="0"/>
        <c:ser>
          <c:idx val="0"/>
          <c:order val="0"/>
          <c:tx>
            <c:strRef>
              <c:f>Hoja1!$B$1</c:f>
              <c:strCache>
                <c:ptCount val="1"/>
                <c:pt idx="0">
                  <c:v>Mujeres</c:v>
                </c:pt>
              </c:strCache>
            </c:strRef>
          </c:tx>
          <c:spPr>
            <a:solidFill>
              <a:srgbClr val="78BE20"/>
            </a:solidFill>
            <a:ln w="19050">
              <a:solidFill>
                <a:srgbClr val="78BE20"/>
              </a:solidFill>
            </a:ln>
            <a:effectLst/>
          </c:spPr>
          <c:invertIfNegative val="0"/>
          <c:dPt>
            <c:idx val="0"/>
            <c:invertIfNegative val="0"/>
            <c:bubble3D val="0"/>
            <c:explosion val="1"/>
            <c:extLst xmlns:c16r2="http://schemas.microsoft.com/office/drawing/2015/06/chart">
              <c:ext xmlns:c16="http://schemas.microsoft.com/office/drawing/2014/chart" uri="{C3380CC4-5D6E-409C-BE32-E72D297353CC}">
                <c16:uniqueId val="{00000000-8DDD-48C8-9D31-A2901C414D5C}"/>
              </c:ext>
            </c:extLst>
          </c:dPt>
          <c:dPt>
            <c:idx val="1"/>
            <c:invertIfNegative val="0"/>
            <c:bubble3D val="0"/>
            <c:extLst xmlns:c16r2="http://schemas.microsoft.com/office/drawing/2015/06/chart">
              <c:ext xmlns:c16="http://schemas.microsoft.com/office/drawing/2014/chart" uri="{C3380CC4-5D6E-409C-BE32-E72D297353CC}">
                <c16:uniqueId val="{00000001-8DDD-48C8-9D31-A2901C414D5C}"/>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Solicitudes</c:v>
                </c:pt>
                <c:pt idx="1">
                  <c:v>Personas diplomadas</c:v>
                </c:pt>
              </c:strCache>
            </c:strRef>
          </c:cat>
          <c:val>
            <c:numRef>
              <c:f>Hoja1!$B$2:$B$3</c:f>
              <c:numCache>
                <c:formatCode>0%</c:formatCode>
                <c:ptCount val="2"/>
                <c:pt idx="0">
                  <c:v>0.81</c:v>
                </c:pt>
                <c:pt idx="1">
                  <c:v>0.82</c:v>
                </c:pt>
              </c:numCache>
            </c:numRef>
          </c:val>
          <c:extLst xmlns:c16r2="http://schemas.microsoft.com/office/drawing/2015/06/chart">
            <c:ext xmlns:c16="http://schemas.microsoft.com/office/drawing/2014/chart" uri="{C3380CC4-5D6E-409C-BE32-E72D297353CC}">
              <c16:uniqueId val="{00000002-8DDD-48C8-9D31-A2901C414D5C}"/>
            </c:ext>
          </c:extLst>
        </c:ser>
        <c:ser>
          <c:idx val="1"/>
          <c:order val="1"/>
          <c:tx>
            <c:strRef>
              <c:f>Hoja1!$C$1</c:f>
              <c:strCache>
                <c:ptCount val="1"/>
                <c:pt idx="0">
                  <c:v>Hombres</c:v>
                </c:pt>
              </c:strCache>
            </c:strRef>
          </c:tx>
          <c:spPr>
            <a:solidFill>
              <a:srgbClr val="253746"/>
            </a:solidFill>
            <a:ln w="19050">
              <a:solidFill>
                <a:srgbClr val="25374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Solicitudes</c:v>
                </c:pt>
                <c:pt idx="1">
                  <c:v>Personas diplomadas</c:v>
                </c:pt>
              </c:strCache>
            </c:strRef>
          </c:cat>
          <c:val>
            <c:numRef>
              <c:f>Hoja1!$C$2:$C$3</c:f>
              <c:numCache>
                <c:formatCode>0%</c:formatCode>
                <c:ptCount val="2"/>
                <c:pt idx="0">
                  <c:v>0.19</c:v>
                </c:pt>
                <c:pt idx="1">
                  <c:v>0.18</c:v>
                </c:pt>
              </c:numCache>
            </c:numRef>
          </c:val>
          <c:extLst xmlns:c16r2="http://schemas.microsoft.com/office/drawing/2015/06/chart">
            <c:ext xmlns:c16="http://schemas.microsoft.com/office/drawing/2014/chart" uri="{C3380CC4-5D6E-409C-BE32-E72D297353CC}">
              <c16:uniqueId val="{00000003-8DDD-48C8-9D31-A2901C414D5C}"/>
            </c:ext>
          </c:extLst>
        </c:ser>
        <c:dLbls>
          <c:dLblPos val="ctr"/>
          <c:showLegendKey val="0"/>
          <c:showVal val="1"/>
          <c:showCatName val="0"/>
          <c:showSerName val="0"/>
          <c:showPercent val="0"/>
          <c:showBubbleSize val="0"/>
        </c:dLbls>
        <c:gapWidth val="100"/>
        <c:overlap val="100"/>
        <c:axId val="46118400"/>
        <c:axId val="46119936"/>
      </c:barChart>
      <c:catAx>
        <c:axId val="461184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119936"/>
        <c:crosses val="autoZero"/>
        <c:auto val="1"/>
        <c:lblAlgn val="ctr"/>
        <c:lblOffset val="100"/>
        <c:noMultiLvlLbl val="0"/>
      </c:catAx>
      <c:valAx>
        <c:axId val="46119936"/>
        <c:scaling>
          <c:orientation val="minMax"/>
        </c:scaling>
        <c:delete val="1"/>
        <c:axPos val="l"/>
        <c:majorGridlines>
          <c:spPr>
            <a:ln w="9525" cap="flat" cmpd="sng" algn="ctr">
              <a:noFill/>
              <a:round/>
            </a:ln>
            <a:effectLst/>
          </c:spPr>
        </c:majorGridlines>
        <c:numFmt formatCode="0%" sourceLinked="1"/>
        <c:majorTickMark val="out"/>
        <c:minorTickMark val="none"/>
        <c:tickLblPos val="nextTo"/>
        <c:crossAx val="46118400"/>
        <c:crosses val="autoZero"/>
        <c:crossBetween val="between"/>
      </c:valAx>
      <c:spPr>
        <a:noFill/>
        <a:ln>
          <a:noFill/>
        </a:ln>
        <a:effectLst/>
      </c:spPr>
    </c:plotArea>
    <c:legend>
      <c:legendPos val="t"/>
      <c:layout>
        <c:manualLayout>
          <c:xMode val="edge"/>
          <c:yMode val="edge"/>
          <c:x val="0.365287405313652"/>
          <c:y val="0.21400367309458218"/>
          <c:w val="0.27417352745436735"/>
          <c:h val="7.834356449245497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37. Evolución de la distribución por sexo en la formación en igualdad </a:t>
            </a:r>
            <a:r>
              <a:rPr lang="en-US" sz="1200" b="0" i="1">
                <a:solidFill>
                  <a:srgbClr val="253746"/>
                </a:solidFill>
                <a:latin typeface="Arial" panose="020B0604020202020204" pitchFamily="34" charset="0"/>
                <a:cs typeface="Arial" panose="020B0604020202020204" pitchFamily="34" charset="0"/>
              </a:rPr>
              <a:t>(</a:t>
            </a:r>
            <a:r>
              <a:rPr lang="es-ES" sz="1200" b="0" i="1" u="none" strike="noStrike" kern="1200" spc="0" baseline="0">
                <a:solidFill>
                  <a:srgbClr val="253746"/>
                </a:solidFill>
                <a:latin typeface="Arial" panose="020B0604020202020204" pitchFamily="34" charset="0"/>
                <a:ea typeface="+mn-ea"/>
                <a:cs typeface="Arial" panose="020B0604020202020204" pitchFamily="34" charset="0"/>
              </a:rPr>
              <a:t>Servicios Generales</a:t>
            </a:r>
            <a:r>
              <a:rPr lang="en-US" sz="1200" b="0" i="1">
                <a:solidFill>
                  <a:srgbClr val="253746"/>
                </a:solidFill>
                <a:latin typeface="Arial" panose="020B0604020202020204" pitchFamily="34" charset="0"/>
                <a:cs typeface="Arial" panose="020B0604020202020204" pitchFamily="34" charset="0"/>
              </a:rPr>
              <a:t>)</a:t>
            </a:r>
          </a:p>
        </c:rich>
      </c:tx>
      <c:layout>
        <c:manualLayout>
          <c:xMode val="edge"/>
          <c:yMode val="edge"/>
          <c:x val="0.17200854700854704"/>
          <c:y val="3.4823539619531031E-2"/>
        </c:manualLayout>
      </c:layout>
      <c:overlay val="0"/>
      <c:spPr>
        <a:noFill/>
        <a:ln>
          <a:noFill/>
        </a:ln>
        <a:effectLst/>
      </c:spPr>
    </c:title>
    <c:autoTitleDeleted val="0"/>
    <c:plotArea>
      <c:layout>
        <c:manualLayout>
          <c:layoutTarget val="inner"/>
          <c:xMode val="edge"/>
          <c:yMode val="edge"/>
          <c:x val="9.657128863165608E-2"/>
          <c:y val="0.35221867927666067"/>
          <c:w val="0.87731285191915109"/>
          <c:h val="0.53498622589531675"/>
        </c:manualLayout>
      </c:layout>
      <c:lineChart>
        <c:grouping val="standard"/>
        <c:varyColors val="0"/>
        <c:ser>
          <c:idx val="0"/>
          <c:order val="0"/>
          <c:tx>
            <c:strRef>
              <c:f>Hoja1!$B$1</c:f>
              <c:strCache>
                <c:ptCount val="1"/>
                <c:pt idx="0">
                  <c:v>Mujeres</c:v>
                </c:pt>
              </c:strCache>
            </c:strRef>
          </c:tx>
          <c:spPr>
            <a:ln w="19050" cap="rnd">
              <a:solidFill>
                <a:srgbClr val="78BE20"/>
              </a:solidFill>
              <a:round/>
            </a:ln>
            <a:effectLst/>
          </c:spPr>
          <c:marker>
            <c:symbol val="circle"/>
            <c:size val="5"/>
            <c:spPr>
              <a:solidFill>
                <a:srgbClr val="78BE20"/>
              </a:solidFill>
              <a:ln w="9525">
                <a:solidFill>
                  <a:srgbClr val="78BE20"/>
                </a:solidFill>
              </a:ln>
              <a:effectLst/>
            </c:spPr>
          </c:marker>
          <c:dPt>
            <c:idx val="0"/>
            <c:bubble3D val="0"/>
            <c:explosion val="1"/>
            <c:extLst xmlns:c16r2="http://schemas.microsoft.com/office/drawing/2015/06/chart">
              <c:ext xmlns:c16="http://schemas.microsoft.com/office/drawing/2014/chart" uri="{C3380CC4-5D6E-409C-BE32-E72D297353CC}">
                <c16:uniqueId val="{00000001-450D-43E6-B171-F36A60AF1F90}"/>
              </c:ext>
            </c:extLst>
          </c:dPt>
          <c:dPt>
            <c:idx val="1"/>
            <c:bubble3D val="0"/>
            <c:extLst xmlns:c16r2="http://schemas.microsoft.com/office/drawing/2015/06/chart">
              <c:ext xmlns:c16="http://schemas.microsoft.com/office/drawing/2014/chart" uri="{C3380CC4-5D6E-409C-BE32-E72D297353CC}">
                <c16:uniqueId val="{00000002-450D-43E6-B171-F36A60AF1F90}"/>
              </c:ext>
            </c:extLst>
          </c:dPt>
          <c:dLbls>
            <c:delete val="1"/>
          </c:dLbls>
          <c:cat>
            <c:numRef>
              <c:f>Hoja1!$A$2:$A$5</c:f>
              <c:numCache>
                <c:formatCode>General</c:formatCode>
                <c:ptCount val="4"/>
                <c:pt idx="0">
                  <c:v>2017</c:v>
                </c:pt>
                <c:pt idx="1">
                  <c:v>2018</c:v>
                </c:pt>
                <c:pt idx="2">
                  <c:v>2019</c:v>
                </c:pt>
                <c:pt idx="3">
                  <c:v>2020</c:v>
                </c:pt>
              </c:numCache>
            </c:numRef>
          </c:cat>
          <c:val>
            <c:numRef>
              <c:f>Hoja1!$B$2:$B$5</c:f>
              <c:numCache>
                <c:formatCode>0%</c:formatCode>
                <c:ptCount val="4"/>
                <c:pt idx="0">
                  <c:v>0.8</c:v>
                </c:pt>
                <c:pt idx="1">
                  <c:v>0.84</c:v>
                </c:pt>
                <c:pt idx="2">
                  <c:v>0.86</c:v>
                </c:pt>
                <c:pt idx="3">
                  <c:v>0.82</c:v>
                </c:pt>
              </c:numCache>
            </c:numRef>
          </c:val>
          <c:smooth val="0"/>
          <c:extLst xmlns:c16r2="http://schemas.microsoft.com/office/drawing/2015/06/chart">
            <c:ext xmlns:c16="http://schemas.microsoft.com/office/drawing/2014/chart" uri="{C3380CC4-5D6E-409C-BE32-E72D297353CC}">
              <c16:uniqueId val="{00000003-450D-43E6-B171-F36A60AF1F90}"/>
            </c:ext>
          </c:extLst>
        </c:ser>
        <c:ser>
          <c:idx val="1"/>
          <c:order val="1"/>
          <c:tx>
            <c:strRef>
              <c:f>Hoja1!$C$1</c:f>
              <c:strCache>
                <c:ptCount val="1"/>
                <c:pt idx="0">
                  <c:v>Hombres</c:v>
                </c:pt>
              </c:strCache>
            </c:strRef>
          </c:tx>
          <c:spPr>
            <a:ln w="19050" cap="rnd">
              <a:solidFill>
                <a:srgbClr val="253746"/>
              </a:solidFill>
              <a:round/>
            </a:ln>
            <a:effectLst/>
          </c:spPr>
          <c:marker>
            <c:symbol val="circle"/>
            <c:size val="5"/>
            <c:spPr>
              <a:solidFill>
                <a:srgbClr val="253746"/>
              </a:solidFill>
              <a:ln w="9525">
                <a:solidFill>
                  <a:srgbClr val="253746"/>
                </a:solidFill>
              </a:ln>
              <a:effectLst/>
            </c:spPr>
          </c:marker>
          <c:dLbls>
            <c:delete val="1"/>
          </c:dLbls>
          <c:cat>
            <c:numRef>
              <c:f>Hoja1!$A$2:$A$5</c:f>
              <c:numCache>
                <c:formatCode>General</c:formatCode>
                <c:ptCount val="4"/>
                <c:pt idx="0">
                  <c:v>2017</c:v>
                </c:pt>
                <c:pt idx="1">
                  <c:v>2018</c:v>
                </c:pt>
                <c:pt idx="2">
                  <c:v>2019</c:v>
                </c:pt>
                <c:pt idx="3">
                  <c:v>2020</c:v>
                </c:pt>
              </c:numCache>
            </c:numRef>
          </c:cat>
          <c:val>
            <c:numRef>
              <c:f>Hoja1!$C$2:$C$5</c:f>
              <c:numCache>
                <c:formatCode>0%</c:formatCode>
                <c:ptCount val="4"/>
                <c:pt idx="0">
                  <c:v>0.2</c:v>
                </c:pt>
                <c:pt idx="1">
                  <c:v>0.16</c:v>
                </c:pt>
                <c:pt idx="2">
                  <c:v>0.14000000000000001</c:v>
                </c:pt>
                <c:pt idx="3">
                  <c:v>0.18</c:v>
                </c:pt>
              </c:numCache>
            </c:numRef>
          </c:val>
          <c:smooth val="0"/>
          <c:extLst xmlns:c16r2="http://schemas.microsoft.com/office/drawing/2015/06/chart">
            <c:ext xmlns:c16="http://schemas.microsoft.com/office/drawing/2014/chart" uri="{C3380CC4-5D6E-409C-BE32-E72D297353CC}">
              <c16:uniqueId val="{00000004-450D-43E6-B171-F36A60AF1F90}"/>
            </c:ext>
          </c:extLst>
        </c:ser>
        <c:dLbls>
          <c:dLblPos val="ctr"/>
          <c:showLegendKey val="0"/>
          <c:showVal val="1"/>
          <c:showCatName val="0"/>
          <c:showSerName val="0"/>
          <c:showPercent val="0"/>
          <c:showBubbleSize val="0"/>
        </c:dLbls>
        <c:marker val="1"/>
        <c:smooth val="0"/>
        <c:axId val="46200704"/>
        <c:axId val="46211072"/>
      </c:lineChart>
      <c:catAx>
        <c:axId val="462007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211072"/>
        <c:crosses val="autoZero"/>
        <c:auto val="1"/>
        <c:lblAlgn val="ctr"/>
        <c:lblOffset val="100"/>
        <c:noMultiLvlLbl val="0"/>
      </c:catAx>
      <c:valAx>
        <c:axId val="46211072"/>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200704"/>
        <c:crosses val="autoZero"/>
        <c:crossBetween val="between"/>
      </c:valAx>
      <c:spPr>
        <a:noFill/>
        <a:ln>
          <a:noFill/>
        </a:ln>
        <a:effectLst/>
      </c:spPr>
    </c:plotArea>
    <c:legend>
      <c:legendPos val="t"/>
      <c:layout>
        <c:manualLayout>
          <c:xMode val="edge"/>
          <c:yMode val="edge"/>
          <c:x val="0.32319095796786085"/>
          <c:y val="0.20941230486685034"/>
          <c:w val="0.3536180840642783"/>
          <c:h val="7.834356449245497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253746"/>
                </a:solidFill>
                <a:latin typeface="+mn-lt"/>
                <a:ea typeface="+mn-ea"/>
                <a:cs typeface="+mn-cs"/>
              </a:defRPr>
            </a:pPr>
            <a:r>
              <a:rPr lang="es-ES" sz="1200" b="1" i="1">
                <a:solidFill>
                  <a:srgbClr val="253746"/>
                </a:solidFill>
                <a:latin typeface="Arial" panose="020B0604020202020204" pitchFamily="34" charset="0"/>
                <a:cs typeface="Arial" panose="020B0604020202020204" pitchFamily="34" charset="0"/>
              </a:rPr>
              <a:t>Gráfica 38. Concentración por sexo y opinión sobre la igualdad en la promoción y provisión de puestos</a:t>
            </a:r>
          </a:p>
        </c:rich>
      </c:tx>
      <c:layout>
        <c:manualLayout>
          <c:xMode val="edge"/>
          <c:yMode val="edge"/>
          <c:x val="0.16411100658513642"/>
          <c:y val="2.822011691191292E-2"/>
        </c:manualLayout>
      </c:layout>
      <c:overlay val="0"/>
      <c:spPr>
        <a:noFill/>
        <a:ln>
          <a:noFill/>
        </a:ln>
        <a:effectLst/>
      </c:spPr>
    </c:title>
    <c:autoTitleDeleted val="0"/>
    <c:plotArea>
      <c:layout/>
      <c:barChart>
        <c:barDir val="bar"/>
        <c:grouping val="percentStacked"/>
        <c:varyColors val="0"/>
        <c:ser>
          <c:idx val="0"/>
          <c:order val="0"/>
          <c:tx>
            <c:strRef>
              <c:f>Hoja1!$B$1</c:f>
              <c:strCache>
                <c:ptCount val="1"/>
                <c:pt idx="0">
                  <c:v>Sí</c:v>
                </c:pt>
              </c:strCache>
            </c:strRef>
          </c:tx>
          <c:spPr>
            <a:solidFill>
              <a:srgbClr val="B1E670"/>
            </a:solidFill>
            <a:ln>
              <a:solidFill>
                <a:srgbClr val="B1E67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Hoja1!$B$2:$B$3</c:f>
              <c:numCache>
                <c:formatCode>0%</c:formatCode>
                <c:ptCount val="2"/>
                <c:pt idx="0">
                  <c:v>0.51</c:v>
                </c:pt>
                <c:pt idx="1">
                  <c:v>0.79</c:v>
                </c:pt>
              </c:numCache>
            </c:numRef>
          </c:val>
          <c:extLst xmlns:c16r2="http://schemas.microsoft.com/office/drawing/2015/06/chart">
            <c:ext xmlns:c16="http://schemas.microsoft.com/office/drawing/2014/chart" uri="{C3380CC4-5D6E-409C-BE32-E72D297353CC}">
              <c16:uniqueId val="{00000000-2128-43A4-A912-EDA457919DEF}"/>
            </c:ext>
          </c:extLst>
        </c:ser>
        <c:ser>
          <c:idx val="1"/>
          <c:order val="1"/>
          <c:tx>
            <c:strRef>
              <c:f>Hoja1!$C$1</c:f>
              <c:strCache>
                <c:ptCount val="1"/>
                <c:pt idx="0">
                  <c:v>No</c:v>
                </c:pt>
              </c:strCache>
            </c:strRef>
          </c:tx>
          <c:spPr>
            <a:solidFill>
              <a:srgbClr val="779AB7"/>
            </a:solidFill>
            <a:ln>
              <a:solidFill>
                <a:srgbClr val="779AB7"/>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Hoja1!$C$2:$C$3</c:f>
              <c:numCache>
                <c:formatCode>0%</c:formatCode>
                <c:ptCount val="2"/>
                <c:pt idx="0">
                  <c:v>0.34</c:v>
                </c:pt>
                <c:pt idx="1">
                  <c:v>0.15</c:v>
                </c:pt>
              </c:numCache>
            </c:numRef>
          </c:val>
          <c:extLst xmlns:c16r2="http://schemas.microsoft.com/office/drawing/2015/06/chart">
            <c:ext xmlns:c16="http://schemas.microsoft.com/office/drawing/2014/chart" uri="{C3380CC4-5D6E-409C-BE32-E72D297353CC}">
              <c16:uniqueId val="{00000001-2128-43A4-A912-EDA457919DEF}"/>
            </c:ext>
          </c:extLst>
        </c:ser>
        <c:ser>
          <c:idx val="2"/>
          <c:order val="2"/>
          <c:tx>
            <c:strRef>
              <c:f>Hoja1!$D$1</c:f>
              <c:strCache>
                <c:ptCount val="1"/>
                <c:pt idx="0">
                  <c:v>N/C</c:v>
                </c:pt>
              </c:strCache>
            </c:strRef>
          </c:tx>
          <c:spPr>
            <a:solidFill>
              <a:srgbClr val="EAF8D8"/>
            </a:solidFill>
            <a:ln>
              <a:solidFill>
                <a:srgbClr val="EAF8D8"/>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Hoja1!$D$2:$D$3</c:f>
              <c:numCache>
                <c:formatCode>0%</c:formatCode>
                <c:ptCount val="2"/>
                <c:pt idx="0">
                  <c:v>0.15</c:v>
                </c:pt>
                <c:pt idx="1">
                  <c:v>0.06</c:v>
                </c:pt>
              </c:numCache>
            </c:numRef>
          </c:val>
          <c:extLst xmlns:c16r2="http://schemas.microsoft.com/office/drawing/2015/06/chart">
            <c:ext xmlns:c16="http://schemas.microsoft.com/office/drawing/2014/chart" uri="{C3380CC4-5D6E-409C-BE32-E72D297353CC}">
              <c16:uniqueId val="{00000002-2128-43A4-A912-EDA457919DEF}"/>
            </c:ext>
          </c:extLst>
        </c:ser>
        <c:dLbls>
          <c:dLblPos val="ctr"/>
          <c:showLegendKey val="0"/>
          <c:showVal val="1"/>
          <c:showCatName val="0"/>
          <c:showSerName val="0"/>
          <c:showPercent val="0"/>
          <c:showBubbleSize val="0"/>
        </c:dLbls>
        <c:gapWidth val="150"/>
        <c:overlap val="100"/>
        <c:axId val="46278144"/>
        <c:axId val="46279680"/>
      </c:barChart>
      <c:catAx>
        <c:axId val="46278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279680"/>
        <c:crosses val="autoZero"/>
        <c:auto val="1"/>
        <c:lblAlgn val="ctr"/>
        <c:lblOffset val="100"/>
        <c:noMultiLvlLbl val="0"/>
      </c:catAx>
      <c:valAx>
        <c:axId val="46279680"/>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46278144"/>
        <c:crosses val="autoZero"/>
        <c:crossBetween val="between"/>
      </c:valAx>
      <c:spPr>
        <a:noFill/>
        <a:ln>
          <a:noFill/>
        </a:ln>
        <a:effectLst/>
      </c:spPr>
    </c:plotArea>
    <c:legend>
      <c:legendPos val="t"/>
      <c:layout>
        <c:manualLayout>
          <c:xMode val="edge"/>
          <c:yMode val="edge"/>
          <c:x val="0.42142317464315077"/>
          <c:y val="0.20806289054626084"/>
          <c:w val="0.19648854452929979"/>
          <c:h val="6.8789471261667776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39. Evolución de la distribución por sexo en el Grado I de carrera horizontal </a:t>
            </a:r>
            <a:r>
              <a:rPr lang="en-US" sz="1200" b="0" i="1">
                <a:solidFill>
                  <a:srgbClr val="253746"/>
                </a:solidFill>
                <a:latin typeface="Arial" panose="020B0604020202020204" pitchFamily="34" charset="0"/>
                <a:cs typeface="Arial" panose="020B0604020202020204" pitchFamily="34" charset="0"/>
              </a:rPr>
              <a:t>(Servicios Generales</a:t>
            </a:r>
            <a:r>
              <a:rPr lang="en-US" sz="1200" b="0" i="1" baseline="0">
                <a:solidFill>
                  <a:srgbClr val="253746"/>
                </a:solidFill>
                <a:latin typeface="Arial" panose="020B0604020202020204" pitchFamily="34" charset="0"/>
                <a:cs typeface="Arial" panose="020B0604020202020204" pitchFamily="34" charset="0"/>
              </a:rPr>
              <a:t>)</a:t>
            </a:r>
            <a:endParaRPr lang="en-US" sz="1200" b="0" i="1">
              <a:solidFill>
                <a:srgbClr val="253746"/>
              </a:solidFill>
              <a:latin typeface="Arial" panose="020B0604020202020204" pitchFamily="34" charset="0"/>
              <a:cs typeface="Arial" panose="020B0604020202020204" pitchFamily="34" charset="0"/>
            </a:endParaRPr>
          </a:p>
        </c:rich>
      </c:tx>
      <c:layout>
        <c:manualLayout>
          <c:xMode val="edge"/>
          <c:yMode val="edge"/>
          <c:x val="0.14114434947768284"/>
          <c:y val="2.5640889223566388E-2"/>
        </c:manualLayout>
      </c:layout>
      <c:overlay val="0"/>
      <c:spPr>
        <a:noFill/>
        <a:ln>
          <a:noFill/>
        </a:ln>
        <a:effectLst/>
      </c:spPr>
    </c:title>
    <c:autoTitleDeleted val="0"/>
    <c:plotArea>
      <c:layout>
        <c:manualLayout>
          <c:layoutTarget val="inner"/>
          <c:xMode val="edge"/>
          <c:yMode val="edge"/>
          <c:x val="9.657128863165608E-2"/>
          <c:y val="0.40731509800944293"/>
          <c:w val="0.87731285191915109"/>
          <c:h val="0.47988980716253443"/>
        </c:manualLayout>
      </c:layout>
      <c:lineChart>
        <c:grouping val="standard"/>
        <c:varyColors val="0"/>
        <c:ser>
          <c:idx val="0"/>
          <c:order val="0"/>
          <c:tx>
            <c:strRef>
              <c:f>Hoja1!$B$1</c:f>
              <c:strCache>
                <c:ptCount val="1"/>
                <c:pt idx="0">
                  <c:v>Mujeres</c:v>
                </c:pt>
              </c:strCache>
            </c:strRef>
          </c:tx>
          <c:spPr>
            <a:ln w="19050" cap="rnd">
              <a:solidFill>
                <a:srgbClr val="78BE20"/>
              </a:solidFill>
              <a:round/>
            </a:ln>
            <a:effectLst/>
          </c:spPr>
          <c:marker>
            <c:symbol val="circle"/>
            <c:size val="5"/>
            <c:spPr>
              <a:solidFill>
                <a:srgbClr val="78BE20"/>
              </a:solidFill>
              <a:ln w="9525">
                <a:solidFill>
                  <a:srgbClr val="78BE20"/>
                </a:solidFill>
              </a:ln>
              <a:effectLst/>
            </c:spPr>
          </c:marker>
          <c:dPt>
            <c:idx val="0"/>
            <c:bubble3D val="0"/>
            <c:explosion val="1"/>
            <c:extLst xmlns:c16r2="http://schemas.microsoft.com/office/drawing/2015/06/chart">
              <c:ext xmlns:c16="http://schemas.microsoft.com/office/drawing/2014/chart" uri="{C3380CC4-5D6E-409C-BE32-E72D297353CC}">
                <c16:uniqueId val="{00000001-845F-4E75-941E-8B58E7AA1A0F}"/>
              </c:ext>
            </c:extLst>
          </c:dPt>
          <c:dPt>
            <c:idx val="1"/>
            <c:bubble3D val="0"/>
            <c:extLst xmlns:c16r2="http://schemas.microsoft.com/office/drawing/2015/06/chart">
              <c:ext xmlns:c16="http://schemas.microsoft.com/office/drawing/2014/chart" uri="{C3380CC4-5D6E-409C-BE32-E72D297353CC}">
                <c16:uniqueId val="{00000002-845F-4E75-941E-8B58E7AA1A0F}"/>
              </c:ext>
            </c:extLst>
          </c:dPt>
          <c:dLbls>
            <c:delete val="1"/>
          </c:dLbls>
          <c:cat>
            <c:numRef>
              <c:f>Hoja1!$A$2:$A$5</c:f>
              <c:numCache>
                <c:formatCode>General</c:formatCode>
                <c:ptCount val="4"/>
                <c:pt idx="0">
                  <c:v>2017</c:v>
                </c:pt>
                <c:pt idx="1">
                  <c:v>2018</c:v>
                </c:pt>
                <c:pt idx="2">
                  <c:v>2019</c:v>
                </c:pt>
                <c:pt idx="3">
                  <c:v>2020</c:v>
                </c:pt>
              </c:numCache>
            </c:numRef>
          </c:cat>
          <c:val>
            <c:numRef>
              <c:f>Hoja1!$B$2:$B$5</c:f>
              <c:numCache>
                <c:formatCode>0%</c:formatCode>
                <c:ptCount val="4"/>
                <c:pt idx="0">
                  <c:v>0.64</c:v>
                </c:pt>
                <c:pt idx="1">
                  <c:v>0.64</c:v>
                </c:pt>
                <c:pt idx="2">
                  <c:v>0.64</c:v>
                </c:pt>
                <c:pt idx="3">
                  <c:v>0.65</c:v>
                </c:pt>
              </c:numCache>
            </c:numRef>
          </c:val>
          <c:smooth val="0"/>
          <c:extLst xmlns:c16r2="http://schemas.microsoft.com/office/drawing/2015/06/chart">
            <c:ext xmlns:c16="http://schemas.microsoft.com/office/drawing/2014/chart" uri="{C3380CC4-5D6E-409C-BE32-E72D297353CC}">
              <c16:uniqueId val="{00000003-845F-4E75-941E-8B58E7AA1A0F}"/>
            </c:ext>
          </c:extLst>
        </c:ser>
        <c:ser>
          <c:idx val="1"/>
          <c:order val="1"/>
          <c:tx>
            <c:strRef>
              <c:f>Hoja1!$C$1</c:f>
              <c:strCache>
                <c:ptCount val="1"/>
                <c:pt idx="0">
                  <c:v>Hombres</c:v>
                </c:pt>
              </c:strCache>
            </c:strRef>
          </c:tx>
          <c:spPr>
            <a:ln w="19050" cap="rnd">
              <a:solidFill>
                <a:srgbClr val="253746"/>
              </a:solidFill>
              <a:round/>
            </a:ln>
            <a:effectLst/>
          </c:spPr>
          <c:marker>
            <c:symbol val="circle"/>
            <c:size val="5"/>
            <c:spPr>
              <a:solidFill>
                <a:srgbClr val="253746"/>
              </a:solidFill>
              <a:ln w="9525">
                <a:solidFill>
                  <a:srgbClr val="253746"/>
                </a:solidFill>
              </a:ln>
              <a:effectLst/>
            </c:spPr>
          </c:marker>
          <c:dLbls>
            <c:delete val="1"/>
          </c:dLbls>
          <c:cat>
            <c:numRef>
              <c:f>Hoja1!$A$2:$A$5</c:f>
              <c:numCache>
                <c:formatCode>General</c:formatCode>
                <c:ptCount val="4"/>
                <c:pt idx="0">
                  <c:v>2017</c:v>
                </c:pt>
                <c:pt idx="1">
                  <c:v>2018</c:v>
                </c:pt>
                <c:pt idx="2">
                  <c:v>2019</c:v>
                </c:pt>
                <c:pt idx="3">
                  <c:v>2020</c:v>
                </c:pt>
              </c:numCache>
            </c:numRef>
          </c:cat>
          <c:val>
            <c:numRef>
              <c:f>Hoja1!$C$2:$C$5</c:f>
              <c:numCache>
                <c:formatCode>0%</c:formatCode>
                <c:ptCount val="4"/>
                <c:pt idx="0">
                  <c:v>0.36</c:v>
                </c:pt>
                <c:pt idx="1">
                  <c:v>0.36</c:v>
                </c:pt>
                <c:pt idx="2">
                  <c:v>0.36</c:v>
                </c:pt>
                <c:pt idx="3">
                  <c:v>0.35</c:v>
                </c:pt>
              </c:numCache>
            </c:numRef>
          </c:val>
          <c:smooth val="0"/>
          <c:extLst xmlns:c16r2="http://schemas.microsoft.com/office/drawing/2015/06/chart">
            <c:ext xmlns:c16="http://schemas.microsoft.com/office/drawing/2014/chart" uri="{C3380CC4-5D6E-409C-BE32-E72D297353CC}">
              <c16:uniqueId val="{00000004-845F-4E75-941E-8B58E7AA1A0F}"/>
            </c:ext>
          </c:extLst>
        </c:ser>
        <c:dLbls>
          <c:dLblPos val="ctr"/>
          <c:showLegendKey val="0"/>
          <c:showVal val="1"/>
          <c:showCatName val="0"/>
          <c:showSerName val="0"/>
          <c:showPercent val="0"/>
          <c:showBubbleSize val="0"/>
        </c:dLbls>
        <c:marker val="1"/>
        <c:smooth val="0"/>
        <c:axId val="46147456"/>
        <c:axId val="46702592"/>
      </c:lineChart>
      <c:catAx>
        <c:axId val="461474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702592"/>
        <c:crosses val="autoZero"/>
        <c:auto val="1"/>
        <c:lblAlgn val="ctr"/>
        <c:lblOffset val="100"/>
        <c:noMultiLvlLbl val="0"/>
      </c:catAx>
      <c:valAx>
        <c:axId val="46702592"/>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147456"/>
        <c:crosses val="autoZero"/>
        <c:crossBetween val="between"/>
      </c:valAx>
      <c:spPr>
        <a:noFill/>
        <a:ln>
          <a:noFill/>
        </a:ln>
        <a:effectLst/>
      </c:spPr>
    </c:plotArea>
    <c:legend>
      <c:legendPos val="t"/>
      <c:layout>
        <c:manualLayout>
          <c:xMode val="edge"/>
          <c:yMode val="edge"/>
          <c:x val="0.32793929604953226"/>
          <c:y val="0.23696051423324149"/>
          <c:w val="0.3536180840642783"/>
          <c:h val="7.83435644924549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4. Evolución de la distribución por sexo</a:t>
            </a:r>
          </a:p>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 </a:t>
            </a:r>
            <a:r>
              <a:rPr lang="en-US" sz="1200" b="0" i="1">
                <a:solidFill>
                  <a:srgbClr val="253746"/>
                </a:solidFill>
                <a:latin typeface="Arial" panose="020B0604020202020204" pitchFamily="34" charset="0"/>
                <a:cs typeface="Arial" panose="020B0604020202020204" pitchFamily="34" charset="0"/>
              </a:rPr>
              <a:t>(Servicios Generales)</a:t>
            </a:r>
          </a:p>
        </c:rich>
      </c:tx>
      <c:layout>
        <c:manualLayout>
          <c:xMode val="edge"/>
          <c:yMode val="edge"/>
          <c:x val="0.17200854700854704"/>
          <c:y val="2.5640803164067302E-2"/>
        </c:manualLayout>
      </c:layout>
      <c:overlay val="0"/>
      <c:spPr>
        <a:noFill/>
        <a:ln>
          <a:noFill/>
        </a:ln>
        <a:effectLst/>
      </c:spPr>
    </c:title>
    <c:autoTitleDeleted val="0"/>
    <c:plotArea>
      <c:layout>
        <c:manualLayout>
          <c:layoutTarget val="inner"/>
          <c:xMode val="edge"/>
          <c:yMode val="edge"/>
          <c:x val="9.657128863165608E-2"/>
          <c:y val="0.45782014851449354"/>
          <c:w val="0.87731285191915109"/>
          <c:h val="0.42938475665748382"/>
        </c:manualLayout>
      </c:layout>
      <c:lineChart>
        <c:grouping val="standard"/>
        <c:varyColors val="0"/>
        <c:ser>
          <c:idx val="0"/>
          <c:order val="0"/>
          <c:tx>
            <c:strRef>
              <c:f>Hoja1!$B$1</c:f>
              <c:strCache>
                <c:ptCount val="1"/>
                <c:pt idx="0">
                  <c:v>Mujeres</c:v>
                </c:pt>
              </c:strCache>
            </c:strRef>
          </c:tx>
          <c:spPr>
            <a:ln w="19050" cap="rnd">
              <a:solidFill>
                <a:srgbClr val="78BE20"/>
              </a:solidFill>
              <a:round/>
            </a:ln>
            <a:effectLst/>
          </c:spPr>
          <c:marker>
            <c:symbol val="circle"/>
            <c:size val="5"/>
            <c:spPr>
              <a:solidFill>
                <a:srgbClr val="78BE20"/>
              </a:solidFill>
              <a:ln w="9525">
                <a:solidFill>
                  <a:srgbClr val="78BE20"/>
                </a:solidFill>
              </a:ln>
              <a:effectLst/>
            </c:spPr>
          </c:marker>
          <c:dPt>
            <c:idx val="0"/>
            <c:bubble3D val="0"/>
            <c:explosion val="1"/>
            <c:extLst xmlns:c16r2="http://schemas.microsoft.com/office/drawing/2015/06/chart">
              <c:ext xmlns:c16="http://schemas.microsoft.com/office/drawing/2014/chart" uri="{C3380CC4-5D6E-409C-BE32-E72D297353CC}">
                <c16:uniqueId val="{00000000-17E1-40ED-BFD7-0E3387DA066D}"/>
              </c:ext>
            </c:extLst>
          </c:dPt>
          <c:dPt>
            <c:idx val="1"/>
            <c:bubble3D val="0"/>
            <c:extLst xmlns:c16r2="http://schemas.microsoft.com/office/drawing/2015/06/chart">
              <c:ext xmlns:c16="http://schemas.microsoft.com/office/drawing/2014/chart" uri="{C3380CC4-5D6E-409C-BE32-E72D297353CC}">
                <c16:uniqueId val="{00000001-17E1-40ED-BFD7-0E3387DA066D}"/>
              </c:ext>
            </c:extLst>
          </c:dPt>
          <c:cat>
            <c:numRef>
              <c:f>Hoja1!$A$2:$A$6</c:f>
              <c:numCache>
                <c:formatCode>General</c:formatCode>
                <c:ptCount val="5"/>
                <c:pt idx="0">
                  <c:v>2017</c:v>
                </c:pt>
                <c:pt idx="1">
                  <c:v>2018</c:v>
                </c:pt>
                <c:pt idx="2">
                  <c:v>2019</c:v>
                </c:pt>
                <c:pt idx="3">
                  <c:v>2020</c:v>
                </c:pt>
                <c:pt idx="4">
                  <c:v>2021</c:v>
                </c:pt>
              </c:numCache>
            </c:numRef>
          </c:cat>
          <c:val>
            <c:numRef>
              <c:f>Hoja1!$B$2:$B$6</c:f>
              <c:numCache>
                <c:formatCode>0%</c:formatCode>
                <c:ptCount val="5"/>
                <c:pt idx="0">
                  <c:v>0.65</c:v>
                </c:pt>
                <c:pt idx="1">
                  <c:v>0.64</c:v>
                </c:pt>
                <c:pt idx="2">
                  <c:v>0.64</c:v>
                </c:pt>
                <c:pt idx="3">
                  <c:v>0.65</c:v>
                </c:pt>
                <c:pt idx="4">
                  <c:v>0.66</c:v>
                </c:pt>
              </c:numCache>
            </c:numRef>
          </c:val>
          <c:smooth val="0"/>
          <c:extLst xmlns:c16r2="http://schemas.microsoft.com/office/drawing/2015/06/chart">
            <c:ext xmlns:c16="http://schemas.microsoft.com/office/drawing/2014/chart" uri="{C3380CC4-5D6E-409C-BE32-E72D297353CC}">
              <c16:uniqueId val="{00000002-17E1-40ED-BFD7-0E3387DA066D}"/>
            </c:ext>
          </c:extLst>
        </c:ser>
        <c:ser>
          <c:idx val="1"/>
          <c:order val="1"/>
          <c:tx>
            <c:strRef>
              <c:f>Hoja1!$C$1</c:f>
              <c:strCache>
                <c:ptCount val="1"/>
                <c:pt idx="0">
                  <c:v>Hombres</c:v>
                </c:pt>
              </c:strCache>
            </c:strRef>
          </c:tx>
          <c:spPr>
            <a:ln w="19050" cap="rnd">
              <a:solidFill>
                <a:srgbClr val="253746"/>
              </a:solidFill>
              <a:round/>
            </a:ln>
            <a:effectLst/>
          </c:spPr>
          <c:marker>
            <c:symbol val="circle"/>
            <c:size val="5"/>
            <c:spPr>
              <a:solidFill>
                <a:srgbClr val="253746"/>
              </a:solidFill>
              <a:ln w="9525">
                <a:solidFill>
                  <a:srgbClr val="253746"/>
                </a:solidFill>
              </a:ln>
              <a:effectLst/>
            </c:spPr>
          </c:marker>
          <c:cat>
            <c:numRef>
              <c:f>Hoja1!$A$2:$A$6</c:f>
              <c:numCache>
                <c:formatCode>General</c:formatCode>
                <c:ptCount val="5"/>
                <c:pt idx="0">
                  <c:v>2017</c:v>
                </c:pt>
                <c:pt idx="1">
                  <c:v>2018</c:v>
                </c:pt>
                <c:pt idx="2">
                  <c:v>2019</c:v>
                </c:pt>
                <c:pt idx="3">
                  <c:v>2020</c:v>
                </c:pt>
                <c:pt idx="4">
                  <c:v>2021</c:v>
                </c:pt>
              </c:numCache>
            </c:numRef>
          </c:cat>
          <c:val>
            <c:numRef>
              <c:f>Hoja1!$C$2:$C$6</c:f>
              <c:numCache>
                <c:formatCode>0%</c:formatCode>
                <c:ptCount val="5"/>
                <c:pt idx="0">
                  <c:v>0.35</c:v>
                </c:pt>
                <c:pt idx="1">
                  <c:v>0.36</c:v>
                </c:pt>
                <c:pt idx="2">
                  <c:v>0.36</c:v>
                </c:pt>
                <c:pt idx="3">
                  <c:v>0.35</c:v>
                </c:pt>
                <c:pt idx="4">
                  <c:v>0.34</c:v>
                </c:pt>
              </c:numCache>
            </c:numRef>
          </c:val>
          <c:smooth val="0"/>
          <c:extLst xmlns:c16r2="http://schemas.microsoft.com/office/drawing/2015/06/chart">
            <c:ext xmlns:c16="http://schemas.microsoft.com/office/drawing/2014/chart" uri="{C3380CC4-5D6E-409C-BE32-E72D297353CC}">
              <c16:uniqueId val="{00000003-17E1-40ED-BFD7-0E3387DA066D}"/>
            </c:ext>
          </c:extLst>
        </c:ser>
        <c:dLbls>
          <c:showLegendKey val="0"/>
          <c:showVal val="0"/>
          <c:showCatName val="0"/>
          <c:showSerName val="0"/>
          <c:showPercent val="0"/>
          <c:showBubbleSize val="0"/>
        </c:dLbls>
        <c:marker val="1"/>
        <c:smooth val="0"/>
        <c:axId val="42583936"/>
        <c:axId val="42590208"/>
      </c:lineChart>
      <c:catAx>
        <c:axId val="425839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2590208"/>
        <c:crosses val="autoZero"/>
        <c:auto val="1"/>
        <c:lblAlgn val="ctr"/>
        <c:lblOffset val="100"/>
        <c:noMultiLvlLbl val="0"/>
      </c:catAx>
      <c:valAx>
        <c:axId val="42590208"/>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s-ES"/>
          </a:p>
        </c:txPr>
        <c:crossAx val="425839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40. </a:t>
            </a:r>
            <a:r>
              <a:rPr lang="en-US" sz="1200" b="1" i="1" u="none" strike="noStrike" baseline="0">
                <a:solidFill>
                  <a:srgbClr val="253746"/>
                </a:solidFill>
                <a:effectLst/>
              </a:rPr>
              <a:t>Evolución de la distribución por sexo en el Grado I de carrera horizontal </a:t>
            </a:r>
            <a:r>
              <a:rPr lang="en-US" sz="1200" b="0" i="1">
                <a:solidFill>
                  <a:srgbClr val="253746"/>
                </a:solidFill>
                <a:latin typeface="Arial" panose="020B0604020202020204" pitchFamily="34" charset="0"/>
                <a:cs typeface="Arial" panose="020B0604020202020204" pitchFamily="34" charset="0"/>
              </a:rPr>
              <a:t>(</a:t>
            </a:r>
            <a:r>
              <a:rPr lang="es-ES" sz="1200" b="0" i="1" u="none" strike="noStrike" kern="1200" spc="0" baseline="0">
                <a:solidFill>
                  <a:srgbClr val="253746"/>
                </a:solidFill>
                <a:latin typeface="Arial" panose="020B0604020202020204" pitchFamily="34" charset="0"/>
                <a:ea typeface="+mn-ea"/>
                <a:cs typeface="Arial" panose="020B0604020202020204" pitchFamily="34" charset="0"/>
              </a:rPr>
              <a:t>Personal Docente</a:t>
            </a:r>
            <a:r>
              <a:rPr lang="en-US" sz="1200" b="0" i="1">
                <a:solidFill>
                  <a:srgbClr val="253746"/>
                </a:solidFill>
                <a:latin typeface="Arial" panose="020B0604020202020204" pitchFamily="34" charset="0"/>
                <a:cs typeface="Arial" panose="020B0604020202020204" pitchFamily="34" charset="0"/>
              </a:rPr>
              <a:t>)</a:t>
            </a:r>
          </a:p>
        </c:rich>
      </c:tx>
      <c:layout>
        <c:manualLayout>
          <c:xMode val="edge"/>
          <c:yMode val="edge"/>
          <c:x val="0.14114434947768284"/>
          <c:y val="2.5640889223566388E-2"/>
        </c:manualLayout>
      </c:layout>
      <c:overlay val="0"/>
      <c:spPr>
        <a:noFill/>
        <a:ln>
          <a:noFill/>
        </a:ln>
        <a:effectLst/>
      </c:spPr>
    </c:title>
    <c:autoTitleDeleted val="0"/>
    <c:plotArea>
      <c:layout>
        <c:manualLayout>
          <c:layoutTarget val="inner"/>
          <c:xMode val="edge"/>
          <c:yMode val="edge"/>
          <c:x val="9.657128863165608E-2"/>
          <c:y val="0.37517552041531999"/>
          <c:w val="0.87731285191915109"/>
          <c:h val="0.51202938475665738"/>
        </c:manualLayout>
      </c:layout>
      <c:lineChart>
        <c:grouping val="standard"/>
        <c:varyColors val="0"/>
        <c:ser>
          <c:idx val="0"/>
          <c:order val="0"/>
          <c:tx>
            <c:strRef>
              <c:f>Hoja1!$B$1</c:f>
              <c:strCache>
                <c:ptCount val="1"/>
                <c:pt idx="0">
                  <c:v>Mujeres</c:v>
                </c:pt>
              </c:strCache>
            </c:strRef>
          </c:tx>
          <c:spPr>
            <a:ln w="19050" cap="rnd">
              <a:solidFill>
                <a:srgbClr val="78BE20"/>
              </a:solidFill>
              <a:round/>
            </a:ln>
            <a:effectLst/>
          </c:spPr>
          <c:marker>
            <c:symbol val="circle"/>
            <c:size val="5"/>
            <c:spPr>
              <a:solidFill>
                <a:srgbClr val="78BE20"/>
              </a:solidFill>
              <a:ln w="9525">
                <a:solidFill>
                  <a:srgbClr val="78BE20"/>
                </a:solidFill>
              </a:ln>
              <a:effectLst/>
            </c:spPr>
          </c:marker>
          <c:dPt>
            <c:idx val="0"/>
            <c:bubble3D val="0"/>
            <c:explosion val="1"/>
            <c:extLst xmlns:c16r2="http://schemas.microsoft.com/office/drawing/2015/06/chart">
              <c:ext xmlns:c16="http://schemas.microsoft.com/office/drawing/2014/chart" uri="{C3380CC4-5D6E-409C-BE32-E72D297353CC}">
                <c16:uniqueId val="{00000001-D874-4E5A-B960-2BD0ED4AE29B}"/>
              </c:ext>
            </c:extLst>
          </c:dPt>
          <c:dPt>
            <c:idx val="1"/>
            <c:bubble3D val="0"/>
            <c:extLst xmlns:c16r2="http://schemas.microsoft.com/office/drawing/2015/06/chart">
              <c:ext xmlns:c16="http://schemas.microsoft.com/office/drawing/2014/chart" uri="{C3380CC4-5D6E-409C-BE32-E72D297353CC}">
                <c16:uniqueId val="{00000002-D874-4E5A-B960-2BD0ED4AE29B}"/>
              </c:ext>
            </c:extLst>
          </c:dPt>
          <c:dLbls>
            <c:delete val="1"/>
          </c:dLbls>
          <c:cat>
            <c:numRef>
              <c:f>Hoja1!$A$2:$A$3</c:f>
              <c:numCache>
                <c:formatCode>General</c:formatCode>
                <c:ptCount val="2"/>
                <c:pt idx="0">
                  <c:v>2018</c:v>
                </c:pt>
                <c:pt idx="1">
                  <c:v>2019</c:v>
                </c:pt>
              </c:numCache>
            </c:numRef>
          </c:cat>
          <c:val>
            <c:numRef>
              <c:f>Hoja1!$B$2:$B$3</c:f>
              <c:numCache>
                <c:formatCode>0%</c:formatCode>
                <c:ptCount val="2"/>
                <c:pt idx="0">
                  <c:v>0.7</c:v>
                </c:pt>
                <c:pt idx="1">
                  <c:v>0.7</c:v>
                </c:pt>
              </c:numCache>
            </c:numRef>
          </c:val>
          <c:smooth val="0"/>
          <c:extLst xmlns:c16r2="http://schemas.microsoft.com/office/drawing/2015/06/chart">
            <c:ext xmlns:c16="http://schemas.microsoft.com/office/drawing/2014/chart" uri="{C3380CC4-5D6E-409C-BE32-E72D297353CC}">
              <c16:uniqueId val="{00000003-D874-4E5A-B960-2BD0ED4AE29B}"/>
            </c:ext>
          </c:extLst>
        </c:ser>
        <c:ser>
          <c:idx val="1"/>
          <c:order val="1"/>
          <c:tx>
            <c:strRef>
              <c:f>Hoja1!$C$1</c:f>
              <c:strCache>
                <c:ptCount val="1"/>
                <c:pt idx="0">
                  <c:v>Hombres</c:v>
                </c:pt>
              </c:strCache>
            </c:strRef>
          </c:tx>
          <c:spPr>
            <a:ln w="19050" cap="rnd">
              <a:solidFill>
                <a:srgbClr val="253746"/>
              </a:solidFill>
              <a:round/>
            </a:ln>
            <a:effectLst/>
          </c:spPr>
          <c:marker>
            <c:symbol val="circle"/>
            <c:size val="5"/>
            <c:spPr>
              <a:solidFill>
                <a:srgbClr val="253746"/>
              </a:solidFill>
              <a:ln w="9525">
                <a:solidFill>
                  <a:srgbClr val="253746"/>
                </a:solidFill>
              </a:ln>
              <a:effectLst/>
            </c:spPr>
          </c:marker>
          <c:dLbls>
            <c:delete val="1"/>
          </c:dLbls>
          <c:cat>
            <c:numRef>
              <c:f>Hoja1!$A$2:$A$3</c:f>
              <c:numCache>
                <c:formatCode>General</c:formatCode>
                <c:ptCount val="2"/>
                <c:pt idx="0">
                  <c:v>2018</c:v>
                </c:pt>
                <c:pt idx="1">
                  <c:v>2019</c:v>
                </c:pt>
              </c:numCache>
            </c:numRef>
          </c:cat>
          <c:val>
            <c:numRef>
              <c:f>Hoja1!$C$2:$C$3</c:f>
              <c:numCache>
                <c:formatCode>0%</c:formatCode>
                <c:ptCount val="2"/>
                <c:pt idx="0">
                  <c:v>0.3</c:v>
                </c:pt>
                <c:pt idx="1">
                  <c:v>0.3</c:v>
                </c:pt>
              </c:numCache>
            </c:numRef>
          </c:val>
          <c:smooth val="0"/>
          <c:extLst xmlns:c16r2="http://schemas.microsoft.com/office/drawing/2015/06/chart">
            <c:ext xmlns:c16="http://schemas.microsoft.com/office/drawing/2014/chart" uri="{C3380CC4-5D6E-409C-BE32-E72D297353CC}">
              <c16:uniqueId val="{00000004-D874-4E5A-B960-2BD0ED4AE29B}"/>
            </c:ext>
          </c:extLst>
        </c:ser>
        <c:dLbls>
          <c:dLblPos val="ctr"/>
          <c:showLegendKey val="0"/>
          <c:showVal val="1"/>
          <c:showCatName val="0"/>
          <c:showSerName val="0"/>
          <c:showPercent val="0"/>
          <c:showBubbleSize val="0"/>
        </c:dLbls>
        <c:marker val="1"/>
        <c:smooth val="0"/>
        <c:axId val="46717568"/>
        <c:axId val="46723840"/>
      </c:lineChart>
      <c:catAx>
        <c:axId val="46717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723840"/>
        <c:crosses val="autoZero"/>
        <c:auto val="1"/>
        <c:lblAlgn val="ctr"/>
        <c:lblOffset val="100"/>
        <c:noMultiLvlLbl val="0"/>
      </c:catAx>
      <c:valAx>
        <c:axId val="46723840"/>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717568"/>
        <c:crosses val="autoZero"/>
        <c:crossBetween val="between"/>
      </c:valAx>
      <c:spPr>
        <a:noFill/>
        <a:ln>
          <a:noFill/>
        </a:ln>
        <a:effectLst/>
      </c:spPr>
    </c:plotArea>
    <c:legend>
      <c:legendPos val="t"/>
      <c:layout>
        <c:manualLayout>
          <c:xMode val="edge"/>
          <c:yMode val="edge"/>
          <c:x val="0.32319095796786085"/>
          <c:y val="0.21400367309458218"/>
          <c:w val="0.3536180840642783"/>
          <c:h val="7.834356449245497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41. </a:t>
            </a:r>
            <a:r>
              <a:rPr lang="en-US" sz="1200" b="1" i="1" u="none" strike="noStrike" baseline="0">
                <a:solidFill>
                  <a:srgbClr val="253746"/>
                </a:solidFill>
                <a:effectLst/>
              </a:rPr>
              <a:t>Evolución de la distribución por sexo en las adjudicaciones de puestos mediante Concurso de méritos </a:t>
            </a:r>
            <a:r>
              <a:rPr lang="en-US" sz="1200" b="0" i="1" u="none" strike="noStrike" baseline="0">
                <a:solidFill>
                  <a:srgbClr val="253746"/>
                </a:solidFill>
                <a:effectLst/>
              </a:rPr>
              <a:t>(Servicios Generales)</a:t>
            </a:r>
            <a:endParaRPr lang="en-US" sz="1200" b="0" i="1">
              <a:solidFill>
                <a:srgbClr val="253746"/>
              </a:solidFill>
              <a:latin typeface="Arial" panose="020B0604020202020204" pitchFamily="34" charset="0"/>
              <a:cs typeface="Arial" panose="020B0604020202020204" pitchFamily="34" charset="0"/>
            </a:endParaRPr>
          </a:p>
        </c:rich>
      </c:tx>
      <c:layout>
        <c:manualLayout>
          <c:xMode val="edge"/>
          <c:yMode val="edge"/>
          <c:x val="0.12215099715099716"/>
          <c:y val="3.0232171391799165E-2"/>
        </c:manualLayout>
      </c:layout>
      <c:overlay val="0"/>
      <c:spPr>
        <a:noFill/>
        <a:ln>
          <a:noFill/>
        </a:ln>
        <a:effectLst/>
      </c:spPr>
    </c:title>
    <c:autoTitleDeleted val="0"/>
    <c:plotArea>
      <c:layout>
        <c:manualLayout>
          <c:layoutTarget val="inner"/>
          <c:xMode val="edge"/>
          <c:yMode val="edge"/>
          <c:x val="9.657128863165608E-2"/>
          <c:y val="0.45322878028676167"/>
          <c:w val="0.87731285191915109"/>
          <c:h val="0.43397612488521581"/>
        </c:manualLayout>
      </c:layout>
      <c:lineChart>
        <c:grouping val="standard"/>
        <c:varyColors val="0"/>
        <c:ser>
          <c:idx val="0"/>
          <c:order val="0"/>
          <c:tx>
            <c:strRef>
              <c:f>Hoja1!$B$1</c:f>
              <c:strCache>
                <c:ptCount val="1"/>
                <c:pt idx="0">
                  <c:v>Mujeres</c:v>
                </c:pt>
              </c:strCache>
            </c:strRef>
          </c:tx>
          <c:spPr>
            <a:ln w="19050" cap="rnd">
              <a:solidFill>
                <a:srgbClr val="78BE20"/>
              </a:solidFill>
              <a:round/>
            </a:ln>
            <a:effectLst/>
          </c:spPr>
          <c:marker>
            <c:symbol val="circle"/>
            <c:size val="5"/>
            <c:spPr>
              <a:solidFill>
                <a:srgbClr val="78BE20"/>
              </a:solidFill>
              <a:ln w="9525">
                <a:solidFill>
                  <a:srgbClr val="78BE20"/>
                </a:solidFill>
              </a:ln>
              <a:effectLst/>
            </c:spPr>
          </c:marker>
          <c:dPt>
            <c:idx val="0"/>
            <c:bubble3D val="0"/>
            <c:explosion val="1"/>
            <c:extLst xmlns:c16r2="http://schemas.microsoft.com/office/drawing/2015/06/chart">
              <c:ext xmlns:c16="http://schemas.microsoft.com/office/drawing/2014/chart" uri="{C3380CC4-5D6E-409C-BE32-E72D297353CC}">
                <c16:uniqueId val="{00000001-2B82-4768-B72E-98D3EB3C24DB}"/>
              </c:ext>
            </c:extLst>
          </c:dPt>
          <c:dPt>
            <c:idx val="1"/>
            <c:bubble3D val="0"/>
            <c:extLst xmlns:c16r2="http://schemas.microsoft.com/office/drawing/2015/06/chart">
              <c:ext xmlns:c16="http://schemas.microsoft.com/office/drawing/2014/chart" uri="{C3380CC4-5D6E-409C-BE32-E72D297353CC}">
                <c16:uniqueId val="{00000002-2B82-4768-B72E-98D3EB3C24DB}"/>
              </c:ext>
            </c:extLst>
          </c:dPt>
          <c:dLbls>
            <c:delete val="1"/>
          </c:dLbls>
          <c:cat>
            <c:numRef>
              <c:f>Hoja1!$A$2:$A$3</c:f>
              <c:numCache>
                <c:formatCode>General</c:formatCode>
                <c:ptCount val="2"/>
                <c:pt idx="0">
                  <c:v>2018</c:v>
                </c:pt>
                <c:pt idx="1">
                  <c:v>2019</c:v>
                </c:pt>
              </c:numCache>
            </c:numRef>
          </c:cat>
          <c:val>
            <c:numRef>
              <c:f>Hoja1!$B$2:$B$3</c:f>
              <c:numCache>
                <c:formatCode>0%</c:formatCode>
                <c:ptCount val="2"/>
                <c:pt idx="0">
                  <c:v>0.72</c:v>
                </c:pt>
                <c:pt idx="1">
                  <c:v>0.74</c:v>
                </c:pt>
              </c:numCache>
            </c:numRef>
          </c:val>
          <c:smooth val="0"/>
          <c:extLst xmlns:c16r2="http://schemas.microsoft.com/office/drawing/2015/06/chart">
            <c:ext xmlns:c16="http://schemas.microsoft.com/office/drawing/2014/chart" uri="{C3380CC4-5D6E-409C-BE32-E72D297353CC}">
              <c16:uniqueId val="{00000003-2B82-4768-B72E-98D3EB3C24DB}"/>
            </c:ext>
          </c:extLst>
        </c:ser>
        <c:ser>
          <c:idx val="1"/>
          <c:order val="1"/>
          <c:tx>
            <c:strRef>
              <c:f>Hoja1!$C$1</c:f>
              <c:strCache>
                <c:ptCount val="1"/>
                <c:pt idx="0">
                  <c:v>Hombres</c:v>
                </c:pt>
              </c:strCache>
            </c:strRef>
          </c:tx>
          <c:spPr>
            <a:ln w="19050" cap="rnd">
              <a:solidFill>
                <a:srgbClr val="253746"/>
              </a:solidFill>
              <a:round/>
            </a:ln>
            <a:effectLst/>
          </c:spPr>
          <c:marker>
            <c:symbol val="circle"/>
            <c:size val="5"/>
            <c:spPr>
              <a:solidFill>
                <a:srgbClr val="253746"/>
              </a:solidFill>
              <a:ln w="9525">
                <a:solidFill>
                  <a:srgbClr val="253746"/>
                </a:solidFill>
              </a:ln>
              <a:effectLst/>
            </c:spPr>
          </c:marker>
          <c:dLbls>
            <c:delete val="1"/>
          </c:dLbls>
          <c:cat>
            <c:numRef>
              <c:f>Hoja1!$A$2:$A$3</c:f>
              <c:numCache>
                <c:formatCode>General</c:formatCode>
                <c:ptCount val="2"/>
                <c:pt idx="0">
                  <c:v>2018</c:v>
                </c:pt>
                <c:pt idx="1">
                  <c:v>2019</c:v>
                </c:pt>
              </c:numCache>
            </c:numRef>
          </c:cat>
          <c:val>
            <c:numRef>
              <c:f>Hoja1!$C$2:$C$3</c:f>
              <c:numCache>
                <c:formatCode>0%</c:formatCode>
                <c:ptCount val="2"/>
                <c:pt idx="0">
                  <c:v>0.28000000000000003</c:v>
                </c:pt>
                <c:pt idx="1">
                  <c:v>0.26</c:v>
                </c:pt>
              </c:numCache>
            </c:numRef>
          </c:val>
          <c:smooth val="0"/>
          <c:extLst xmlns:c16r2="http://schemas.microsoft.com/office/drawing/2015/06/chart">
            <c:ext xmlns:c16="http://schemas.microsoft.com/office/drawing/2014/chart" uri="{C3380CC4-5D6E-409C-BE32-E72D297353CC}">
              <c16:uniqueId val="{00000004-2B82-4768-B72E-98D3EB3C24DB}"/>
            </c:ext>
          </c:extLst>
        </c:ser>
        <c:dLbls>
          <c:dLblPos val="ctr"/>
          <c:showLegendKey val="0"/>
          <c:showVal val="1"/>
          <c:showCatName val="0"/>
          <c:showSerName val="0"/>
          <c:showPercent val="0"/>
          <c:showBubbleSize val="0"/>
        </c:dLbls>
        <c:marker val="1"/>
        <c:smooth val="0"/>
        <c:axId val="46714240"/>
        <c:axId val="46736896"/>
      </c:lineChart>
      <c:catAx>
        <c:axId val="467142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736896"/>
        <c:crosses val="autoZero"/>
        <c:auto val="1"/>
        <c:lblAlgn val="ctr"/>
        <c:lblOffset val="100"/>
        <c:noMultiLvlLbl val="0"/>
      </c:catAx>
      <c:valAx>
        <c:axId val="46736896"/>
        <c:scaling>
          <c:orientation val="minMax"/>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714240"/>
        <c:crosses val="autoZero"/>
        <c:crossBetween val="between"/>
      </c:valAx>
      <c:spPr>
        <a:noFill/>
        <a:ln>
          <a:noFill/>
        </a:ln>
        <a:effectLst/>
      </c:spPr>
    </c:plotArea>
    <c:legend>
      <c:legendPos val="t"/>
      <c:layout>
        <c:manualLayout>
          <c:xMode val="edge"/>
          <c:yMode val="edge"/>
          <c:x val="0.32793929604953226"/>
          <c:y val="0.27279632401321735"/>
          <c:w val="0.3536180840642783"/>
          <c:h val="7.834356449245497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42. Evolución de la distribución por sexo en las adjudicaciones de</a:t>
            </a:r>
            <a:r>
              <a:rPr lang="en-US" sz="1200" b="1" i="1" baseline="0">
                <a:solidFill>
                  <a:srgbClr val="253746"/>
                </a:solidFill>
                <a:latin typeface="Arial" panose="020B0604020202020204" pitchFamily="34" charset="0"/>
                <a:cs typeface="Arial" panose="020B0604020202020204" pitchFamily="34" charset="0"/>
              </a:rPr>
              <a:t> puestos de Libre Designación</a:t>
            </a:r>
            <a:r>
              <a:rPr lang="en-US" sz="1200" b="1" i="1">
                <a:solidFill>
                  <a:srgbClr val="253746"/>
                </a:solidFill>
                <a:latin typeface="Arial" panose="020B0604020202020204" pitchFamily="34" charset="0"/>
                <a:cs typeface="Arial" panose="020B0604020202020204" pitchFamily="34" charset="0"/>
              </a:rPr>
              <a:t> </a:t>
            </a:r>
          </a:p>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0" i="1">
                <a:solidFill>
                  <a:srgbClr val="253746"/>
                </a:solidFill>
                <a:latin typeface="Arial" panose="020B0604020202020204" pitchFamily="34" charset="0"/>
                <a:cs typeface="Arial" panose="020B0604020202020204" pitchFamily="34" charset="0"/>
              </a:rPr>
              <a:t>(Servicios Generales</a:t>
            </a:r>
            <a:r>
              <a:rPr lang="en-US" sz="1200" b="0" i="1" baseline="0">
                <a:solidFill>
                  <a:srgbClr val="253746"/>
                </a:solidFill>
                <a:latin typeface="Arial" panose="020B0604020202020204" pitchFamily="34" charset="0"/>
                <a:cs typeface="Arial" panose="020B0604020202020204" pitchFamily="34" charset="0"/>
              </a:rPr>
              <a:t>)</a:t>
            </a:r>
            <a:endParaRPr lang="en-US" sz="1200" b="0" i="1">
              <a:solidFill>
                <a:srgbClr val="253746"/>
              </a:solidFill>
              <a:latin typeface="Arial" panose="020B0604020202020204" pitchFamily="34" charset="0"/>
              <a:cs typeface="Arial" panose="020B0604020202020204" pitchFamily="34" charset="0"/>
            </a:endParaRPr>
          </a:p>
        </c:rich>
      </c:tx>
      <c:layout>
        <c:manualLayout>
          <c:xMode val="edge"/>
          <c:yMode val="edge"/>
          <c:x val="0.14114434947768284"/>
          <c:y val="2.5640889223566388E-2"/>
        </c:manualLayout>
      </c:layout>
      <c:overlay val="0"/>
      <c:spPr>
        <a:noFill/>
        <a:ln>
          <a:noFill/>
        </a:ln>
        <a:effectLst/>
      </c:spPr>
    </c:title>
    <c:autoTitleDeleted val="0"/>
    <c:plotArea>
      <c:layout>
        <c:manualLayout>
          <c:layoutTarget val="inner"/>
          <c:xMode val="edge"/>
          <c:yMode val="edge"/>
          <c:x val="9.657128863165608E-2"/>
          <c:y val="0.37976688864305186"/>
          <c:w val="0.87731285191915109"/>
          <c:h val="0.50743801652892562"/>
        </c:manualLayout>
      </c:layout>
      <c:lineChart>
        <c:grouping val="standard"/>
        <c:varyColors val="0"/>
        <c:ser>
          <c:idx val="0"/>
          <c:order val="0"/>
          <c:tx>
            <c:strRef>
              <c:f>Hoja1!$B$1</c:f>
              <c:strCache>
                <c:ptCount val="1"/>
                <c:pt idx="0">
                  <c:v>Mujeres</c:v>
                </c:pt>
              </c:strCache>
            </c:strRef>
          </c:tx>
          <c:spPr>
            <a:ln w="19050" cap="rnd">
              <a:solidFill>
                <a:srgbClr val="78BE20"/>
              </a:solidFill>
              <a:round/>
            </a:ln>
            <a:effectLst/>
          </c:spPr>
          <c:marker>
            <c:symbol val="circle"/>
            <c:size val="5"/>
            <c:spPr>
              <a:solidFill>
                <a:srgbClr val="78BE20"/>
              </a:solidFill>
              <a:ln w="9525">
                <a:solidFill>
                  <a:srgbClr val="78BE20"/>
                </a:solidFill>
              </a:ln>
              <a:effectLst/>
            </c:spPr>
          </c:marker>
          <c:dPt>
            <c:idx val="0"/>
            <c:bubble3D val="0"/>
            <c:explosion val="1"/>
            <c:extLst xmlns:c16r2="http://schemas.microsoft.com/office/drawing/2015/06/chart">
              <c:ext xmlns:c16="http://schemas.microsoft.com/office/drawing/2014/chart" uri="{C3380CC4-5D6E-409C-BE32-E72D297353CC}">
                <c16:uniqueId val="{00000001-B68B-4C8C-8499-60FE50F21FEF}"/>
              </c:ext>
            </c:extLst>
          </c:dPt>
          <c:dPt>
            <c:idx val="1"/>
            <c:bubble3D val="0"/>
            <c:extLst xmlns:c16r2="http://schemas.microsoft.com/office/drawing/2015/06/chart">
              <c:ext xmlns:c16="http://schemas.microsoft.com/office/drawing/2014/chart" uri="{C3380CC4-5D6E-409C-BE32-E72D297353CC}">
                <c16:uniqueId val="{00000002-B68B-4C8C-8499-60FE50F21FEF}"/>
              </c:ext>
            </c:extLst>
          </c:dPt>
          <c:dLbls>
            <c:delete val="1"/>
          </c:dLbls>
          <c:cat>
            <c:numRef>
              <c:f>Hoja1!$A$2:$A$6</c:f>
              <c:numCache>
                <c:formatCode>General</c:formatCode>
                <c:ptCount val="5"/>
                <c:pt idx="0">
                  <c:v>2017</c:v>
                </c:pt>
                <c:pt idx="1">
                  <c:v>2018</c:v>
                </c:pt>
                <c:pt idx="2">
                  <c:v>2019</c:v>
                </c:pt>
                <c:pt idx="3">
                  <c:v>2020</c:v>
                </c:pt>
                <c:pt idx="4">
                  <c:v>2021</c:v>
                </c:pt>
              </c:numCache>
            </c:numRef>
          </c:cat>
          <c:val>
            <c:numRef>
              <c:f>Hoja1!$B$2:$B$6</c:f>
              <c:numCache>
                <c:formatCode>0%</c:formatCode>
                <c:ptCount val="5"/>
                <c:pt idx="0">
                  <c:v>0.78</c:v>
                </c:pt>
                <c:pt idx="1">
                  <c:v>1</c:v>
                </c:pt>
                <c:pt idx="2">
                  <c:v>0.83</c:v>
                </c:pt>
                <c:pt idx="3">
                  <c:v>0.61</c:v>
                </c:pt>
                <c:pt idx="4">
                  <c:v>0.6</c:v>
                </c:pt>
              </c:numCache>
            </c:numRef>
          </c:val>
          <c:smooth val="0"/>
          <c:extLst xmlns:c16r2="http://schemas.microsoft.com/office/drawing/2015/06/chart">
            <c:ext xmlns:c16="http://schemas.microsoft.com/office/drawing/2014/chart" uri="{C3380CC4-5D6E-409C-BE32-E72D297353CC}">
              <c16:uniqueId val="{00000003-B68B-4C8C-8499-60FE50F21FEF}"/>
            </c:ext>
          </c:extLst>
        </c:ser>
        <c:ser>
          <c:idx val="1"/>
          <c:order val="1"/>
          <c:tx>
            <c:strRef>
              <c:f>Hoja1!$C$1</c:f>
              <c:strCache>
                <c:ptCount val="1"/>
                <c:pt idx="0">
                  <c:v>Hombres</c:v>
                </c:pt>
              </c:strCache>
            </c:strRef>
          </c:tx>
          <c:spPr>
            <a:ln w="19050" cap="rnd">
              <a:solidFill>
                <a:srgbClr val="253746"/>
              </a:solidFill>
              <a:round/>
            </a:ln>
            <a:effectLst/>
          </c:spPr>
          <c:marker>
            <c:symbol val="circle"/>
            <c:size val="5"/>
            <c:spPr>
              <a:solidFill>
                <a:srgbClr val="253746"/>
              </a:solidFill>
              <a:ln w="9525">
                <a:solidFill>
                  <a:srgbClr val="253746"/>
                </a:solidFill>
              </a:ln>
              <a:effectLst/>
            </c:spPr>
          </c:marker>
          <c:dLbls>
            <c:delete val="1"/>
          </c:dLbls>
          <c:cat>
            <c:numRef>
              <c:f>Hoja1!$A$2:$A$6</c:f>
              <c:numCache>
                <c:formatCode>General</c:formatCode>
                <c:ptCount val="5"/>
                <c:pt idx="0">
                  <c:v>2017</c:v>
                </c:pt>
                <c:pt idx="1">
                  <c:v>2018</c:v>
                </c:pt>
                <c:pt idx="2">
                  <c:v>2019</c:v>
                </c:pt>
                <c:pt idx="3">
                  <c:v>2020</c:v>
                </c:pt>
                <c:pt idx="4">
                  <c:v>2021</c:v>
                </c:pt>
              </c:numCache>
            </c:numRef>
          </c:cat>
          <c:val>
            <c:numRef>
              <c:f>Hoja1!$C$2:$C$6</c:f>
              <c:numCache>
                <c:formatCode>0%</c:formatCode>
                <c:ptCount val="5"/>
                <c:pt idx="0">
                  <c:v>0.22</c:v>
                </c:pt>
                <c:pt idx="1">
                  <c:v>0</c:v>
                </c:pt>
                <c:pt idx="2">
                  <c:v>0.17</c:v>
                </c:pt>
                <c:pt idx="3">
                  <c:v>0.39</c:v>
                </c:pt>
                <c:pt idx="4">
                  <c:v>0.4</c:v>
                </c:pt>
              </c:numCache>
            </c:numRef>
          </c:val>
          <c:smooth val="0"/>
          <c:extLst xmlns:c16r2="http://schemas.microsoft.com/office/drawing/2015/06/chart">
            <c:ext xmlns:c16="http://schemas.microsoft.com/office/drawing/2014/chart" uri="{C3380CC4-5D6E-409C-BE32-E72D297353CC}">
              <c16:uniqueId val="{00000004-B68B-4C8C-8499-60FE50F21FEF}"/>
            </c:ext>
          </c:extLst>
        </c:ser>
        <c:dLbls>
          <c:dLblPos val="ctr"/>
          <c:showLegendKey val="0"/>
          <c:showVal val="1"/>
          <c:showCatName val="0"/>
          <c:showSerName val="0"/>
          <c:showPercent val="0"/>
          <c:showBubbleSize val="0"/>
        </c:dLbls>
        <c:marker val="1"/>
        <c:smooth val="0"/>
        <c:axId val="46788992"/>
        <c:axId val="46790912"/>
      </c:lineChart>
      <c:catAx>
        <c:axId val="467889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790912"/>
        <c:crosses val="autoZero"/>
        <c:auto val="1"/>
        <c:lblAlgn val="ctr"/>
        <c:lblOffset val="100"/>
        <c:noMultiLvlLbl val="0"/>
      </c:catAx>
      <c:valAx>
        <c:axId val="46790912"/>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7889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43. Evolución de la distribución por sexo en las adjudicaciones de puestos por Comisión de Servicios </a:t>
            </a:r>
            <a:r>
              <a:rPr lang="en-US" sz="1200" b="0" i="1">
                <a:solidFill>
                  <a:srgbClr val="253746"/>
                </a:solidFill>
                <a:latin typeface="Arial" panose="020B0604020202020204" pitchFamily="34" charset="0"/>
                <a:cs typeface="Arial" panose="020B0604020202020204" pitchFamily="34" charset="0"/>
              </a:rPr>
              <a:t>(Servicios</a:t>
            </a:r>
            <a:r>
              <a:rPr lang="en-US" sz="1200" b="0" i="1" baseline="0">
                <a:solidFill>
                  <a:srgbClr val="253746"/>
                </a:solidFill>
                <a:latin typeface="Arial" panose="020B0604020202020204" pitchFamily="34" charset="0"/>
                <a:cs typeface="Arial" panose="020B0604020202020204" pitchFamily="34" charset="0"/>
              </a:rPr>
              <a:t> Generales)</a:t>
            </a:r>
            <a:endParaRPr lang="en-US" sz="1200" b="0" i="1">
              <a:solidFill>
                <a:srgbClr val="253746"/>
              </a:solidFill>
              <a:latin typeface="Arial" panose="020B0604020202020204" pitchFamily="34" charset="0"/>
              <a:cs typeface="Arial" panose="020B0604020202020204" pitchFamily="34" charset="0"/>
            </a:endParaRPr>
          </a:p>
        </c:rich>
      </c:tx>
      <c:layout>
        <c:manualLayout>
          <c:xMode val="edge"/>
          <c:yMode val="edge"/>
          <c:x val="0.11502849002849003"/>
          <c:y val="2.5640803164067302E-2"/>
        </c:manualLayout>
      </c:layout>
      <c:overlay val="0"/>
      <c:spPr>
        <a:noFill/>
        <a:ln>
          <a:noFill/>
        </a:ln>
        <a:effectLst/>
      </c:spPr>
    </c:title>
    <c:autoTitleDeleted val="0"/>
    <c:plotArea>
      <c:layout>
        <c:manualLayout>
          <c:layoutTarget val="inner"/>
          <c:xMode val="edge"/>
          <c:yMode val="edge"/>
          <c:x val="9.657128863165608E-2"/>
          <c:y val="0.37517552041531999"/>
          <c:w val="0.87731285191915109"/>
          <c:h val="0.51202938475665738"/>
        </c:manualLayout>
      </c:layout>
      <c:lineChart>
        <c:grouping val="standard"/>
        <c:varyColors val="0"/>
        <c:ser>
          <c:idx val="0"/>
          <c:order val="0"/>
          <c:tx>
            <c:strRef>
              <c:f>Hoja1!$B$1</c:f>
              <c:strCache>
                <c:ptCount val="1"/>
                <c:pt idx="0">
                  <c:v>Mujeres</c:v>
                </c:pt>
              </c:strCache>
            </c:strRef>
          </c:tx>
          <c:spPr>
            <a:ln w="19050" cap="rnd">
              <a:solidFill>
                <a:srgbClr val="78BE20"/>
              </a:solidFill>
              <a:round/>
            </a:ln>
            <a:effectLst/>
          </c:spPr>
          <c:marker>
            <c:symbol val="circle"/>
            <c:size val="5"/>
            <c:spPr>
              <a:solidFill>
                <a:srgbClr val="78BE20"/>
              </a:solidFill>
              <a:ln w="9525">
                <a:solidFill>
                  <a:srgbClr val="78BE20"/>
                </a:solidFill>
              </a:ln>
              <a:effectLst/>
            </c:spPr>
          </c:marker>
          <c:dPt>
            <c:idx val="0"/>
            <c:bubble3D val="0"/>
            <c:explosion val="1"/>
            <c:extLst xmlns:c16r2="http://schemas.microsoft.com/office/drawing/2015/06/chart">
              <c:ext xmlns:c16="http://schemas.microsoft.com/office/drawing/2014/chart" uri="{C3380CC4-5D6E-409C-BE32-E72D297353CC}">
                <c16:uniqueId val="{00000001-37EC-46D3-99D8-E80C8811A753}"/>
              </c:ext>
            </c:extLst>
          </c:dPt>
          <c:dPt>
            <c:idx val="1"/>
            <c:bubble3D val="0"/>
            <c:extLst xmlns:c16r2="http://schemas.microsoft.com/office/drawing/2015/06/chart">
              <c:ext xmlns:c16="http://schemas.microsoft.com/office/drawing/2014/chart" uri="{C3380CC4-5D6E-409C-BE32-E72D297353CC}">
                <c16:uniqueId val="{00000002-37EC-46D3-99D8-E80C8811A753}"/>
              </c:ext>
            </c:extLst>
          </c:dPt>
          <c:dLbls>
            <c:delete val="1"/>
          </c:dLbls>
          <c:cat>
            <c:numRef>
              <c:f>Hoja1!$A$2:$A$6</c:f>
              <c:numCache>
                <c:formatCode>General</c:formatCode>
                <c:ptCount val="5"/>
                <c:pt idx="0">
                  <c:v>2017</c:v>
                </c:pt>
                <c:pt idx="1">
                  <c:v>2018</c:v>
                </c:pt>
                <c:pt idx="2">
                  <c:v>2019</c:v>
                </c:pt>
                <c:pt idx="3">
                  <c:v>2020</c:v>
                </c:pt>
                <c:pt idx="4">
                  <c:v>2021</c:v>
                </c:pt>
              </c:numCache>
            </c:numRef>
          </c:cat>
          <c:val>
            <c:numRef>
              <c:f>Hoja1!$B$2:$B$6</c:f>
              <c:numCache>
                <c:formatCode>0%</c:formatCode>
                <c:ptCount val="5"/>
                <c:pt idx="0">
                  <c:v>0.71</c:v>
                </c:pt>
                <c:pt idx="1">
                  <c:v>0.49</c:v>
                </c:pt>
                <c:pt idx="2">
                  <c:v>0.67</c:v>
                </c:pt>
                <c:pt idx="3">
                  <c:v>0.77</c:v>
                </c:pt>
                <c:pt idx="4">
                  <c:v>0.77</c:v>
                </c:pt>
              </c:numCache>
            </c:numRef>
          </c:val>
          <c:smooth val="0"/>
          <c:extLst xmlns:c16r2="http://schemas.microsoft.com/office/drawing/2015/06/chart">
            <c:ext xmlns:c16="http://schemas.microsoft.com/office/drawing/2014/chart" uri="{C3380CC4-5D6E-409C-BE32-E72D297353CC}">
              <c16:uniqueId val="{00000003-37EC-46D3-99D8-E80C8811A753}"/>
            </c:ext>
          </c:extLst>
        </c:ser>
        <c:ser>
          <c:idx val="1"/>
          <c:order val="1"/>
          <c:tx>
            <c:strRef>
              <c:f>Hoja1!$C$1</c:f>
              <c:strCache>
                <c:ptCount val="1"/>
                <c:pt idx="0">
                  <c:v>Hombres</c:v>
                </c:pt>
              </c:strCache>
            </c:strRef>
          </c:tx>
          <c:spPr>
            <a:ln w="19050" cap="rnd">
              <a:solidFill>
                <a:srgbClr val="253746"/>
              </a:solidFill>
              <a:round/>
            </a:ln>
            <a:effectLst/>
          </c:spPr>
          <c:marker>
            <c:symbol val="circle"/>
            <c:size val="5"/>
            <c:spPr>
              <a:solidFill>
                <a:srgbClr val="253746"/>
              </a:solidFill>
              <a:ln w="9525">
                <a:solidFill>
                  <a:srgbClr val="253746"/>
                </a:solidFill>
              </a:ln>
              <a:effectLst/>
            </c:spPr>
          </c:marker>
          <c:dLbls>
            <c:delete val="1"/>
          </c:dLbls>
          <c:cat>
            <c:numRef>
              <c:f>Hoja1!$A$2:$A$6</c:f>
              <c:numCache>
                <c:formatCode>General</c:formatCode>
                <c:ptCount val="5"/>
                <c:pt idx="0">
                  <c:v>2017</c:v>
                </c:pt>
                <c:pt idx="1">
                  <c:v>2018</c:v>
                </c:pt>
                <c:pt idx="2">
                  <c:v>2019</c:v>
                </c:pt>
                <c:pt idx="3">
                  <c:v>2020</c:v>
                </c:pt>
                <c:pt idx="4">
                  <c:v>2021</c:v>
                </c:pt>
              </c:numCache>
            </c:numRef>
          </c:cat>
          <c:val>
            <c:numRef>
              <c:f>Hoja1!$C$2:$C$6</c:f>
              <c:numCache>
                <c:formatCode>0%</c:formatCode>
                <c:ptCount val="5"/>
                <c:pt idx="0">
                  <c:v>0.28999999999999998</c:v>
                </c:pt>
                <c:pt idx="1">
                  <c:v>0.51</c:v>
                </c:pt>
                <c:pt idx="2">
                  <c:v>0.33</c:v>
                </c:pt>
                <c:pt idx="3">
                  <c:v>0.23</c:v>
                </c:pt>
                <c:pt idx="4">
                  <c:v>0.23</c:v>
                </c:pt>
              </c:numCache>
            </c:numRef>
          </c:val>
          <c:smooth val="0"/>
          <c:extLst xmlns:c16r2="http://schemas.microsoft.com/office/drawing/2015/06/chart">
            <c:ext xmlns:c16="http://schemas.microsoft.com/office/drawing/2014/chart" uri="{C3380CC4-5D6E-409C-BE32-E72D297353CC}">
              <c16:uniqueId val="{00000004-37EC-46D3-99D8-E80C8811A753}"/>
            </c:ext>
          </c:extLst>
        </c:ser>
        <c:dLbls>
          <c:dLblPos val="ctr"/>
          <c:showLegendKey val="0"/>
          <c:showVal val="1"/>
          <c:showCatName val="0"/>
          <c:showSerName val="0"/>
          <c:showPercent val="0"/>
          <c:showBubbleSize val="0"/>
        </c:dLbls>
        <c:marker val="1"/>
        <c:smooth val="0"/>
        <c:axId val="46863488"/>
        <c:axId val="46865408"/>
      </c:lineChart>
      <c:catAx>
        <c:axId val="468634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865408"/>
        <c:crosses val="autoZero"/>
        <c:auto val="1"/>
        <c:lblAlgn val="ctr"/>
        <c:lblOffset val="100"/>
        <c:noMultiLvlLbl val="0"/>
      </c:catAx>
      <c:valAx>
        <c:axId val="46865408"/>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8634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44. Evolución de la distribución por sexo en las adjudicaciones de puestos por Concurso de Traslados </a:t>
            </a:r>
            <a:r>
              <a:rPr lang="en-US" sz="1200" b="0" i="1">
                <a:solidFill>
                  <a:srgbClr val="253746"/>
                </a:solidFill>
                <a:latin typeface="Arial" panose="020B0604020202020204" pitchFamily="34" charset="0"/>
                <a:cs typeface="Arial" panose="020B0604020202020204" pitchFamily="34" charset="0"/>
              </a:rPr>
              <a:t>(Servicios</a:t>
            </a:r>
            <a:r>
              <a:rPr lang="en-US" sz="1200" b="0" i="1" baseline="0">
                <a:solidFill>
                  <a:srgbClr val="253746"/>
                </a:solidFill>
                <a:latin typeface="Arial" panose="020B0604020202020204" pitchFamily="34" charset="0"/>
                <a:cs typeface="Arial" panose="020B0604020202020204" pitchFamily="34" charset="0"/>
              </a:rPr>
              <a:t> Generales)</a:t>
            </a:r>
            <a:endParaRPr lang="en-US" sz="1200" b="0" i="1">
              <a:solidFill>
                <a:srgbClr val="253746"/>
              </a:solidFill>
              <a:latin typeface="Arial" panose="020B0604020202020204" pitchFamily="34" charset="0"/>
              <a:cs typeface="Arial" panose="020B0604020202020204" pitchFamily="34" charset="0"/>
            </a:endParaRPr>
          </a:p>
        </c:rich>
      </c:tx>
      <c:layout>
        <c:manualLayout>
          <c:xMode val="edge"/>
          <c:yMode val="edge"/>
          <c:x val="0.11502849002849003"/>
          <c:y val="2.5640803164067302E-2"/>
        </c:manualLayout>
      </c:layout>
      <c:overlay val="0"/>
      <c:spPr>
        <a:noFill/>
        <a:ln>
          <a:noFill/>
        </a:ln>
        <a:effectLst/>
      </c:spPr>
    </c:title>
    <c:autoTitleDeleted val="0"/>
    <c:plotArea>
      <c:layout>
        <c:manualLayout>
          <c:layoutTarget val="inner"/>
          <c:xMode val="edge"/>
          <c:yMode val="edge"/>
          <c:x val="9.657128863165608E-2"/>
          <c:y val="0.42108920269263861"/>
          <c:w val="0.87731285191915109"/>
          <c:h val="0.46611570247933887"/>
        </c:manualLayout>
      </c:layout>
      <c:lineChart>
        <c:grouping val="standard"/>
        <c:varyColors val="0"/>
        <c:ser>
          <c:idx val="0"/>
          <c:order val="0"/>
          <c:tx>
            <c:strRef>
              <c:f>Hoja1!$B$1</c:f>
              <c:strCache>
                <c:ptCount val="1"/>
                <c:pt idx="0">
                  <c:v>Mujeres</c:v>
                </c:pt>
              </c:strCache>
            </c:strRef>
          </c:tx>
          <c:spPr>
            <a:ln w="19050" cap="rnd">
              <a:solidFill>
                <a:srgbClr val="78BE20"/>
              </a:solidFill>
              <a:round/>
            </a:ln>
            <a:effectLst/>
          </c:spPr>
          <c:marker>
            <c:symbol val="circle"/>
            <c:size val="5"/>
            <c:spPr>
              <a:solidFill>
                <a:srgbClr val="78BE20"/>
              </a:solidFill>
              <a:ln w="9525">
                <a:solidFill>
                  <a:srgbClr val="78BE20"/>
                </a:solidFill>
              </a:ln>
              <a:effectLst/>
            </c:spPr>
          </c:marker>
          <c:dPt>
            <c:idx val="0"/>
            <c:bubble3D val="0"/>
            <c:explosion val="1"/>
            <c:extLst xmlns:c16r2="http://schemas.microsoft.com/office/drawing/2015/06/chart">
              <c:ext xmlns:c16="http://schemas.microsoft.com/office/drawing/2014/chart" uri="{C3380CC4-5D6E-409C-BE32-E72D297353CC}">
                <c16:uniqueId val="{00000001-BC01-4F22-B95F-3A239AE993CF}"/>
              </c:ext>
            </c:extLst>
          </c:dPt>
          <c:dPt>
            <c:idx val="1"/>
            <c:bubble3D val="0"/>
            <c:extLst xmlns:c16r2="http://schemas.microsoft.com/office/drawing/2015/06/chart">
              <c:ext xmlns:c16="http://schemas.microsoft.com/office/drawing/2014/chart" uri="{C3380CC4-5D6E-409C-BE32-E72D297353CC}">
                <c16:uniqueId val="{00000002-BC01-4F22-B95F-3A239AE993CF}"/>
              </c:ext>
            </c:extLst>
          </c:dPt>
          <c:dLbls>
            <c:delete val="1"/>
          </c:dLbls>
          <c:cat>
            <c:numRef>
              <c:f>Hoja1!$A$2:$A$5</c:f>
              <c:numCache>
                <c:formatCode>General</c:formatCode>
                <c:ptCount val="4"/>
                <c:pt idx="0">
                  <c:v>2017</c:v>
                </c:pt>
                <c:pt idx="1">
                  <c:v>2018</c:v>
                </c:pt>
                <c:pt idx="2">
                  <c:v>2019</c:v>
                </c:pt>
                <c:pt idx="3">
                  <c:v>2020</c:v>
                </c:pt>
              </c:numCache>
            </c:numRef>
          </c:cat>
          <c:val>
            <c:numRef>
              <c:f>Hoja1!$B$2:$B$5</c:f>
              <c:numCache>
                <c:formatCode>0%</c:formatCode>
                <c:ptCount val="4"/>
                <c:pt idx="0">
                  <c:v>0.62</c:v>
                </c:pt>
                <c:pt idx="1">
                  <c:v>0.24</c:v>
                </c:pt>
                <c:pt idx="2">
                  <c:v>0.55000000000000004</c:v>
                </c:pt>
                <c:pt idx="3">
                  <c:v>0.93</c:v>
                </c:pt>
              </c:numCache>
            </c:numRef>
          </c:val>
          <c:smooth val="0"/>
          <c:extLst xmlns:c16r2="http://schemas.microsoft.com/office/drawing/2015/06/chart">
            <c:ext xmlns:c16="http://schemas.microsoft.com/office/drawing/2014/chart" uri="{C3380CC4-5D6E-409C-BE32-E72D297353CC}">
              <c16:uniqueId val="{00000003-BC01-4F22-B95F-3A239AE993CF}"/>
            </c:ext>
          </c:extLst>
        </c:ser>
        <c:ser>
          <c:idx val="1"/>
          <c:order val="1"/>
          <c:tx>
            <c:strRef>
              <c:f>Hoja1!$C$1</c:f>
              <c:strCache>
                <c:ptCount val="1"/>
                <c:pt idx="0">
                  <c:v>Hombres</c:v>
                </c:pt>
              </c:strCache>
            </c:strRef>
          </c:tx>
          <c:spPr>
            <a:ln w="19050" cap="rnd">
              <a:solidFill>
                <a:srgbClr val="253746"/>
              </a:solidFill>
              <a:round/>
            </a:ln>
            <a:effectLst/>
          </c:spPr>
          <c:marker>
            <c:symbol val="circle"/>
            <c:size val="5"/>
            <c:spPr>
              <a:solidFill>
                <a:srgbClr val="253746"/>
              </a:solidFill>
              <a:ln w="9525">
                <a:solidFill>
                  <a:srgbClr val="253746"/>
                </a:solidFill>
              </a:ln>
              <a:effectLst/>
            </c:spPr>
          </c:marker>
          <c:dLbls>
            <c:delete val="1"/>
          </c:dLbls>
          <c:cat>
            <c:numRef>
              <c:f>Hoja1!$A$2:$A$5</c:f>
              <c:numCache>
                <c:formatCode>General</c:formatCode>
                <c:ptCount val="4"/>
                <c:pt idx="0">
                  <c:v>2017</c:v>
                </c:pt>
                <c:pt idx="1">
                  <c:v>2018</c:v>
                </c:pt>
                <c:pt idx="2">
                  <c:v>2019</c:v>
                </c:pt>
                <c:pt idx="3">
                  <c:v>2020</c:v>
                </c:pt>
              </c:numCache>
            </c:numRef>
          </c:cat>
          <c:val>
            <c:numRef>
              <c:f>Hoja1!$C$2:$C$5</c:f>
              <c:numCache>
                <c:formatCode>0%</c:formatCode>
                <c:ptCount val="4"/>
                <c:pt idx="0">
                  <c:v>0.38</c:v>
                </c:pt>
                <c:pt idx="1">
                  <c:v>0.76</c:v>
                </c:pt>
                <c:pt idx="2">
                  <c:v>0.45</c:v>
                </c:pt>
                <c:pt idx="3">
                  <c:v>7.0000000000000007E-2</c:v>
                </c:pt>
              </c:numCache>
            </c:numRef>
          </c:val>
          <c:smooth val="0"/>
          <c:extLst xmlns:c16r2="http://schemas.microsoft.com/office/drawing/2015/06/chart">
            <c:ext xmlns:c16="http://schemas.microsoft.com/office/drawing/2014/chart" uri="{C3380CC4-5D6E-409C-BE32-E72D297353CC}">
              <c16:uniqueId val="{00000004-BC01-4F22-B95F-3A239AE993CF}"/>
            </c:ext>
          </c:extLst>
        </c:ser>
        <c:dLbls>
          <c:dLblPos val="ctr"/>
          <c:showLegendKey val="0"/>
          <c:showVal val="1"/>
          <c:showCatName val="0"/>
          <c:showSerName val="0"/>
          <c:showPercent val="0"/>
          <c:showBubbleSize val="0"/>
        </c:dLbls>
        <c:marker val="1"/>
        <c:smooth val="0"/>
        <c:axId val="46905216"/>
        <c:axId val="46907392"/>
      </c:lineChart>
      <c:catAx>
        <c:axId val="469052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907392"/>
        <c:crosses val="autoZero"/>
        <c:auto val="1"/>
        <c:lblAlgn val="ctr"/>
        <c:lblOffset val="100"/>
        <c:noMultiLvlLbl val="0"/>
      </c:catAx>
      <c:valAx>
        <c:axId val="46907392"/>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9052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45. Evolución de la distribución por sexo en las adjudicaciones por Concurso de Traslados </a:t>
            </a:r>
          </a:p>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0" i="1">
                <a:solidFill>
                  <a:srgbClr val="253746"/>
                </a:solidFill>
                <a:latin typeface="Arial" panose="020B0604020202020204" pitchFamily="34" charset="0"/>
                <a:cs typeface="Arial" panose="020B0604020202020204" pitchFamily="34" charset="0"/>
              </a:rPr>
              <a:t>(</a:t>
            </a:r>
            <a:r>
              <a:rPr lang="es-ES" sz="1200" b="0" i="1" u="none" strike="noStrike" kern="1200" spc="0" baseline="0">
                <a:solidFill>
                  <a:srgbClr val="253746"/>
                </a:solidFill>
                <a:latin typeface="Arial" panose="020B0604020202020204" pitchFamily="34" charset="0"/>
                <a:ea typeface="+mn-ea"/>
                <a:cs typeface="Arial" panose="020B0604020202020204" pitchFamily="34" charset="0"/>
              </a:rPr>
              <a:t>Personal Docente</a:t>
            </a:r>
            <a:r>
              <a:rPr lang="en-US" sz="1200" b="0" i="1" baseline="0">
                <a:solidFill>
                  <a:srgbClr val="253746"/>
                </a:solidFill>
                <a:latin typeface="Arial" panose="020B0604020202020204" pitchFamily="34" charset="0"/>
                <a:cs typeface="Arial" panose="020B0604020202020204" pitchFamily="34" charset="0"/>
              </a:rPr>
              <a:t>)</a:t>
            </a:r>
            <a:endParaRPr lang="en-US" sz="1200" b="0" i="1">
              <a:solidFill>
                <a:srgbClr val="253746"/>
              </a:solidFill>
              <a:latin typeface="Arial" panose="020B0604020202020204" pitchFamily="34" charset="0"/>
              <a:cs typeface="Arial" panose="020B0604020202020204" pitchFamily="34" charset="0"/>
            </a:endParaRPr>
          </a:p>
        </c:rich>
      </c:tx>
      <c:layout>
        <c:manualLayout>
          <c:xMode val="edge"/>
          <c:yMode val="edge"/>
          <c:x val="0.11502849002849003"/>
          <c:y val="2.5640803164067302E-2"/>
        </c:manualLayout>
      </c:layout>
      <c:overlay val="0"/>
      <c:spPr>
        <a:noFill/>
        <a:ln>
          <a:noFill/>
        </a:ln>
        <a:effectLst/>
      </c:spPr>
    </c:title>
    <c:autoTitleDeleted val="0"/>
    <c:plotArea>
      <c:layout>
        <c:manualLayout>
          <c:layoutTarget val="inner"/>
          <c:xMode val="edge"/>
          <c:yMode val="edge"/>
          <c:x val="9.657128863165608E-2"/>
          <c:y val="0.46700288496995718"/>
          <c:w val="0.87731285191915109"/>
          <c:h val="0.42020202020202019"/>
        </c:manualLayout>
      </c:layout>
      <c:lineChart>
        <c:grouping val="standard"/>
        <c:varyColors val="0"/>
        <c:ser>
          <c:idx val="0"/>
          <c:order val="0"/>
          <c:tx>
            <c:strRef>
              <c:f>Hoja1!$B$1</c:f>
              <c:strCache>
                <c:ptCount val="1"/>
                <c:pt idx="0">
                  <c:v>Mujeres</c:v>
                </c:pt>
              </c:strCache>
            </c:strRef>
          </c:tx>
          <c:spPr>
            <a:ln w="19050" cap="rnd">
              <a:solidFill>
                <a:srgbClr val="78BE20"/>
              </a:solidFill>
              <a:round/>
            </a:ln>
            <a:effectLst/>
          </c:spPr>
          <c:marker>
            <c:symbol val="circle"/>
            <c:size val="5"/>
            <c:spPr>
              <a:solidFill>
                <a:srgbClr val="78BE20"/>
              </a:solidFill>
              <a:ln w="9525">
                <a:solidFill>
                  <a:srgbClr val="78BE20"/>
                </a:solidFill>
              </a:ln>
              <a:effectLst/>
            </c:spPr>
          </c:marker>
          <c:dPt>
            <c:idx val="0"/>
            <c:bubble3D val="0"/>
            <c:explosion val="1"/>
            <c:extLst xmlns:c16r2="http://schemas.microsoft.com/office/drawing/2015/06/chart">
              <c:ext xmlns:c16="http://schemas.microsoft.com/office/drawing/2014/chart" uri="{C3380CC4-5D6E-409C-BE32-E72D297353CC}">
                <c16:uniqueId val="{00000001-415B-4B63-916E-CD4E1D84CB10}"/>
              </c:ext>
            </c:extLst>
          </c:dPt>
          <c:dPt>
            <c:idx val="1"/>
            <c:bubble3D val="0"/>
            <c:extLst xmlns:c16r2="http://schemas.microsoft.com/office/drawing/2015/06/chart">
              <c:ext xmlns:c16="http://schemas.microsoft.com/office/drawing/2014/chart" uri="{C3380CC4-5D6E-409C-BE32-E72D297353CC}">
                <c16:uniqueId val="{00000002-415B-4B63-916E-CD4E1D84CB10}"/>
              </c:ext>
            </c:extLst>
          </c:dPt>
          <c:dLbls>
            <c:delete val="1"/>
          </c:dLbls>
          <c:cat>
            <c:numRef>
              <c:f>Hoja1!$A$2:$A$6</c:f>
              <c:numCache>
                <c:formatCode>General</c:formatCode>
                <c:ptCount val="5"/>
                <c:pt idx="0">
                  <c:v>2017</c:v>
                </c:pt>
                <c:pt idx="1">
                  <c:v>2018</c:v>
                </c:pt>
                <c:pt idx="2">
                  <c:v>2019</c:v>
                </c:pt>
                <c:pt idx="3">
                  <c:v>2020</c:v>
                </c:pt>
                <c:pt idx="4">
                  <c:v>2021</c:v>
                </c:pt>
              </c:numCache>
            </c:numRef>
          </c:cat>
          <c:val>
            <c:numRef>
              <c:f>Hoja1!$B$2:$B$6</c:f>
              <c:numCache>
                <c:formatCode>0%</c:formatCode>
                <c:ptCount val="5"/>
                <c:pt idx="0">
                  <c:v>0.75</c:v>
                </c:pt>
                <c:pt idx="1">
                  <c:v>0.69</c:v>
                </c:pt>
                <c:pt idx="2">
                  <c:v>0.65</c:v>
                </c:pt>
                <c:pt idx="3">
                  <c:v>0.79</c:v>
                </c:pt>
                <c:pt idx="4">
                  <c:v>0.68</c:v>
                </c:pt>
              </c:numCache>
            </c:numRef>
          </c:val>
          <c:smooth val="0"/>
          <c:extLst xmlns:c16r2="http://schemas.microsoft.com/office/drawing/2015/06/chart">
            <c:ext xmlns:c16="http://schemas.microsoft.com/office/drawing/2014/chart" uri="{C3380CC4-5D6E-409C-BE32-E72D297353CC}">
              <c16:uniqueId val="{00000003-415B-4B63-916E-CD4E1D84CB10}"/>
            </c:ext>
          </c:extLst>
        </c:ser>
        <c:ser>
          <c:idx val="1"/>
          <c:order val="1"/>
          <c:tx>
            <c:strRef>
              <c:f>Hoja1!$C$1</c:f>
              <c:strCache>
                <c:ptCount val="1"/>
                <c:pt idx="0">
                  <c:v>Hombres</c:v>
                </c:pt>
              </c:strCache>
            </c:strRef>
          </c:tx>
          <c:spPr>
            <a:ln w="19050" cap="rnd">
              <a:solidFill>
                <a:srgbClr val="253746"/>
              </a:solidFill>
              <a:round/>
            </a:ln>
            <a:effectLst/>
          </c:spPr>
          <c:marker>
            <c:symbol val="circle"/>
            <c:size val="5"/>
            <c:spPr>
              <a:solidFill>
                <a:srgbClr val="253746"/>
              </a:solidFill>
              <a:ln w="9525">
                <a:solidFill>
                  <a:srgbClr val="253746"/>
                </a:solidFill>
              </a:ln>
              <a:effectLst/>
            </c:spPr>
          </c:marker>
          <c:dLbls>
            <c:delete val="1"/>
          </c:dLbls>
          <c:cat>
            <c:numRef>
              <c:f>Hoja1!$A$2:$A$6</c:f>
              <c:numCache>
                <c:formatCode>General</c:formatCode>
                <c:ptCount val="5"/>
                <c:pt idx="0">
                  <c:v>2017</c:v>
                </c:pt>
                <c:pt idx="1">
                  <c:v>2018</c:v>
                </c:pt>
                <c:pt idx="2">
                  <c:v>2019</c:v>
                </c:pt>
                <c:pt idx="3">
                  <c:v>2020</c:v>
                </c:pt>
                <c:pt idx="4">
                  <c:v>2021</c:v>
                </c:pt>
              </c:numCache>
            </c:numRef>
          </c:cat>
          <c:val>
            <c:numRef>
              <c:f>Hoja1!$C$2:$C$6</c:f>
              <c:numCache>
                <c:formatCode>0%</c:formatCode>
                <c:ptCount val="5"/>
                <c:pt idx="0">
                  <c:v>0.25</c:v>
                </c:pt>
                <c:pt idx="1">
                  <c:v>0.31</c:v>
                </c:pt>
                <c:pt idx="2">
                  <c:v>0.35</c:v>
                </c:pt>
                <c:pt idx="3">
                  <c:v>0.21</c:v>
                </c:pt>
                <c:pt idx="4">
                  <c:v>0.32</c:v>
                </c:pt>
              </c:numCache>
            </c:numRef>
          </c:val>
          <c:smooth val="0"/>
          <c:extLst xmlns:c16r2="http://schemas.microsoft.com/office/drawing/2015/06/chart">
            <c:ext xmlns:c16="http://schemas.microsoft.com/office/drawing/2014/chart" uri="{C3380CC4-5D6E-409C-BE32-E72D297353CC}">
              <c16:uniqueId val="{00000004-415B-4B63-916E-CD4E1D84CB10}"/>
            </c:ext>
          </c:extLst>
        </c:ser>
        <c:dLbls>
          <c:dLblPos val="ctr"/>
          <c:showLegendKey val="0"/>
          <c:showVal val="1"/>
          <c:showCatName val="0"/>
          <c:showSerName val="0"/>
          <c:showPercent val="0"/>
          <c:showBubbleSize val="0"/>
        </c:dLbls>
        <c:marker val="1"/>
        <c:smooth val="0"/>
        <c:axId val="46967424"/>
        <c:axId val="46994176"/>
      </c:lineChart>
      <c:catAx>
        <c:axId val="469674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994176"/>
        <c:crosses val="autoZero"/>
        <c:auto val="1"/>
        <c:lblAlgn val="ctr"/>
        <c:lblOffset val="100"/>
        <c:noMultiLvlLbl val="0"/>
      </c:catAx>
      <c:valAx>
        <c:axId val="46994176"/>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967424"/>
        <c:crosses val="autoZero"/>
        <c:crossBetween val="between"/>
      </c:valAx>
      <c:spPr>
        <a:noFill/>
        <a:ln>
          <a:noFill/>
        </a:ln>
        <a:effectLst/>
      </c:spPr>
    </c:plotArea>
    <c:legend>
      <c:legendPos val="t"/>
      <c:layout>
        <c:manualLayout>
          <c:xMode val="edge"/>
          <c:yMode val="edge"/>
          <c:x val="0.32319095796786085"/>
          <c:y val="0.28657042869641297"/>
          <c:w val="0.3536180840642783"/>
          <c:h val="7.834356449245497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253746"/>
                </a:solidFill>
                <a:latin typeface="+mn-lt"/>
                <a:ea typeface="+mn-ea"/>
                <a:cs typeface="+mn-cs"/>
              </a:defRPr>
            </a:pPr>
            <a:r>
              <a:rPr lang="es-ES" sz="1200" b="1" i="1">
                <a:solidFill>
                  <a:srgbClr val="253746"/>
                </a:solidFill>
                <a:latin typeface="Arial" panose="020B0604020202020204" pitchFamily="34" charset="0"/>
                <a:cs typeface="Arial" panose="020B0604020202020204" pitchFamily="34" charset="0"/>
              </a:rPr>
              <a:t>Gráfica 46. Concentración por sexo y opinión sobre la igualdad en las retribuciones</a:t>
            </a:r>
          </a:p>
        </c:rich>
      </c:tx>
      <c:layout>
        <c:manualLayout>
          <c:xMode val="edge"/>
          <c:yMode val="edge"/>
          <c:x val="0.14059266227657574"/>
          <c:y val="2.4188671638782504E-2"/>
        </c:manualLayout>
      </c:layout>
      <c:overlay val="0"/>
      <c:spPr>
        <a:noFill/>
        <a:ln>
          <a:noFill/>
        </a:ln>
        <a:effectLst/>
      </c:spPr>
    </c:title>
    <c:autoTitleDeleted val="0"/>
    <c:plotArea>
      <c:layout/>
      <c:barChart>
        <c:barDir val="bar"/>
        <c:grouping val="percentStacked"/>
        <c:varyColors val="0"/>
        <c:ser>
          <c:idx val="0"/>
          <c:order val="0"/>
          <c:tx>
            <c:strRef>
              <c:f>Hoja1!$B$1</c:f>
              <c:strCache>
                <c:ptCount val="1"/>
                <c:pt idx="0">
                  <c:v>Sí</c:v>
                </c:pt>
              </c:strCache>
            </c:strRef>
          </c:tx>
          <c:spPr>
            <a:solidFill>
              <a:srgbClr val="B1E670"/>
            </a:solidFill>
            <a:ln>
              <a:solidFill>
                <a:srgbClr val="B1E67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Hoja1!$B$2:$B$3</c:f>
              <c:numCache>
                <c:formatCode>0%</c:formatCode>
                <c:ptCount val="2"/>
                <c:pt idx="0">
                  <c:v>0.75</c:v>
                </c:pt>
                <c:pt idx="1">
                  <c:v>0.92</c:v>
                </c:pt>
              </c:numCache>
            </c:numRef>
          </c:val>
          <c:extLst xmlns:c16r2="http://schemas.microsoft.com/office/drawing/2015/06/chart">
            <c:ext xmlns:c16="http://schemas.microsoft.com/office/drawing/2014/chart" uri="{C3380CC4-5D6E-409C-BE32-E72D297353CC}">
              <c16:uniqueId val="{00000000-AB8D-4CC0-9E58-3E1E72A8CA2A}"/>
            </c:ext>
          </c:extLst>
        </c:ser>
        <c:ser>
          <c:idx val="1"/>
          <c:order val="1"/>
          <c:tx>
            <c:strRef>
              <c:f>Hoja1!$C$1</c:f>
              <c:strCache>
                <c:ptCount val="1"/>
                <c:pt idx="0">
                  <c:v>No</c:v>
                </c:pt>
              </c:strCache>
            </c:strRef>
          </c:tx>
          <c:spPr>
            <a:solidFill>
              <a:srgbClr val="779AB7"/>
            </a:solidFill>
            <a:ln>
              <a:solidFill>
                <a:srgbClr val="779AB7"/>
              </a:solidFill>
            </a:ln>
            <a:effectLst/>
          </c:spPr>
          <c:invertIfNegative val="0"/>
          <c:dLbls>
            <c:dLbl>
              <c:idx val="1"/>
              <c:layout>
                <c:manualLayout>
                  <c:x val="-9.4073377234242701E-3"/>
                  <c:y val="0"/>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681-4321-94C2-014115C8A1F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Hoja1!$C$2:$C$3</c:f>
              <c:numCache>
                <c:formatCode>0%</c:formatCode>
                <c:ptCount val="2"/>
                <c:pt idx="0">
                  <c:v>0.18</c:v>
                </c:pt>
                <c:pt idx="1">
                  <c:v>0.06</c:v>
                </c:pt>
              </c:numCache>
            </c:numRef>
          </c:val>
          <c:extLst xmlns:c16r2="http://schemas.microsoft.com/office/drawing/2015/06/chart">
            <c:ext xmlns:c16="http://schemas.microsoft.com/office/drawing/2014/chart" uri="{C3380CC4-5D6E-409C-BE32-E72D297353CC}">
              <c16:uniqueId val="{00000001-AB8D-4CC0-9E58-3E1E72A8CA2A}"/>
            </c:ext>
          </c:extLst>
        </c:ser>
        <c:ser>
          <c:idx val="2"/>
          <c:order val="2"/>
          <c:tx>
            <c:strRef>
              <c:f>Hoja1!$D$1</c:f>
              <c:strCache>
                <c:ptCount val="1"/>
                <c:pt idx="0">
                  <c:v>N/C</c:v>
                </c:pt>
              </c:strCache>
            </c:strRef>
          </c:tx>
          <c:spPr>
            <a:solidFill>
              <a:srgbClr val="EAF8D8"/>
            </a:solidFill>
            <a:ln>
              <a:solidFill>
                <a:srgbClr val="EAF8D8"/>
              </a:solidFill>
            </a:ln>
            <a:effectLst/>
          </c:spPr>
          <c:invertIfNegative val="0"/>
          <c:dLbls>
            <c:dLbl>
              <c:idx val="1"/>
              <c:layout>
                <c:manualLayout>
                  <c:x val="6.9664298782971977E-3"/>
                  <c:y val="4.0314452731304174E-3"/>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B8D-4CC0-9E58-3E1E72A8CA2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Hoja1!$D$2:$D$3</c:f>
              <c:numCache>
                <c:formatCode>0%</c:formatCode>
                <c:ptCount val="2"/>
                <c:pt idx="0">
                  <c:v>7.0000000000000007E-2</c:v>
                </c:pt>
                <c:pt idx="1">
                  <c:v>0.02</c:v>
                </c:pt>
              </c:numCache>
            </c:numRef>
          </c:val>
          <c:extLst xmlns:c16r2="http://schemas.microsoft.com/office/drawing/2015/06/chart">
            <c:ext xmlns:c16="http://schemas.microsoft.com/office/drawing/2014/chart" uri="{C3380CC4-5D6E-409C-BE32-E72D297353CC}">
              <c16:uniqueId val="{00000002-AB8D-4CC0-9E58-3E1E72A8CA2A}"/>
            </c:ext>
          </c:extLst>
        </c:ser>
        <c:dLbls>
          <c:dLblPos val="ctr"/>
          <c:showLegendKey val="0"/>
          <c:showVal val="1"/>
          <c:showCatName val="0"/>
          <c:showSerName val="0"/>
          <c:showPercent val="0"/>
          <c:showBubbleSize val="0"/>
        </c:dLbls>
        <c:gapWidth val="150"/>
        <c:overlap val="100"/>
        <c:axId val="47065344"/>
        <c:axId val="47079424"/>
      </c:barChart>
      <c:catAx>
        <c:axId val="47065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7079424"/>
        <c:crosses val="autoZero"/>
        <c:auto val="1"/>
        <c:lblAlgn val="ctr"/>
        <c:lblOffset val="100"/>
        <c:noMultiLvlLbl val="0"/>
      </c:catAx>
      <c:valAx>
        <c:axId val="47079424"/>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47065344"/>
        <c:crosses val="autoZero"/>
        <c:crossBetween val="between"/>
      </c:valAx>
      <c:spPr>
        <a:noFill/>
        <a:ln>
          <a:noFill/>
        </a:ln>
        <a:effectLst/>
      </c:spPr>
    </c:plotArea>
    <c:legend>
      <c:legendPos val="t"/>
      <c:layout>
        <c:manualLayout>
          <c:xMode val="edge"/>
          <c:yMode val="edge"/>
          <c:x val="0.40175572773535012"/>
          <c:y val="0.18387421890747832"/>
          <c:w val="0.19648854452929979"/>
          <c:h val="6.8789471261667776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253746"/>
                </a:solidFill>
                <a:latin typeface="+mn-lt"/>
                <a:ea typeface="+mn-ea"/>
                <a:cs typeface="+mn-cs"/>
              </a:defRPr>
            </a:pPr>
            <a:r>
              <a:rPr lang="es-ES" sz="1200" b="1" i="1">
                <a:solidFill>
                  <a:sysClr val="windowText" lastClr="000000"/>
                </a:solidFill>
                <a:latin typeface="Arial" panose="020B0604020202020204" pitchFamily="34" charset="0"/>
                <a:cs typeface="Arial" panose="020B0604020202020204" pitchFamily="34" charset="0"/>
              </a:rPr>
              <a:t>Gráfica 47. </a:t>
            </a:r>
            <a:r>
              <a:rPr lang="es-ES" sz="1200" b="1" i="1">
                <a:solidFill>
                  <a:srgbClr val="253746"/>
                </a:solidFill>
                <a:latin typeface="Arial" panose="020B0604020202020204" pitchFamily="34" charset="0"/>
                <a:cs typeface="Arial" panose="020B0604020202020204" pitchFamily="34" charset="0"/>
              </a:rPr>
              <a:t>Concentración por sexo y opinión sobre la suficiencia de las medidas de conciliación</a:t>
            </a:r>
          </a:p>
        </c:rich>
      </c:tx>
      <c:layout>
        <c:manualLayout>
          <c:xMode val="edge"/>
          <c:yMode val="edge"/>
          <c:x val="0.1358889934148636"/>
          <c:y val="2.4188671638782504E-2"/>
        </c:manualLayout>
      </c:layout>
      <c:overlay val="0"/>
      <c:spPr>
        <a:noFill/>
        <a:ln>
          <a:noFill/>
        </a:ln>
        <a:effectLst/>
      </c:spPr>
    </c:title>
    <c:autoTitleDeleted val="0"/>
    <c:plotArea>
      <c:layout/>
      <c:barChart>
        <c:barDir val="bar"/>
        <c:grouping val="percentStacked"/>
        <c:varyColors val="0"/>
        <c:ser>
          <c:idx val="0"/>
          <c:order val="0"/>
          <c:tx>
            <c:strRef>
              <c:f>Hoja1!$B$1</c:f>
              <c:strCache>
                <c:ptCount val="1"/>
                <c:pt idx="0">
                  <c:v>Sí</c:v>
                </c:pt>
              </c:strCache>
            </c:strRef>
          </c:tx>
          <c:spPr>
            <a:solidFill>
              <a:srgbClr val="B1E670"/>
            </a:solidFill>
            <a:ln>
              <a:solidFill>
                <a:srgbClr val="B1E67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Hoja1!$B$2:$B$3</c:f>
              <c:numCache>
                <c:formatCode>0%</c:formatCode>
                <c:ptCount val="2"/>
                <c:pt idx="0">
                  <c:v>0.28999999999999998</c:v>
                </c:pt>
                <c:pt idx="1">
                  <c:v>0.48</c:v>
                </c:pt>
              </c:numCache>
            </c:numRef>
          </c:val>
          <c:extLst xmlns:c16r2="http://schemas.microsoft.com/office/drawing/2015/06/chart">
            <c:ext xmlns:c16="http://schemas.microsoft.com/office/drawing/2014/chart" uri="{C3380CC4-5D6E-409C-BE32-E72D297353CC}">
              <c16:uniqueId val="{00000000-AC2F-400F-A616-495050186D3A}"/>
            </c:ext>
          </c:extLst>
        </c:ser>
        <c:ser>
          <c:idx val="1"/>
          <c:order val="1"/>
          <c:tx>
            <c:strRef>
              <c:f>Hoja1!$C$1</c:f>
              <c:strCache>
                <c:ptCount val="1"/>
                <c:pt idx="0">
                  <c:v>No</c:v>
                </c:pt>
              </c:strCache>
            </c:strRef>
          </c:tx>
          <c:spPr>
            <a:solidFill>
              <a:srgbClr val="779AB7"/>
            </a:solidFill>
            <a:ln>
              <a:solidFill>
                <a:srgbClr val="779AB7"/>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Hoja1!$C$2:$C$3</c:f>
              <c:numCache>
                <c:formatCode>0%</c:formatCode>
                <c:ptCount val="2"/>
                <c:pt idx="0">
                  <c:v>0.59</c:v>
                </c:pt>
                <c:pt idx="1">
                  <c:v>0.42</c:v>
                </c:pt>
              </c:numCache>
            </c:numRef>
          </c:val>
          <c:extLst xmlns:c16r2="http://schemas.microsoft.com/office/drawing/2015/06/chart">
            <c:ext xmlns:c16="http://schemas.microsoft.com/office/drawing/2014/chart" uri="{C3380CC4-5D6E-409C-BE32-E72D297353CC}">
              <c16:uniqueId val="{00000001-AC2F-400F-A616-495050186D3A}"/>
            </c:ext>
          </c:extLst>
        </c:ser>
        <c:ser>
          <c:idx val="2"/>
          <c:order val="2"/>
          <c:tx>
            <c:strRef>
              <c:f>Hoja1!$D$1</c:f>
              <c:strCache>
                <c:ptCount val="1"/>
                <c:pt idx="0">
                  <c:v>N/C</c:v>
                </c:pt>
              </c:strCache>
            </c:strRef>
          </c:tx>
          <c:spPr>
            <a:solidFill>
              <a:srgbClr val="EAF8D8"/>
            </a:solidFill>
            <a:ln>
              <a:solidFill>
                <a:srgbClr val="EAF8D8"/>
              </a:solidFill>
            </a:ln>
            <a:effectLst/>
          </c:spPr>
          <c:invertIfNegative val="0"/>
          <c:dLbls>
            <c:dLbl>
              <c:idx val="1"/>
              <c:layout>
                <c:manualLayout>
                  <c:x val="1.1759172154280339E-2"/>
                  <c:y val="0"/>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C2F-400F-A616-495050186D3A}"/>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Hoja1!$D$2:$D$3</c:f>
              <c:numCache>
                <c:formatCode>0%</c:formatCode>
                <c:ptCount val="2"/>
                <c:pt idx="0">
                  <c:v>0.12</c:v>
                </c:pt>
                <c:pt idx="1">
                  <c:v>0.1</c:v>
                </c:pt>
              </c:numCache>
            </c:numRef>
          </c:val>
          <c:extLst xmlns:c16r2="http://schemas.microsoft.com/office/drawing/2015/06/chart">
            <c:ext xmlns:c16="http://schemas.microsoft.com/office/drawing/2014/chart" uri="{C3380CC4-5D6E-409C-BE32-E72D297353CC}">
              <c16:uniqueId val="{00000003-AC2F-400F-A616-495050186D3A}"/>
            </c:ext>
          </c:extLst>
        </c:ser>
        <c:dLbls>
          <c:dLblPos val="ctr"/>
          <c:showLegendKey val="0"/>
          <c:showVal val="1"/>
          <c:showCatName val="0"/>
          <c:showSerName val="0"/>
          <c:showPercent val="0"/>
          <c:showBubbleSize val="0"/>
        </c:dLbls>
        <c:gapWidth val="150"/>
        <c:overlap val="100"/>
        <c:axId val="47470464"/>
        <c:axId val="47472000"/>
      </c:barChart>
      <c:catAx>
        <c:axId val="474704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7472000"/>
        <c:crosses val="autoZero"/>
        <c:auto val="1"/>
        <c:lblAlgn val="ctr"/>
        <c:lblOffset val="100"/>
        <c:noMultiLvlLbl val="0"/>
      </c:catAx>
      <c:valAx>
        <c:axId val="47472000"/>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47470464"/>
        <c:crosses val="autoZero"/>
        <c:crossBetween val="between"/>
      </c:valAx>
      <c:spPr>
        <a:noFill/>
        <a:ln>
          <a:noFill/>
        </a:ln>
        <a:effectLst/>
      </c:spPr>
    </c:plotArea>
    <c:legend>
      <c:legendPos val="t"/>
      <c:layout>
        <c:manualLayout>
          <c:xMode val="edge"/>
          <c:yMode val="edge"/>
          <c:x val="0.41201583691972654"/>
          <c:y val="0.18790566418060875"/>
          <c:w val="0.19648854452929979"/>
          <c:h val="6.8789471261667776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s-ES" sz="1200" b="1" i="1" u="none" strike="noStrike" baseline="0">
                <a:solidFill>
                  <a:srgbClr val="253746"/>
                </a:solidFill>
                <a:effectLst/>
              </a:rPr>
              <a:t>Gráfica 48</a:t>
            </a:r>
            <a:r>
              <a:rPr lang="en-US" sz="1200" b="1" i="1">
                <a:solidFill>
                  <a:srgbClr val="253746"/>
                </a:solidFill>
                <a:latin typeface="Arial" panose="020B0604020202020204" pitchFamily="34" charset="0"/>
                <a:cs typeface="Arial" panose="020B0604020202020204" pitchFamily="34" charset="0"/>
              </a:rPr>
              <a:t>. Evolución de la</a:t>
            </a:r>
            <a:r>
              <a:rPr lang="en-US" sz="1200" b="1" i="1" baseline="0">
                <a:solidFill>
                  <a:srgbClr val="253746"/>
                </a:solidFill>
                <a:latin typeface="Arial" panose="020B0604020202020204" pitchFamily="34" charset="0"/>
                <a:cs typeface="Arial" panose="020B0604020202020204" pitchFamily="34" charset="0"/>
              </a:rPr>
              <a:t> distribución</a:t>
            </a:r>
            <a:r>
              <a:rPr lang="en-US" sz="1200" b="1" i="1">
                <a:solidFill>
                  <a:srgbClr val="253746"/>
                </a:solidFill>
                <a:latin typeface="Arial" panose="020B0604020202020204" pitchFamily="34" charset="0"/>
                <a:cs typeface="Arial" panose="020B0604020202020204" pitchFamily="34" charset="0"/>
              </a:rPr>
              <a:t> por sexo en las excedencias </a:t>
            </a:r>
            <a:r>
              <a:rPr lang="en-US" sz="1200" b="0" i="1" baseline="0">
                <a:solidFill>
                  <a:srgbClr val="253746"/>
                </a:solidFill>
                <a:latin typeface="Arial" panose="020B0604020202020204" pitchFamily="34" charset="0"/>
                <a:cs typeface="Arial" panose="020B0604020202020204" pitchFamily="34" charset="0"/>
              </a:rPr>
              <a:t>(Servicios Generales)</a:t>
            </a:r>
            <a:endParaRPr lang="en-US" sz="1200" b="0" i="1">
              <a:solidFill>
                <a:srgbClr val="253746"/>
              </a:solidFill>
              <a:latin typeface="Arial" panose="020B0604020202020204" pitchFamily="34" charset="0"/>
              <a:cs typeface="Arial" panose="020B0604020202020204" pitchFamily="34" charset="0"/>
            </a:endParaRPr>
          </a:p>
        </c:rich>
      </c:tx>
      <c:layout>
        <c:manualLayout>
          <c:xMode val="edge"/>
          <c:yMode val="edge"/>
          <c:x val="0.14114434947768284"/>
          <c:y val="2.5640889223566388E-2"/>
        </c:manualLayout>
      </c:layout>
      <c:overlay val="0"/>
      <c:spPr>
        <a:noFill/>
        <a:ln>
          <a:noFill/>
        </a:ln>
        <a:effectLst/>
      </c:spPr>
    </c:title>
    <c:autoTitleDeleted val="0"/>
    <c:plotArea>
      <c:layout>
        <c:manualLayout>
          <c:layoutTarget val="inner"/>
          <c:xMode val="edge"/>
          <c:yMode val="edge"/>
          <c:x val="9.657128863165608E-2"/>
          <c:y val="0.4394546756035661"/>
          <c:w val="0.87731285191915109"/>
          <c:h val="0.44775022956841137"/>
        </c:manualLayout>
      </c:layout>
      <c:lineChart>
        <c:grouping val="standard"/>
        <c:varyColors val="0"/>
        <c:ser>
          <c:idx val="0"/>
          <c:order val="0"/>
          <c:tx>
            <c:strRef>
              <c:f>Hoja1!$B$1</c:f>
              <c:strCache>
                <c:ptCount val="1"/>
                <c:pt idx="0">
                  <c:v>Mujeres</c:v>
                </c:pt>
              </c:strCache>
            </c:strRef>
          </c:tx>
          <c:spPr>
            <a:ln w="19050" cap="rnd">
              <a:solidFill>
                <a:srgbClr val="78BE20"/>
              </a:solidFill>
              <a:round/>
            </a:ln>
            <a:effectLst/>
          </c:spPr>
          <c:marker>
            <c:symbol val="circle"/>
            <c:size val="5"/>
            <c:spPr>
              <a:solidFill>
                <a:srgbClr val="78BE20"/>
              </a:solidFill>
              <a:ln w="9525">
                <a:solidFill>
                  <a:srgbClr val="78BE20"/>
                </a:solidFill>
              </a:ln>
              <a:effectLst/>
            </c:spPr>
          </c:marker>
          <c:dPt>
            <c:idx val="0"/>
            <c:bubble3D val="0"/>
            <c:explosion val="1"/>
            <c:extLst xmlns:c16r2="http://schemas.microsoft.com/office/drawing/2015/06/chart">
              <c:ext xmlns:c16="http://schemas.microsoft.com/office/drawing/2014/chart" uri="{C3380CC4-5D6E-409C-BE32-E72D297353CC}">
                <c16:uniqueId val="{00000001-7551-4F8F-9F5A-3C7E245149FE}"/>
              </c:ext>
            </c:extLst>
          </c:dPt>
          <c:dPt>
            <c:idx val="1"/>
            <c:bubble3D val="0"/>
            <c:extLst xmlns:c16r2="http://schemas.microsoft.com/office/drawing/2015/06/chart">
              <c:ext xmlns:c16="http://schemas.microsoft.com/office/drawing/2014/chart" uri="{C3380CC4-5D6E-409C-BE32-E72D297353CC}">
                <c16:uniqueId val="{00000002-7551-4F8F-9F5A-3C7E245149FE}"/>
              </c:ext>
            </c:extLst>
          </c:dPt>
          <c:dLbls>
            <c:delete val="1"/>
          </c:dLbls>
          <c:cat>
            <c:numRef>
              <c:f>Hoja1!$A$2:$A$6</c:f>
              <c:numCache>
                <c:formatCode>General</c:formatCode>
                <c:ptCount val="5"/>
                <c:pt idx="0">
                  <c:v>2017</c:v>
                </c:pt>
                <c:pt idx="1">
                  <c:v>2018</c:v>
                </c:pt>
                <c:pt idx="2">
                  <c:v>2019</c:v>
                </c:pt>
                <c:pt idx="3">
                  <c:v>2020</c:v>
                </c:pt>
                <c:pt idx="4">
                  <c:v>2021</c:v>
                </c:pt>
              </c:numCache>
            </c:numRef>
          </c:cat>
          <c:val>
            <c:numRef>
              <c:f>Hoja1!$B$2:$B$6</c:f>
              <c:numCache>
                <c:formatCode>0%</c:formatCode>
                <c:ptCount val="5"/>
                <c:pt idx="0">
                  <c:v>0.92</c:v>
                </c:pt>
                <c:pt idx="1">
                  <c:v>0.91</c:v>
                </c:pt>
                <c:pt idx="2">
                  <c:v>0.76</c:v>
                </c:pt>
                <c:pt idx="3">
                  <c:v>0.83</c:v>
                </c:pt>
                <c:pt idx="4">
                  <c:v>0.83</c:v>
                </c:pt>
              </c:numCache>
            </c:numRef>
          </c:val>
          <c:smooth val="0"/>
          <c:extLst xmlns:c16r2="http://schemas.microsoft.com/office/drawing/2015/06/chart">
            <c:ext xmlns:c16="http://schemas.microsoft.com/office/drawing/2014/chart" uri="{C3380CC4-5D6E-409C-BE32-E72D297353CC}">
              <c16:uniqueId val="{00000003-7551-4F8F-9F5A-3C7E245149FE}"/>
            </c:ext>
          </c:extLst>
        </c:ser>
        <c:ser>
          <c:idx val="1"/>
          <c:order val="1"/>
          <c:tx>
            <c:strRef>
              <c:f>Hoja1!$C$1</c:f>
              <c:strCache>
                <c:ptCount val="1"/>
                <c:pt idx="0">
                  <c:v>Hombres</c:v>
                </c:pt>
              </c:strCache>
            </c:strRef>
          </c:tx>
          <c:spPr>
            <a:ln w="19050" cap="rnd">
              <a:solidFill>
                <a:srgbClr val="253746"/>
              </a:solidFill>
              <a:round/>
            </a:ln>
            <a:effectLst/>
          </c:spPr>
          <c:marker>
            <c:symbol val="circle"/>
            <c:size val="5"/>
            <c:spPr>
              <a:solidFill>
                <a:srgbClr val="253746"/>
              </a:solidFill>
              <a:ln w="9525">
                <a:solidFill>
                  <a:srgbClr val="253746"/>
                </a:solidFill>
              </a:ln>
              <a:effectLst/>
            </c:spPr>
          </c:marker>
          <c:dLbls>
            <c:delete val="1"/>
          </c:dLbls>
          <c:cat>
            <c:numRef>
              <c:f>Hoja1!$A$2:$A$6</c:f>
              <c:numCache>
                <c:formatCode>General</c:formatCode>
                <c:ptCount val="5"/>
                <c:pt idx="0">
                  <c:v>2017</c:v>
                </c:pt>
                <c:pt idx="1">
                  <c:v>2018</c:v>
                </c:pt>
                <c:pt idx="2">
                  <c:v>2019</c:v>
                </c:pt>
                <c:pt idx="3">
                  <c:v>2020</c:v>
                </c:pt>
                <c:pt idx="4">
                  <c:v>2021</c:v>
                </c:pt>
              </c:numCache>
            </c:numRef>
          </c:cat>
          <c:val>
            <c:numRef>
              <c:f>Hoja1!$C$2:$C$6</c:f>
              <c:numCache>
                <c:formatCode>0%</c:formatCode>
                <c:ptCount val="5"/>
                <c:pt idx="0">
                  <c:v>0.08</c:v>
                </c:pt>
                <c:pt idx="1">
                  <c:v>0.09</c:v>
                </c:pt>
                <c:pt idx="2">
                  <c:v>0.24</c:v>
                </c:pt>
                <c:pt idx="3">
                  <c:v>0.17</c:v>
                </c:pt>
                <c:pt idx="4">
                  <c:v>0.17</c:v>
                </c:pt>
              </c:numCache>
            </c:numRef>
          </c:val>
          <c:smooth val="0"/>
          <c:extLst xmlns:c16r2="http://schemas.microsoft.com/office/drawing/2015/06/chart">
            <c:ext xmlns:c16="http://schemas.microsoft.com/office/drawing/2014/chart" uri="{C3380CC4-5D6E-409C-BE32-E72D297353CC}">
              <c16:uniqueId val="{00000004-7551-4F8F-9F5A-3C7E245149FE}"/>
            </c:ext>
          </c:extLst>
        </c:ser>
        <c:dLbls>
          <c:dLblPos val="ctr"/>
          <c:showLegendKey val="0"/>
          <c:showVal val="1"/>
          <c:showCatName val="0"/>
          <c:showSerName val="0"/>
          <c:showPercent val="0"/>
          <c:showBubbleSize val="0"/>
        </c:dLbls>
        <c:marker val="1"/>
        <c:smooth val="0"/>
        <c:axId val="46348544"/>
        <c:axId val="46358912"/>
      </c:lineChart>
      <c:catAx>
        <c:axId val="463485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358912"/>
        <c:crosses val="autoZero"/>
        <c:auto val="1"/>
        <c:lblAlgn val="ctr"/>
        <c:lblOffset val="100"/>
        <c:noMultiLvlLbl val="0"/>
      </c:catAx>
      <c:valAx>
        <c:axId val="46358912"/>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3485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49. Evolución de la</a:t>
            </a:r>
            <a:r>
              <a:rPr lang="en-US" sz="1200" b="1" i="1" baseline="0">
                <a:solidFill>
                  <a:srgbClr val="253746"/>
                </a:solidFill>
                <a:latin typeface="Arial" panose="020B0604020202020204" pitchFamily="34" charset="0"/>
                <a:cs typeface="Arial" panose="020B0604020202020204" pitchFamily="34" charset="0"/>
              </a:rPr>
              <a:t> distribución</a:t>
            </a:r>
            <a:r>
              <a:rPr lang="en-US" sz="1200" b="1" i="1">
                <a:solidFill>
                  <a:srgbClr val="253746"/>
                </a:solidFill>
                <a:latin typeface="Arial" panose="020B0604020202020204" pitchFamily="34" charset="0"/>
                <a:cs typeface="Arial" panose="020B0604020202020204" pitchFamily="34" charset="0"/>
              </a:rPr>
              <a:t> por sexo en las excedencias </a:t>
            </a:r>
            <a:r>
              <a:rPr lang="en-US" sz="1200" b="0" i="1" baseline="0">
                <a:solidFill>
                  <a:srgbClr val="253746"/>
                </a:solidFill>
                <a:latin typeface="Arial" panose="020B0604020202020204" pitchFamily="34" charset="0"/>
                <a:cs typeface="Arial" panose="020B0604020202020204" pitchFamily="34" charset="0"/>
              </a:rPr>
              <a:t>(Personal Docente)</a:t>
            </a:r>
            <a:endParaRPr lang="en-US" sz="1200" b="0" i="1">
              <a:solidFill>
                <a:srgbClr val="253746"/>
              </a:solidFill>
              <a:latin typeface="Arial" panose="020B0604020202020204" pitchFamily="34" charset="0"/>
              <a:cs typeface="Arial" panose="020B0604020202020204" pitchFamily="34" charset="0"/>
            </a:endParaRPr>
          </a:p>
        </c:rich>
      </c:tx>
      <c:layout>
        <c:manualLayout>
          <c:xMode val="edge"/>
          <c:yMode val="edge"/>
          <c:x val="0.14114434947768284"/>
          <c:y val="2.5640889223566388E-2"/>
        </c:manualLayout>
      </c:layout>
      <c:overlay val="0"/>
      <c:spPr>
        <a:noFill/>
        <a:ln>
          <a:noFill/>
        </a:ln>
        <a:effectLst/>
      </c:spPr>
    </c:title>
    <c:autoTitleDeleted val="0"/>
    <c:plotArea>
      <c:layout>
        <c:manualLayout>
          <c:layoutTarget val="inner"/>
          <c:xMode val="edge"/>
          <c:yMode val="edge"/>
          <c:x val="9.657128863165608E-2"/>
          <c:y val="0.4394546756035661"/>
          <c:w val="0.87731285191915109"/>
          <c:h val="0.44775022956841137"/>
        </c:manualLayout>
      </c:layout>
      <c:lineChart>
        <c:grouping val="standard"/>
        <c:varyColors val="0"/>
        <c:ser>
          <c:idx val="0"/>
          <c:order val="0"/>
          <c:tx>
            <c:strRef>
              <c:f>Hoja1!$B$1</c:f>
              <c:strCache>
                <c:ptCount val="1"/>
                <c:pt idx="0">
                  <c:v>Mujeres</c:v>
                </c:pt>
              </c:strCache>
            </c:strRef>
          </c:tx>
          <c:spPr>
            <a:ln w="19050" cap="rnd">
              <a:solidFill>
                <a:srgbClr val="78BE20"/>
              </a:solidFill>
              <a:round/>
            </a:ln>
            <a:effectLst/>
          </c:spPr>
          <c:marker>
            <c:symbol val="circle"/>
            <c:size val="5"/>
            <c:spPr>
              <a:solidFill>
                <a:srgbClr val="78BE20"/>
              </a:solidFill>
              <a:ln w="9525">
                <a:solidFill>
                  <a:srgbClr val="78BE20"/>
                </a:solidFill>
              </a:ln>
              <a:effectLst/>
            </c:spPr>
          </c:marker>
          <c:dPt>
            <c:idx val="0"/>
            <c:bubble3D val="0"/>
            <c:explosion val="1"/>
            <c:extLst xmlns:c16r2="http://schemas.microsoft.com/office/drawing/2015/06/chart">
              <c:ext xmlns:c16="http://schemas.microsoft.com/office/drawing/2014/chart" uri="{C3380CC4-5D6E-409C-BE32-E72D297353CC}">
                <c16:uniqueId val="{00000001-54CD-4DCD-B9AC-DBEF1347AC5F}"/>
              </c:ext>
            </c:extLst>
          </c:dPt>
          <c:dPt>
            <c:idx val="1"/>
            <c:bubble3D val="0"/>
            <c:extLst xmlns:c16r2="http://schemas.microsoft.com/office/drawing/2015/06/chart">
              <c:ext xmlns:c16="http://schemas.microsoft.com/office/drawing/2014/chart" uri="{C3380CC4-5D6E-409C-BE32-E72D297353CC}">
                <c16:uniqueId val="{00000002-54CD-4DCD-B9AC-DBEF1347AC5F}"/>
              </c:ext>
            </c:extLst>
          </c:dPt>
          <c:dLbls>
            <c:delete val="1"/>
          </c:dLbls>
          <c:cat>
            <c:numRef>
              <c:f>Hoja1!$A$2:$A$6</c:f>
              <c:numCache>
                <c:formatCode>General</c:formatCode>
                <c:ptCount val="5"/>
                <c:pt idx="0">
                  <c:v>2017</c:v>
                </c:pt>
                <c:pt idx="1">
                  <c:v>2018</c:v>
                </c:pt>
                <c:pt idx="2">
                  <c:v>2019</c:v>
                </c:pt>
                <c:pt idx="3">
                  <c:v>2020</c:v>
                </c:pt>
                <c:pt idx="4">
                  <c:v>2021</c:v>
                </c:pt>
              </c:numCache>
            </c:numRef>
          </c:cat>
          <c:val>
            <c:numRef>
              <c:f>Hoja1!$B$2:$B$6</c:f>
              <c:numCache>
                <c:formatCode>0%</c:formatCode>
                <c:ptCount val="5"/>
                <c:pt idx="0">
                  <c:v>0.94</c:v>
                </c:pt>
                <c:pt idx="1">
                  <c:v>1</c:v>
                </c:pt>
                <c:pt idx="2">
                  <c:v>0.93</c:v>
                </c:pt>
                <c:pt idx="3">
                  <c:v>0.88</c:v>
                </c:pt>
                <c:pt idx="4">
                  <c:v>0.91</c:v>
                </c:pt>
              </c:numCache>
            </c:numRef>
          </c:val>
          <c:smooth val="0"/>
          <c:extLst xmlns:c16r2="http://schemas.microsoft.com/office/drawing/2015/06/chart">
            <c:ext xmlns:c16="http://schemas.microsoft.com/office/drawing/2014/chart" uri="{C3380CC4-5D6E-409C-BE32-E72D297353CC}">
              <c16:uniqueId val="{00000003-54CD-4DCD-B9AC-DBEF1347AC5F}"/>
            </c:ext>
          </c:extLst>
        </c:ser>
        <c:ser>
          <c:idx val="1"/>
          <c:order val="1"/>
          <c:tx>
            <c:strRef>
              <c:f>Hoja1!$C$1</c:f>
              <c:strCache>
                <c:ptCount val="1"/>
                <c:pt idx="0">
                  <c:v>Hombres</c:v>
                </c:pt>
              </c:strCache>
            </c:strRef>
          </c:tx>
          <c:spPr>
            <a:ln w="19050" cap="rnd">
              <a:solidFill>
                <a:srgbClr val="253746"/>
              </a:solidFill>
              <a:round/>
            </a:ln>
            <a:effectLst/>
          </c:spPr>
          <c:marker>
            <c:symbol val="circle"/>
            <c:size val="5"/>
            <c:spPr>
              <a:solidFill>
                <a:srgbClr val="253746"/>
              </a:solidFill>
              <a:ln w="9525">
                <a:solidFill>
                  <a:srgbClr val="253746"/>
                </a:solidFill>
              </a:ln>
              <a:effectLst/>
            </c:spPr>
          </c:marker>
          <c:dLbls>
            <c:delete val="1"/>
          </c:dLbls>
          <c:cat>
            <c:numRef>
              <c:f>Hoja1!$A$2:$A$6</c:f>
              <c:numCache>
                <c:formatCode>General</c:formatCode>
                <c:ptCount val="5"/>
                <c:pt idx="0">
                  <c:v>2017</c:v>
                </c:pt>
                <c:pt idx="1">
                  <c:v>2018</c:v>
                </c:pt>
                <c:pt idx="2">
                  <c:v>2019</c:v>
                </c:pt>
                <c:pt idx="3">
                  <c:v>2020</c:v>
                </c:pt>
                <c:pt idx="4">
                  <c:v>2021</c:v>
                </c:pt>
              </c:numCache>
            </c:numRef>
          </c:cat>
          <c:val>
            <c:numRef>
              <c:f>Hoja1!$C$2:$C$6</c:f>
              <c:numCache>
                <c:formatCode>0%</c:formatCode>
                <c:ptCount val="5"/>
                <c:pt idx="0">
                  <c:v>0.06</c:v>
                </c:pt>
                <c:pt idx="1">
                  <c:v>0</c:v>
                </c:pt>
                <c:pt idx="2">
                  <c:v>7.0000000000000007E-2</c:v>
                </c:pt>
                <c:pt idx="3">
                  <c:v>0.13</c:v>
                </c:pt>
                <c:pt idx="4">
                  <c:v>0.09</c:v>
                </c:pt>
              </c:numCache>
            </c:numRef>
          </c:val>
          <c:smooth val="0"/>
          <c:extLst xmlns:c16r2="http://schemas.microsoft.com/office/drawing/2015/06/chart">
            <c:ext xmlns:c16="http://schemas.microsoft.com/office/drawing/2014/chart" uri="{C3380CC4-5D6E-409C-BE32-E72D297353CC}">
              <c16:uniqueId val="{00000004-54CD-4DCD-B9AC-DBEF1347AC5F}"/>
            </c:ext>
          </c:extLst>
        </c:ser>
        <c:dLbls>
          <c:dLblPos val="ctr"/>
          <c:showLegendKey val="0"/>
          <c:showVal val="1"/>
          <c:showCatName val="0"/>
          <c:showSerName val="0"/>
          <c:showPercent val="0"/>
          <c:showBubbleSize val="0"/>
        </c:dLbls>
        <c:marker val="1"/>
        <c:smooth val="0"/>
        <c:axId val="47602688"/>
        <c:axId val="47613056"/>
      </c:lineChart>
      <c:catAx>
        <c:axId val="476026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7613056"/>
        <c:crosses val="autoZero"/>
        <c:auto val="1"/>
        <c:lblAlgn val="ctr"/>
        <c:lblOffset val="100"/>
        <c:noMultiLvlLbl val="0"/>
      </c:catAx>
      <c:valAx>
        <c:axId val="47613056"/>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76026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5. Evolución de la distribución por sexo </a:t>
            </a:r>
          </a:p>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0" i="1">
                <a:solidFill>
                  <a:srgbClr val="253746"/>
                </a:solidFill>
                <a:latin typeface="Arial" panose="020B0604020202020204" pitchFamily="34" charset="0"/>
                <a:cs typeface="Arial" panose="020B0604020202020204" pitchFamily="34" charset="0"/>
              </a:rPr>
              <a:t>(</a:t>
            </a:r>
            <a:r>
              <a:rPr lang="es-ES" sz="1200" b="0" i="1" u="none" strike="noStrike" kern="1200" spc="0" baseline="0">
                <a:solidFill>
                  <a:srgbClr val="253746"/>
                </a:solidFill>
                <a:latin typeface="Arial" panose="020B0604020202020204" pitchFamily="34" charset="0"/>
                <a:ea typeface="+mn-ea"/>
                <a:cs typeface="Arial" panose="020B0604020202020204" pitchFamily="34" charset="0"/>
              </a:rPr>
              <a:t>Personal Docente</a:t>
            </a:r>
            <a:r>
              <a:rPr lang="en-US" sz="1200" b="0" i="1">
                <a:solidFill>
                  <a:srgbClr val="253746"/>
                </a:solidFill>
                <a:latin typeface="Arial" panose="020B0604020202020204" pitchFamily="34" charset="0"/>
                <a:cs typeface="Arial" panose="020B0604020202020204" pitchFamily="34" charset="0"/>
              </a:rPr>
              <a:t>)</a:t>
            </a:r>
          </a:p>
        </c:rich>
      </c:tx>
      <c:layout>
        <c:manualLayout>
          <c:xMode val="edge"/>
          <c:yMode val="edge"/>
          <c:x val="0.16726020892687563"/>
          <c:y val="2.1049434936335439E-2"/>
        </c:manualLayout>
      </c:layout>
      <c:overlay val="0"/>
      <c:spPr>
        <a:noFill/>
        <a:ln>
          <a:noFill/>
        </a:ln>
        <a:effectLst/>
      </c:spPr>
    </c:title>
    <c:autoTitleDeleted val="0"/>
    <c:plotArea>
      <c:layout>
        <c:manualLayout>
          <c:layoutTarget val="inner"/>
          <c:xMode val="edge"/>
          <c:yMode val="edge"/>
          <c:x val="9.657128863165608E-2"/>
          <c:y val="0.31089636522707392"/>
          <c:w val="0.87731285191915109"/>
          <c:h val="0.57630853994490361"/>
        </c:manualLayout>
      </c:layout>
      <c:lineChart>
        <c:grouping val="standard"/>
        <c:varyColors val="0"/>
        <c:ser>
          <c:idx val="0"/>
          <c:order val="0"/>
          <c:tx>
            <c:strRef>
              <c:f>Hoja1!$B$1</c:f>
              <c:strCache>
                <c:ptCount val="1"/>
                <c:pt idx="0">
                  <c:v>Mujeres</c:v>
                </c:pt>
              </c:strCache>
            </c:strRef>
          </c:tx>
          <c:spPr>
            <a:ln w="19050" cap="rnd">
              <a:solidFill>
                <a:srgbClr val="78BE20"/>
              </a:solidFill>
              <a:round/>
            </a:ln>
            <a:effectLst/>
          </c:spPr>
          <c:marker>
            <c:symbol val="circle"/>
            <c:size val="5"/>
            <c:spPr>
              <a:solidFill>
                <a:srgbClr val="78BE20"/>
              </a:solidFill>
              <a:ln w="9525">
                <a:solidFill>
                  <a:srgbClr val="78BE20"/>
                </a:solidFill>
              </a:ln>
              <a:effectLst/>
            </c:spPr>
          </c:marker>
          <c:dPt>
            <c:idx val="0"/>
            <c:bubble3D val="0"/>
            <c:explosion val="1"/>
            <c:extLst xmlns:c16r2="http://schemas.microsoft.com/office/drawing/2015/06/chart">
              <c:ext xmlns:c16="http://schemas.microsoft.com/office/drawing/2014/chart" uri="{C3380CC4-5D6E-409C-BE32-E72D297353CC}">
                <c16:uniqueId val="{00000001-D135-4A2B-BBAF-FD53FF4DD940}"/>
              </c:ext>
            </c:extLst>
          </c:dPt>
          <c:dPt>
            <c:idx val="1"/>
            <c:bubble3D val="0"/>
            <c:extLst xmlns:c16r2="http://schemas.microsoft.com/office/drawing/2015/06/chart">
              <c:ext xmlns:c16="http://schemas.microsoft.com/office/drawing/2014/chart" uri="{C3380CC4-5D6E-409C-BE32-E72D297353CC}">
                <c16:uniqueId val="{00000002-D135-4A2B-BBAF-FD53FF4DD940}"/>
              </c:ext>
            </c:extLst>
          </c:dPt>
          <c:dLbls>
            <c:delete val="1"/>
          </c:dLbls>
          <c:cat>
            <c:numRef>
              <c:f>Hoja1!$A$2:$A$6</c:f>
              <c:numCache>
                <c:formatCode>General</c:formatCode>
                <c:ptCount val="5"/>
                <c:pt idx="0">
                  <c:v>2017</c:v>
                </c:pt>
                <c:pt idx="1">
                  <c:v>2018</c:v>
                </c:pt>
                <c:pt idx="2">
                  <c:v>2019</c:v>
                </c:pt>
                <c:pt idx="3">
                  <c:v>2020</c:v>
                </c:pt>
                <c:pt idx="4">
                  <c:v>2021</c:v>
                </c:pt>
              </c:numCache>
            </c:numRef>
          </c:cat>
          <c:val>
            <c:numRef>
              <c:f>Hoja1!$B$2:$B$6</c:f>
              <c:numCache>
                <c:formatCode>0%</c:formatCode>
                <c:ptCount val="5"/>
                <c:pt idx="0">
                  <c:v>0.7</c:v>
                </c:pt>
                <c:pt idx="1">
                  <c:v>0.7</c:v>
                </c:pt>
                <c:pt idx="2">
                  <c:v>0.71</c:v>
                </c:pt>
                <c:pt idx="3">
                  <c:v>0.7</c:v>
                </c:pt>
                <c:pt idx="4">
                  <c:v>0.7</c:v>
                </c:pt>
              </c:numCache>
            </c:numRef>
          </c:val>
          <c:smooth val="0"/>
          <c:extLst xmlns:c16r2="http://schemas.microsoft.com/office/drawing/2015/06/chart">
            <c:ext xmlns:c16="http://schemas.microsoft.com/office/drawing/2014/chart" uri="{C3380CC4-5D6E-409C-BE32-E72D297353CC}">
              <c16:uniqueId val="{00000003-D135-4A2B-BBAF-FD53FF4DD940}"/>
            </c:ext>
          </c:extLst>
        </c:ser>
        <c:ser>
          <c:idx val="1"/>
          <c:order val="1"/>
          <c:tx>
            <c:strRef>
              <c:f>Hoja1!$C$1</c:f>
              <c:strCache>
                <c:ptCount val="1"/>
                <c:pt idx="0">
                  <c:v>Hombres</c:v>
                </c:pt>
              </c:strCache>
            </c:strRef>
          </c:tx>
          <c:spPr>
            <a:ln w="19050" cap="rnd">
              <a:solidFill>
                <a:srgbClr val="253746"/>
              </a:solidFill>
              <a:round/>
            </a:ln>
            <a:effectLst/>
          </c:spPr>
          <c:marker>
            <c:symbol val="circle"/>
            <c:size val="5"/>
            <c:spPr>
              <a:solidFill>
                <a:srgbClr val="253746"/>
              </a:solidFill>
              <a:ln w="9525">
                <a:solidFill>
                  <a:srgbClr val="253746"/>
                </a:solidFill>
              </a:ln>
              <a:effectLst/>
            </c:spPr>
          </c:marker>
          <c:dLbls>
            <c:delete val="1"/>
          </c:dLbls>
          <c:cat>
            <c:numRef>
              <c:f>Hoja1!$A$2:$A$6</c:f>
              <c:numCache>
                <c:formatCode>General</c:formatCode>
                <c:ptCount val="5"/>
                <c:pt idx="0">
                  <c:v>2017</c:v>
                </c:pt>
                <c:pt idx="1">
                  <c:v>2018</c:v>
                </c:pt>
                <c:pt idx="2">
                  <c:v>2019</c:v>
                </c:pt>
                <c:pt idx="3">
                  <c:v>2020</c:v>
                </c:pt>
                <c:pt idx="4">
                  <c:v>2021</c:v>
                </c:pt>
              </c:numCache>
            </c:numRef>
          </c:cat>
          <c:val>
            <c:numRef>
              <c:f>Hoja1!$C$2:$C$6</c:f>
              <c:numCache>
                <c:formatCode>0%</c:formatCode>
                <c:ptCount val="5"/>
                <c:pt idx="0">
                  <c:v>0.3</c:v>
                </c:pt>
                <c:pt idx="1">
                  <c:v>0.3</c:v>
                </c:pt>
                <c:pt idx="2">
                  <c:v>0.28999999999999998</c:v>
                </c:pt>
                <c:pt idx="3">
                  <c:v>0.3</c:v>
                </c:pt>
                <c:pt idx="4">
                  <c:v>0.3</c:v>
                </c:pt>
              </c:numCache>
            </c:numRef>
          </c:val>
          <c:smooth val="0"/>
          <c:extLst xmlns:c16r2="http://schemas.microsoft.com/office/drawing/2015/06/chart">
            <c:ext xmlns:c16="http://schemas.microsoft.com/office/drawing/2014/chart" uri="{C3380CC4-5D6E-409C-BE32-E72D297353CC}">
              <c16:uniqueId val="{00000004-D135-4A2B-BBAF-FD53FF4DD940}"/>
            </c:ext>
          </c:extLst>
        </c:ser>
        <c:dLbls>
          <c:dLblPos val="ctr"/>
          <c:showLegendKey val="0"/>
          <c:showVal val="1"/>
          <c:showCatName val="0"/>
          <c:showSerName val="0"/>
          <c:showPercent val="0"/>
          <c:showBubbleSize val="0"/>
        </c:dLbls>
        <c:marker val="1"/>
        <c:smooth val="0"/>
        <c:axId val="42666624"/>
        <c:axId val="42668800"/>
      </c:lineChart>
      <c:catAx>
        <c:axId val="426666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2668800"/>
        <c:crosses val="autoZero"/>
        <c:auto val="1"/>
        <c:lblAlgn val="ctr"/>
        <c:lblOffset val="100"/>
        <c:noMultiLvlLbl val="0"/>
      </c:catAx>
      <c:valAx>
        <c:axId val="42668800"/>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26666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50. Evolución de la distribución por sexo en la modalidad de teletrabajo </a:t>
            </a:r>
          </a:p>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0" i="1">
                <a:solidFill>
                  <a:srgbClr val="253746"/>
                </a:solidFill>
                <a:latin typeface="Arial" panose="020B0604020202020204" pitchFamily="34" charset="0"/>
                <a:cs typeface="Arial" panose="020B0604020202020204" pitchFamily="34" charset="0"/>
              </a:rPr>
              <a:t>(Servicios Generales</a:t>
            </a:r>
            <a:r>
              <a:rPr lang="en-US" sz="1200" b="0" i="1" baseline="0">
                <a:solidFill>
                  <a:srgbClr val="253746"/>
                </a:solidFill>
                <a:latin typeface="Arial" panose="020B0604020202020204" pitchFamily="34" charset="0"/>
                <a:cs typeface="Arial" panose="020B0604020202020204" pitchFamily="34" charset="0"/>
              </a:rPr>
              <a:t>)</a:t>
            </a:r>
            <a:endParaRPr lang="en-US" sz="1200" b="0" i="1">
              <a:solidFill>
                <a:srgbClr val="253746"/>
              </a:solidFill>
              <a:latin typeface="Arial" panose="020B0604020202020204" pitchFamily="34" charset="0"/>
              <a:cs typeface="Arial" panose="020B0604020202020204" pitchFamily="34" charset="0"/>
            </a:endParaRPr>
          </a:p>
        </c:rich>
      </c:tx>
      <c:layout>
        <c:manualLayout>
          <c:xMode val="edge"/>
          <c:yMode val="edge"/>
          <c:x val="0.14114434947768284"/>
          <c:y val="2.5640889223566388E-2"/>
        </c:manualLayout>
      </c:layout>
      <c:overlay val="0"/>
      <c:spPr>
        <a:noFill/>
        <a:ln>
          <a:noFill/>
        </a:ln>
        <a:effectLst/>
      </c:spPr>
    </c:title>
    <c:autoTitleDeleted val="0"/>
    <c:plotArea>
      <c:layout>
        <c:manualLayout>
          <c:layoutTarget val="inner"/>
          <c:xMode val="edge"/>
          <c:yMode val="edge"/>
          <c:x val="9.657128863165608E-2"/>
          <c:y val="0.46241151674222541"/>
          <c:w val="0.87731285191915109"/>
          <c:h val="0.42479338842975206"/>
        </c:manualLayout>
      </c:layout>
      <c:lineChart>
        <c:grouping val="standard"/>
        <c:varyColors val="0"/>
        <c:ser>
          <c:idx val="0"/>
          <c:order val="0"/>
          <c:tx>
            <c:strRef>
              <c:f>Hoja1!$B$1</c:f>
              <c:strCache>
                <c:ptCount val="1"/>
                <c:pt idx="0">
                  <c:v>Mujeres</c:v>
                </c:pt>
              </c:strCache>
            </c:strRef>
          </c:tx>
          <c:spPr>
            <a:ln w="19050" cap="rnd">
              <a:solidFill>
                <a:srgbClr val="78BE20"/>
              </a:solidFill>
              <a:round/>
            </a:ln>
            <a:effectLst/>
          </c:spPr>
          <c:marker>
            <c:symbol val="circle"/>
            <c:size val="5"/>
            <c:spPr>
              <a:solidFill>
                <a:srgbClr val="78BE20"/>
              </a:solidFill>
              <a:ln w="9525">
                <a:solidFill>
                  <a:srgbClr val="78BE20"/>
                </a:solidFill>
              </a:ln>
              <a:effectLst/>
            </c:spPr>
          </c:marker>
          <c:dPt>
            <c:idx val="0"/>
            <c:bubble3D val="0"/>
            <c:explosion val="1"/>
            <c:extLst xmlns:c16r2="http://schemas.microsoft.com/office/drawing/2015/06/chart">
              <c:ext xmlns:c16="http://schemas.microsoft.com/office/drawing/2014/chart" uri="{C3380CC4-5D6E-409C-BE32-E72D297353CC}">
                <c16:uniqueId val="{00000001-6D0A-4D01-BE1B-927B655B9C38}"/>
              </c:ext>
            </c:extLst>
          </c:dPt>
          <c:dPt>
            <c:idx val="1"/>
            <c:bubble3D val="0"/>
            <c:extLst xmlns:c16r2="http://schemas.microsoft.com/office/drawing/2015/06/chart">
              <c:ext xmlns:c16="http://schemas.microsoft.com/office/drawing/2014/chart" uri="{C3380CC4-5D6E-409C-BE32-E72D297353CC}">
                <c16:uniqueId val="{00000002-6D0A-4D01-BE1B-927B655B9C38}"/>
              </c:ext>
            </c:extLst>
          </c:dPt>
          <c:dLbls>
            <c:delete val="1"/>
          </c:dLbls>
          <c:cat>
            <c:numRef>
              <c:f>Hoja1!$A$2:$A$6</c:f>
              <c:numCache>
                <c:formatCode>General</c:formatCode>
                <c:ptCount val="5"/>
                <c:pt idx="0">
                  <c:v>2017</c:v>
                </c:pt>
                <c:pt idx="1">
                  <c:v>2018</c:v>
                </c:pt>
                <c:pt idx="2">
                  <c:v>2019</c:v>
                </c:pt>
                <c:pt idx="3">
                  <c:v>2020</c:v>
                </c:pt>
                <c:pt idx="4">
                  <c:v>2021</c:v>
                </c:pt>
              </c:numCache>
            </c:numRef>
          </c:cat>
          <c:val>
            <c:numRef>
              <c:f>Hoja1!$B$2:$B$6</c:f>
              <c:numCache>
                <c:formatCode>0%</c:formatCode>
                <c:ptCount val="5"/>
                <c:pt idx="0">
                  <c:v>0.74</c:v>
                </c:pt>
                <c:pt idx="1">
                  <c:v>0.79</c:v>
                </c:pt>
                <c:pt idx="2">
                  <c:v>0.81</c:v>
                </c:pt>
                <c:pt idx="3">
                  <c:v>0.81</c:v>
                </c:pt>
                <c:pt idx="4">
                  <c:v>0.76</c:v>
                </c:pt>
              </c:numCache>
            </c:numRef>
          </c:val>
          <c:smooth val="0"/>
          <c:extLst xmlns:c16r2="http://schemas.microsoft.com/office/drawing/2015/06/chart">
            <c:ext xmlns:c16="http://schemas.microsoft.com/office/drawing/2014/chart" uri="{C3380CC4-5D6E-409C-BE32-E72D297353CC}">
              <c16:uniqueId val="{00000003-6D0A-4D01-BE1B-927B655B9C38}"/>
            </c:ext>
          </c:extLst>
        </c:ser>
        <c:ser>
          <c:idx val="1"/>
          <c:order val="1"/>
          <c:tx>
            <c:strRef>
              <c:f>Hoja1!$C$1</c:f>
              <c:strCache>
                <c:ptCount val="1"/>
                <c:pt idx="0">
                  <c:v>Hombres</c:v>
                </c:pt>
              </c:strCache>
            </c:strRef>
          </c:tx>
          <c:spPr>
            <a:ln w="19050" cap="rnd">
              <a:solidFill>
                <a:srgbClr val="253746"/>
              </a:solidFill>
              <a:round/>
            </a:ln>
            <a:effectLst/>
          </c:spPr>
          <c:marker>
            <c:symbol val="circle"/>
            <c:size val="5"/>
            <c:spPr>
              <a:solidFill>
                <a:srgbClr val="253746"/>
              </a:solidFill>
              <a:ln w="9525">
                <a:solidFill>
                  <a:srgbClr val="253746"/>
                </a:solidFill>
              </a:ln>
              <a:effectLst/>
            </c:spPr>
          </c:marker>
          <c:dLbls>
            <c:delete val="1"/>
          </c:dLbls>
          <c:cat>
            <c:numRef>
              <c:f>Hoja1!$A$2:$A$6</c:f>
              <c:numCache>
                <c:formatCode>General</c:formatCode>
                <c:ptCount val="5"/>
                <c:pt idx="0">
                  <c:v>2017</c:v>
                </c:pt>
                <c:pt idx="1">
                  <c:v>2018</c:v>
                </c:pt>
                <c:pt idx="2">
                  <c:v>2019</c:v>
                </c:pt>
                <c:pt idx="3">
                  <c:v>2020</c:v>
                </c:pt>
                <c:pt idx="4">
                  <c:v>2021</c:v>
                </c:pt>
              </c:numCache>
            </c:numRef>
          </c:cat>
          <c:val>
            <c:numRef>
              <c:f>Hoja1!$C$2:$C$6</c:f>
              <c:numCache>
                <c:formatCode>0%</c:formatCode>
                <c:ptCount val="5"/>
                <c:pt idx="0">
                  <c:v>0.26</c:v>
                </c:pt>
                <c:pt idx="1">
                  <c:v>0.21</c:v>
                </c:pt>
                <c:pt idx="2">
                  <c:v>0.19</c:v>
                </c:pt>
                <c:pt idx="3">
                  <c:v>0.19</c:v>
                </c:pt>
                <c:pt idx="4">
                  <c:v>0.24</c:v>
                </c:pt>
              </c:numCache>
            </c:numRef>
          </c:val>
          <c:smooth val="0"/>
          <c:extLst xmlns:c16r2="http://schemas.microsoft.com/office/drawing/2015/06/chart">
            <c:ext xmlns:c16="http://schemas.microsoft.com/office/drawing/2014/chart" uri="{C3380CC4-5D6E-409C-BE32-E72D297353CC}">
              <c16:uniqueId val="{00000004-6D0A-4D01-BE1B-927B655B9C38}"/>
            </c:ext>
          </c:extLst>
        </c:ser>
        <c:dLbls>
          <c:dLblPos val="ctr"/>
          <c:showLegendKey val="0"/>
          <c:showVal val="1"/>
          <c:showCatName val="0"/>
          <c:showSerName val="0"/>
          <c:showPercent val="0"/>
          <c:showBubbleSize val="0"/>
        </c:dLbls>
        <c:marker val="1"/>
        <c:smooth val="0"/>
        <c:axId val="47518464"/>
        <c:axId val="47520000"/>
      </c:lineChart>
      <c:catAx>
        <c:axId val="475184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7520000"/>
        <c:crosses val="autoZero"/>
        <c:auto val="1"/>
        <c:lblAlgn val="ctr"/>
        <c:lblOffset val="100"/>
        <c:noMultiLvlLbl val="0"/>
      </c:catAx>
      <c:valAx>
        <c:axId val="47520000"/>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7518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253746"/>
                </a:solidFill>
                <a:latin typeface="+mn-lt"/>
                <a:ea typeface="+mn-ea"/>
                <a:cs typeface="+mn-cs"/>
              </a:defRPr>
            </a:pPr>
            <a:r>
              <a:rPr lang="es-ES" sz="1200" b="1" i="1">
                <a:solidFill>
                  <a:srgbClr val="253746"/>
                </a:solidFill>
                <a:latin typeface="Arial" panose="020B0604020202020204" pitchFamily="34" charset="0"/>
                <a:cs typeface="Arial" panose="020B0604020202020204" pitchFamily="34" charset="0"/>
              </a:rPr>
              <a:t>Gráfica 51. Concentración por sexo y experiencia ante situaciones de acoso laboral</a:t>
            </a:r>
            <a:r>
              <a:rPr lang="es-ES" sz="1200" b="1" i="1" baseline="0">
                <a:solidFill>
                  <a:srgbClr val="253746"/>
                </a:solidFill>
                <a:latin typeface="Arial" panose="020B0604020202020204" pitchFamily="34" charset="0"/>
                <a:cs typeface="Arial" panose="020B0604020202020204" pitchFamily="34" charset="0"/>
              </a:rPr>
              <a:t> por razón de sexo</a:t>
            </a:r>
            <a:endParaRPr lang="es-ES" sz="1200" b="1" i="1">
              <a:solidFill>
                <a:srgbClr val="253746"/>
              </a:solidFill>
              <a:latin typeface="Arial" panose="020B0604020202020204" pitchFamily="34" charset="0"/>
              <a:cs typeface="Arial" panose="020B0604020202020204" pitchFamily="34" charset="0"/>
            </a:endParaRPr>
          </a:p>
        </c:rich>
      </c:tx>
      <c:layout>
        <c:manualLayout>
          <c:xMode val="edge"/>
          <c:yMode val="edge"/>
          <c:x val="0.14059266227657574"/>
          <c:y val="2.4188671638782504E-2"/>
        </c:manualLayout>
      </c:layout>
      <c:overlay val="0"/>
      <c:spPr>
        <a:noFill/>
        <a:ln>
          <a:noFill/>
        </a:ln>
        <a:effectLst/>
      </c:spPr>
    </c:title>
    <c:autoTitleDeleted val="0"/>
    <c:plotArea>
      <c:layout/>
      <c:barChart>
        <c:barDir val="bar"/>
        <c:grouping val="percentStacked"/>
        <c:varyColors val="0"/>
        <c:ser>
          <c:idx val="0"/>
          <c:order val="0"/>
          <c:tx>
            <c:strRef>
              <c:f>Hoja1!$B$1</c:f>
              <c:strCache>
                <c:ptCount val="1"/>
                <c:pt idx="0">
                  <c:v>Sí</c:v>
                </c:pt>
              </c:strCache>
            </c:strRef>
          </c:tx>
          <c:spPr>
            <a:solidFill>
              <a:srgbClr val="B1E670"/>
            </a:solidFill>
            <a:ln>
              <a:solidFill>
                <a:srgbClr val="B1E67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Hoja1!$B$2:$B$3</c:f>
              <c:numCache>
                <c:formatCode>0%</c:formatCode>
                <c:ptCount val="2"/>
                <c:pt idx="0">
                  <c:v>0.09</c:v>
                </c:pt>
                <c:pt idx="1">
                  <c:v>0.06</c:v>
                </c:pt>
              </c:numCache>
            </c:numRef>
          </c:val>
          <c:extLst xmlns:c16r2="http://schemas.microsoft.com/office/drawing/2015/06/chart">
            <c:ext xmlns:c16="http://schemas.microsoft.com/office/drawing/2014/chart" uri="{C3380CC4-5D6E-409C-BE32-E72D297353CC}">
              <c16:uniqueId val="{00000000-C9C2-47B0-9E9D-9F038F4971EB}"/>
            </c:ext>
          </c:extLst>
        </c:ser>
        <c:ser>
          <c:idx val="1"/>
          <c:order val="1"/>
          <c:tx>
            <c:strRef>
              <c:f>Hoja1!$C$1</c:f>
              <c:strCache>
                <c:ptCount val="1"/>
                <c:pt idx="0">
                  <c:v>No</c:v>
                </c:pt>
              </c:strCache>
            </c:strRef>
          </c:tx>
          <c:spPr>
            <a:solidFill>
              <a:srgbClr val="779AB7"/>
            </a:solidFill>
            <a:ln>
              <a:solidFill>
                <a:srgbClr val="779AB7"/>
              </a:solidFill>
            </a:ln>
            <a:effectLst/>
          </c:spPr>
          <c:invertIfNegative val="0"/>
          <c:dLbls>
            <c:dLbl>
              <c:idx val="1"/>
              <c:layout>
                <c:manualLayout>
                  <c:x val="-9.4073377234242701E-3"/>
                  <c:y val="0"/>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9C2-47B0-9E9D-9F038F4971E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Hoja1!$C$2:$C$3</c:f>
              <c:numCache>
                <c:formatCode>0%</c:formatCode>
                <c:ptCount val="2"/>
                <c:pt idx="0">
                  <c:v>0.88</c:v>
                </c:pt>
                <c:pt idx="1">
                  <c:v>0.92</c:v>
                </c:pt>
              </c:numCache>
            </c:numRef>
          </c:val>
          <c:extLst xmlns:c16r2="http://schemas.microsoft.com/office/drawing/2015/06/chart">
            <c:ext xmlns:c16="http://schemas.microsoft.com/office/drawing/2014/chart" uri="{C3380CC4-5D6E-409C-BE32-E72D297353CC}">
              <c16:uniqueId val="{00000002-C9C2-47B0-9E9D-9F038F4971EB}"/>
            </c:ext>
          </c:extLst>
        </c:ser>
        <c:ser>
          <c:idx val="2"/>
          <c:order val="2"/>
          <c:tx>
            <c:strRef>
              <c:f>Hoja1!$D$1</c:f>
              <c:strCache>
                <c:ptCount val="1"/>
                <c:pt idx="0">
                  <c:v>N/C</c:v>
                </c:pt>
              </c:strCache>
            </c:strRef>
          </c:tx>
          <c:spPr>
            <a:solidFill>
              <a:srgbClr val="EAF8D8"/>
            </a:solidFill>
            <a:ln>
              <a:solidFill>
                <a:srgbClr val="EAF8D8"/>
              </a:solidFill>
            </a:ln>
            <a:effectLst/>
          </c:spPr>
          <c:invertIfNegative val="0"/>
          <c:dLbls>
            <c:dLbl>
              <c:idx val="0"/>
              <c:layout>
                <c:manualLayout>
                  <c:x val="-4.9388523047977424E-2"/>
                  <c:y val="-4.0314452731304174E-3"/>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B84-4C8B-B91F-CA1AEB742640}"/>
                </c:ext>
              </c:extLst>
            </c:dLbl>
            <c:dLbl>
              <c:idx val="1"/>
              <c:layout>
                <c:manualLayout>
                  <c:x val="-4.7125762031392363E-2"/>
                  <c:y val="4.0314452731304174E-3"/>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9C2-47B0-9E9D-9F038F4971E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Hoja1!$D$2:$D$3</c:f>
              <c:numCache>
                <c:formatCode>0%</c:formatCode>
                <c:ptCount val="2"/>
                <c:pt idx="0">
                  <c:v>0.03</c:v>
                </c:pt>
                <c:pt idx="1">
                  <c:v>0.02</c:v>
                </c:pt>
              </c:numCache>
            </c:numRef>
          </c:val>
          <c:extLst xmlns:c16r2="http://schemas.microsoft.com/office/drawing/2015/06/chart">
            <c:ext xmlns:c16="http://schemas.microsoft.com/office/drawing/2014/chart" uri="{C3380CC4-5D6E-409C-BE32-E72D297353CC}">
              <c16:uniqueId val="{00000004-C9C2-47B0-9E9D-9F038F4971EB}"/>
            </c:ext>
          </c:extLst>
        </c:ser>
        <c:dLbls>
          <c:dLblPos val="ctr"/>
          <c:showLegendKey val="0"/>
          <c:showVal val="1"/>
          <c:showCatName val="0"/>
          <c:showSerName val="0"/>
          <c:showPercent val="0"/>
          <c:showBubbleSize val="0"/>
        </c:dLbls>
        <c:gapWidth val="150"/>
        <c:overlap val="100"/>
        <c:axId val="47209088"/>
        <c:axId val="47239552"/>
      </c:barChart>
      <c:catAx>
        <c:axId val="47209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7239552"/>
        <c:crosses val="autoZero"/>
        <c:auto val="1"/>
        <c:lblAlgn val="ctr"/>
        <c:lblOffset val="100"/>
        <c:noMultiLvlLbl val="0"/>
      </c:catAx>
      <c:valAx>
        <c:axId val="47239552"/>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47209088"/>
        <c:crosses val="autoZero"/>
        <c:crossBetween val="between"/>
      </c:valAx>
      <c:spPr>
        <a:noFill/>
        <a:ln>
          <a:noFill/>
        </a:ln>
        <a:effectLst/>
      </c:spPr>
    </c:plotArea>
    <c:legend>
      <c:legendPos val="t"/>
      <c:layout>
        <c:manualLayout>
          <c:xMode val="edge"/>
          <c:yMode val="edge"/>
          <c:x val="0.40175572773535012"/>
          <c:y val="0.18387421890747832"/>
          <c:w val="0.19648854452929979"/>
          <c:h val="6.8789471261667776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253746"/>
                </a:solidFill>
                <a:latin typeface="+mn-lt"/>
                <a:ea typeface="+mn-ea"/>
                <a:cs typeface="+mn-cs"/>
              </a:defRPr>
            </a:pPr>
            <a:r>
              <a:rPr lang="es-ES" sz="1200" b="1" i="1">
                <a:solidFill>
                  <a:srgbClr val="253746"/>
                </a:solidFill>
                <a:latin typeface="Arial" panose="020B0604020202020204" pitchFamily="34" charset="0"/>
                <a:cs typeface="Arial" panose="020B0604020202020204" pitchFamily="34" charset="0"/>
              </a:rPr>
              <a:t>Gráfica 52. Concentración por sexo y experiencia ante situaciones de acoso sexual</a:t>
            </a:r>
          </a:p>
        </c:rich>
      </c:tx>
      <c:layout>
        <c:manualLayout>
          <c:xMode val="edge"/>
          <c:yMode val="edge"/>
          <c:x val="0.14059266227657574"/>
          <c:y val="2.4188671638782504E-2"/>
        </c:manualLayout>
      </c:layout>
      <c:overlay val="0"/>
      <c:spPr>
        <a:noFill/>
        <a:ln>
          <a:noFill/>
        </a:ln>
        <a:effectLst/>
      </c:spPr>
    </c:title>
    <c:autoTitleDeleted val="0"/>
    <c:plotArea>
      <c:layout/>
      <c:barChart>
        <c:barDir val="bar"/>
        <c:grouping val="percentStacked"/>
        <c:varyColors val="0"/>
        <c:ser>
          <c:idx val="0"/>
          <c:order val="0"/>
          <c:tx>
            <c:strRef>
              <c:f>Hoja1!$B$1</c:f>
              <c:strCache>
                <c:ptCount val="1"/>
                <c:pt idx="0">
                  <c:v>Sí</c:v>
                </c:pt>
              </c:strCache>
            </c:strRef>
          </c:tx>
          <c:spPr>
            <a:solidFill>
              <a:srgbClr val="B1E670"/>
            </a:solidFill>
            <a:ln>
              <a:solidFill>
                <a:srgbClr val="B1E670"/>
              </a:solidFill>
            </a:ln>
            <a:effectLst/>
          </c:spPr>
          <c:invertIfNegative val="0"/>
          <c:dLbls>
            <c:dLbl>
              <c:idx val="0"/>
              <c:layout>
                <c:manualLayout>
                  <c:x val="4.7036688617121354E-2"/>
                  <c:y val="4.0314452731302691E-3"/>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65D-47C8-B778-DDCBBE5ECAD9}"/>
                </c:ext>
              </c:extLst>
            </c:dLbl>
            <c:dLbl>
              <c:idx val="1"/>
              <c:layout>
                <c:manualLayout>
                  <c:x val="4.4684854186265284E-2"/>
                  <c:y val="4.0314452731304174E-3"/>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65D-47C8-B778-DDCBBE5ECAD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Hoja1!$B$2:$B$3</c:f>
              <c:numCache>
                <c:formatCode>0.0%</c:formatCode>
                <c:ptCount val="2"/>
                <c:pt idx="0">
                  <c:v>2.5000000000000001E-2</c:v>
                </c:pt>
                <c:pt idx="1">
                  <c:v>1.4999999999999999E-2</c:v>
                </c:pt>
              </c:numCache>
            </c:numRef>
          </c:val>
          <c:extLst xmlns:c16r2="http://schemas.microsoft.com/office/drawing/2015/06/chart">
            <c:ext xmlns:c16="http://schemas.microsoft.com/office/drawing/2014/chart" uri="{C3380CC4-5D6E-409C-BE32-E72D297353CC}">
              <c16:uniqueId val="{00000000-165D-47C8-B778-DDCBBE5ECAD9}"/>
            </c:ext>
          </c:extLst>
        </c:ser>
        <c:ser>
          <c:idx val="1"/>
          <c:order val="1"/>
          <c:tx>
            <c:strRef>
              <c:f>Hoja1!$C$1</c:f>
              <c:strCache>
                <c:ptCount val="1"/>
                <c:pt idx="0">
                  <c:v>No</c:v>
                </c:pt>
              </c:strCache>
            </c:strRef>
          </c:tx>
          <c:spPr>
            <a:solidFill>
              <a:srgbClr val="779AB7"/>
            </a:solidFill>
            <a:ln>
              <a:solidFill>
                <a:srgbClr val="779AB7"/>
              </a:solidFill>
            </a:ln>
            <a:effectLst/>
          </c:spPr>
          <c:invertIfNegative val="0"/>
          <c:dLbls>
            <c:dLbl>
              <c:idx val="1"/>
              <c:layout>
                <c:manualLayout>
                  <c:x val="-9.4073377234242701E-3"/>
                  <c:y val="0"/>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65D-47C8-B778-DDCBBE5ECAD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Hoja1!$C$2:$C$3</c:f>
              <c:numCache>
                <c:formatCode>0%</c:formatCode>
                <c:ptCount val="2"/>
                <c:pt idx="0">
                  <c:v>0.95</c:v>
                </c:pt>
                <c:pt idx="1">
                  <c:v>0.98</c:v>
                </c:pt>
              </c:numCache>
            </c:numRef>
          </c:val>
          <c:extLst xmlns:c16r2="http://schemas.microsoft.com/office/drawing/2015/06/chart">
            <c:ext xmlns:c16="http://schemas.microsoft.com/office/drawing/2014/chart" uri="{C3380CC4-5D6E-409C-BE32-E72D297353CC}">
              <c16:uniqueId val="{00000002-165D-47C8-B778-DDCBBE5ECAD9}"/>
            </c:ext>
          </c:extLst>
        </c:ser>
        <c:ser>
          <c:idx val="2"/>
          <c:order val="2"/>
          <c:tx>
            <c:strRef>
              <c:f>Hoja1!$D$1</c:f>
              <c:strCache>
                <c:ptCount val="1"/>
                <c:pt idx="0">
                  <c:v>N/C</c:v>
                </c:pt>
              </c:strCache>
            </c:strRef>
          </c:tx>
          <c:spPr>
            <a:solidFill>
              <a:srgbClr val="EAF8D8"/>
            </a:solidFill>
            <a:ln>
              <a:solidFill>
                <a:srgbClr val="EAF8D8"/>
              </a:solidFill>
            </a:ln>
            <a:effectLst/>
          </c:spPr>
          <c:invertIfNegative val="0"/>
          <c:dLbls>
            <c:dLbl>
              <c:idx val="0"/>
              <c:layout>
                <c:manualLayout>
                  <c:x val="-5.6444026340545628E-2"/>
                  <c:y val="-1.4781795240918195E-16"/>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65D-47C8-B778-DDCBBE5ECAD9}"/>
                </c:ext>
              </c:extLst>
            </c:dLbl>
            <c:dLbl>
              <c:idx val="1"/>
              <c:layout>
                <c:manualLayout>
                  <c:x val="-4.2333019755409221E-2"/>
                  <c:y val="4.0314452731304174E-3"/>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65D-47C8-B778-DDCBBE5ECAD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Hoja1!$D$2:$D$3</c:f>
              <c:numCache>
                <c:formatCode>0.0%</c:formatCode>
                <c:ptCount val="2"/>
                <c:pt idx="0">
                  <c:v>2.5000000000000001E-2</c:v>
                </c:pt>
                <c:pt idx="1">
                  <c:v>5.0000000000000001E-3</c:v>
                </c:pt>
              </c:numCache>
            </c:numRef>
          </c:val>
          <c:extLst xmlns:c16r2="http://schemas.microsoft.com/office/drawing/2015/06/chart">
            <c:ext xmlns:c16="http://schemas.microsoft.com/office/drawing/2014/chart" uri="{C3380CC4-5D6E-409C-BE32-E72D297353CC}">
              <c16:uniqueId val="{00000004-165D-47C8-B778-DDCBBE5ECAD9}"/>
            </c:ext>
          </c:extLst>
        </c:ser>
        <c:dLbls>
          <c:dLblPos val="ctr"/>
          <c:showLegendKey val="0"/>
          <c:showVal val="1"/>
          <c:showCatName val="0"/>
          <c:showSerName val="0"/>
          <c:showPercent val="0"/>
          <c:showBubbleSize val="0"/>
        </c:dLbls>
        <c:gapWidth val="150"/>
        <c:overlap val="100"/>
        <c:axId val="46623360"/>
        <c:axId val="46649728"/>
      </c:barChart>
      <c:catAx>
        <c:axId val="46623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6649728"/>
        <c:crosses val="autoZero"/>
        <c:auto val="1"/>
        <c:lblAlgn val="ctr"/>
        <c:lblOffset val="100"/>
        <c:noMultiLvlLbl val="0"/>
      </c:catAx>
      <c:valAx>
        <c:axId val="46649728"/>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46623360"/>
        <c:crosses val="autoZero"/>
        <c:crossBetween val="between"/>
      </c:valAx>
      <c:spPr>
        <a:noFill/>
        <a:ln>
          <a:noFill/>
        </a:ln>
        <a:effectLst/>
      </c:spPr>
    </c:plotArea>
    <c:legend>
      <c:legendPos val="t"/>
      <c:layout>
        <c:manualLayout>
          <c:xMode val="edge"/>
          <c:yMode val="edge"/>
          <c:x val="0.40175572773535012"/>
          <c:y val="0.18387421890747832"/>
          <c:w val="0.19648854452929979"/>
          <c:h val="6.8789471261667776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253746"/>
                </a:solidFill>
                <a:latin typeface="+mn-lt"/>
                <a:ea typeface="+mn-ea"/>
                <a:cs typeface="+mn-cs"/>
              </a:defRPr>
            </a:pPr>
            <a:r>
              <a:rPr lang="es-ES" sz="1200" b="1" i="1">
                <a:solidFill>
                  <a:srgbClr val="253746"/>
                </a:solidFill>
                <a:latin typeface="Arial" panose="020B0604020202020204" pitchFamily="34" charset="0"/>
                <a:cs typeface="Arial" panose="020B0604020202020204" pitchFamily="34" charset="0"/>
              </a:rPr>
              <a:t>Gráfica 53. Percepción de la frecuencia en </a:t>
            </a:r>
          </a:p>
          <a:p>
            <a:pPr>
              <a:defRPr sz="1200" b="1" i="0" u="none" strike="noStrike" kern="1200" spc="0" baseline="0">
                <a:solidFill>
                  <a:srgbClr val="253746"/>
                </a:solidFill>
                <a:latin typeface="+mn-lt"/>
                <a:ea typeface="+mn-ea"/>
                <a:cs typeface="+mn-cs"/>
              </a:defRPr>
            </a:pPr>
            <a:r>
              <a:rPr lang="es-ES" sz="1200" b="1" i="1">
                <a:solidFill>
                  <a:srgbClr val="253746"/>
                </a:solidFill>
                <a:latin typeface="Arial" panose="020B0604020202020204" pitchFamily="34" charset="0"/>
                <a:cs typeface="Arial" panose="020B0604020202020204" pitchFamily="34" charset="0"/>
              </a:rPr>
              <a:t>que se producen situaciones de acoso sexual </a:t>
            </a:r>
          </a:p>
          <a:p>
            <a:pPr>
              <a:defRPr sz="1200" b="1" i="0" u="none" strike="noStrike" kern="1200" spc="0" baseline="0">
                <a:solidFill>
                  <a:srgbClr val="253746"/>
                </a:solidFill>
                <a:latin typeface="+mn-lt"/>
                <a:ea typeface="+mn-ea"/>
                <a:cs typeface="+mn-cs"/>
              </a:defRPr>
            </a:pPr>
            <a:r>
              <a:rPr lang="es-ES" sz="1200" b="1" i="1">
                <a:solidFill>
                  <a:srgbClr val="253746"/>
                </a:solidFill>
                <a:latin typeface="Arial" panose="020B0604020202020204" pitchFamily="34" charset="0"/>
                <a:cs typeface="Arial" panose="020B0604020202020204" pitchFamily="34" charset="0"/>
              </a:rPr>
              <a:t>entre el personal público</a:t>
            </a:r>
          </a:p>
        </c:rich>
      </c:tx>
      <c:layout>
        <c:manualLayout>
          <c:xMode val="edge"/>
          <c:yMode val="edge"/>
          <c:x val="0.18057384760112888"/>
          <c:y val="2.4188671638782504E-2"/>
        </c:manualLayout>
      </c:layout>
      <c:overlay val="0"/>
      <c:spPr>
        <a:noFill/>
        <a:ln>
          <a:noFill/>
        </a:ln>
        <a:effectLst/>
      </c:spPr>
    </c:title>
    <c:autoTitleDeleted val="0"/>
    <c:plotArea>
      <c:layout>
        <c:manualLayout>
          <c:layoutTarget val="inner"/>
          <c:xMode val="edge"/>
          <c:yMode val="edge"/>
          <c:x val="2.3518344308560677E-2"/>
          <c:y val="0.41604131891948576"/>
          <c:w val="0.94825964252116646"/>
          <c:h val="0.49414123073358018"/>
        </c:manualLayout>
      </c:layout>
      <c:barChart>
        <c:barDir val="bar"/>
        <c:grouping val="percentStacked"/>
        <c:varyColors val="0"/>
        <c:ser>
          <c:idx val="0"/>
          <c:order val="0"/>
          <c:tx>
            <c:strRef>
              <c:f>Hoja1!$B$1</c:f>
              <c:strCache>
                <c:ptCount val="1"/>
                <c:pt idx="0">
                  <c:v>Constantemente</c:v>
                </c:pt>
              </c:strCache>
            </c:strRef>
          </c:tx>
          <c:spPr>
            <a:solidFill>
              <a:srgbClr val="B1E670"/>
            </a:solidFill>
            <a:ln>
              <a:solidFill>
                <a:srgbClr val="B1E670"/>
              </a:solidFill>
            </a:ln>
            <a:effectLst/>
          </c:spPr>
          <c:invertIfNegative val="0"/>
          <c:dLbls>
            <c:delete val="1"/>
          </c:dLbls>
          <c:cat>
            <c:numRef>
              <c:f>Hoja1!$A$2</c:f>
              <c:numCache>
                <c:formatCode>0.0%</c:formatCode>
                <c:ptCount val="1"/>
              </c:numCache>
            </c:numRef>
          </c:cat>
          <c:val>
            <c:numRef>
              <c:f>Hoja1!$B$2</c:f>
              <c:numCache>
                <c:formatCode>0.0%</c:formatCode>
                <c:ptCount val="1"/>
                <c:pt idx="0">
                  <c:v>2E-3</c:v>
                </c:pt>
              </c:numCache>
            </c:numRef>
          </c:val>
          <c:extLst xmlns:c16r2="http://schemas.microsoft.com/office/drawing/2015/06/chart">
            <c:ext xmlns:c16="http://schemas.microsoft.com/office/drawing/2014/chart" uri="{C3380CC4-5D6E-409C-BE32-E72D297353CC}">
              <c16:uniqueId val="{00000000-B7F6-44DC-8921-28BF9DAAA669}"/>
            </c:ext>
          </c:extLst>
        </c:ser>
        <c:ser>
          <c:idx val="1"/>
          <c:order val="1"/>
          <c:tx>
            <c:strRef>
              <c:f>Hoja1!$C$1</c:f>
              <c:strCache>
                <c:ptCount val="1"/>
                <c:pt idx="0">
                  <c:v>Con frecuencia</c:v>
                </c:pt>
              </c:strCache>
            </c:strRef>
          </c:tx>
          <c:spPr>
            <a:solidFill>
              <a:srgbClr val="779AB7"/>
            </a:solidFill>
            <a:ln>
              <a:solidFill>
                <a:srgbClr val="779AB7"/>
              </a:solidFill>
            </a:ln>
            <a:effectLst/>
          </c:spPr>
          <c:invertIfNegative val="0"/>
          <c:dLbls>
            <c:delete val="1"/>
          </c:dLbls>
          <c:cat>
            <c:numRef>
              <c:f>Hoja1!$A$2</c:f>
              <c:numCache>
                <c:formatCode>0.0%</c:formatCode>
                <c:ptCount val="1"/>
              </c:numCache>
            </c:numRef>
          </c:cat>
          <c:val>
            <c:numRef>
              <c:f>Hoja1!$C$2</c:f>
              <c:numCache>
                <c:formatCode>0.0%</c:formatCode>
                <c:ptCount val="1"/>
                <c:pt idx="0">
                  <c:v>2E-3</c:v>
                </c:pt>
              </c:numCache>
            </c:numRef>
          </c:val>
          <c:extLst xmlns:c16r2="http://schemas.microsoft.com/office/drawing/2015/06/chart">
            <c:ext xmlns:c16="http://schemas.microsoft.com/office/drawing/2014/chart" uri="{C3380CC4-5D6E-409C-BE32-E72D297353CC}">
              <c16:uniqueId val="{00000001-B7F6-44DC-8921-28BF9DAAA669}"/>
            </c:ext>
          </c:extLst>
        </c:ser>
        <c:ser>
          <c:idx val="2"/>
          <c:order val="2"/>
          <c:tx>
            <c:strRef>
              <c:f>Hoja1!$D$1</c:f>
              <c:strCache>
                <c:ptCount val="1"/>
                <c:pt idx="0">
                  <c:v>Raras veces</c:v>
                </c:pt>
              </c:strCache>
            </c:strRef>
          </c:tx>
          <c:spPr>
            <a:solidFill>
              <a:srgbClr val="EAF8D8"/>
            </a:solidFill>
            <a:ln>
              <a:solidFill>
                <a:srgbClr val="EAF8D8"/>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0.0%</c:formatCode>
                <c:ptCount val="1"/>
              </c:numCache>
            </c:numRef>
          </c:cat>
          <c:val>
            <c:numRef>
              <c:f>Hoja1!$D$2</c:f>
              <c:numCache>
                <c:formatCode>0.0%</c:formatCode>
                <c:ptCount val="1"/>
                <c:pt idx="0">
                  <c:v>0.113</c:v>
                </c:pt>
              </c:numCache>
            </c:numRef>
          </c:val>
          <c:extLst xmlns:c16r2="http://schemas.microsoft.com/office/drawing/2015/06/chart">
            <c:ext xmlns:c16="http://schemas.microsoft.com/office/drawing/2014/chart" uri="{C3380CC4-5D6E-409C-BE32-E72D297353CC}">
              <c16:uniqueId val="{00000002-B7F6-44DC-8921-28BF9DAAA669}"/>
            </c:ext>
          </c:extLst>
        </c:ser>
        <c:ser>
          <c:idx val="3"/>
          <c:order val="3"/>
          <c:tx>
            <c:strRef>
              <c:f>Hoja1!$E$1</c:f>
              <c:strCache>
                <c:ptCount val="1"/>
                <c:pt idx="0">
                  <c:v>No existen</c:v>
                </c:pt>
              </c:strCache>
            </c:strRef>
          </c:tx>
          <c:spPr>
            <a:solidFill>
              <a:srgbClr val="3A566E"/>
            </a:solidFill>
            <a:ln>
              <a:solidFill>
                <a:srgbClr val="3A566E"/>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0.0%</c:formatCode>
                <c:ptCount val="1"/>
              </c:numCache>
            </c:numRef>
          </c:cat>
          <c:val>
            <c:numRef>
              <c:f>Hoja1!$E$2</c:f>
              <c:numCache>
                <c:formatCode>0.0%</c:formatCode>
                <c:ptCount val="1"/>
                <c:pt idx="0">
                  <c:v>0.88300000000000001</c:v>
                </c:pt>
              </c:numCache>
            </c:numRef>
          </c:val>
          <c:extLst xmlns:c16r2="http://schemas.microsoft.com/office/drawing/2015/06/chart">
            <c:ext xmlns:c16="http://schemas.microsoft.com/office/drawing/2014/chart" uri="{C3380CC4-5D6E-409C-BE32-E72D297353CC}">
              <c16:uniqueId val="{00000007-B7F6-44DC-8921-28BF9DAAA669}"/>
            </c:ext>
          </c:extLst>
        </c:ser>
        <c:dLbls>
          <c:dLblPos val="ctr"/>
          <c:showLegendKey val="0"/>
          <c:showVal val="1"/>
          <c:showCatName val="0"/>
          <c:showSerName val="0"/>
          <c:showPercent val="0"/>
          <c:showBubbleSize val="0"/>
        </c:dLbls>
        <c:gapWidth val="150"/>
        <c:overlap val="100"/>
        <c:axId val="95789056"/>
        <c:axId val="95790592"/>
      </c:barChart>
      <c:catAx>
        <c:axId val="95789056"/>
        <c:scaling>
          <c:orientation val="minMax"/>
        </c:scaling>
        <c:delete val="1"/>
        <c:axPos val="l"/>
        <c:numFmt formatCode="0.0%" sourceLinked="1"/>
        <c:majorTickMark val="none"/>
        <c:minorTickMark val="none"/>
        <c:tickLblPos val="nextTo"/>
        <c:crossAx val="95790592"/>
        <c:crosses val="autoZero"/>
        <c:auto val="1"/>
        <c:lblAlgn val="ctr"/>
        <c:lblOffset val="100"/>
        <c:noMultiLvlLbl val="0"/>
      </c:catAx>
      <c:valAx>
        <c:axId val="95790592"/>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95789056"/>
        <c:crosses val="autoZero"/>
        <c:crossBetween val="between"/>
      </c:valAx>
      <c:spPr>
        <a:noFill/>
        <a:ln>
          <a:noFill/>
        </a:ln>
        <a:effectLst/>
      </c:spPr>
    </c:plotArea>
    <c:legend>
      <c:legendPos val="t"/>
      <c:layout>
        <c:manualLayout>
          <c:xMode val="edge"/>
          <c:yMode val="edge"/>
          <c:x val="0.10207905867363945"/>
          <c:y val="0.3036727345818731"/>
          <c:w val="0.80054536633061979"/>
          <c:h val="7.5752401094147354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253746"/>
                </a:solidFill>
                <a:latin typeface="+mn-lt"/>
                <a:ea typeface="+mn-ea"/>
                <a:cs typeface="+mn-cs"/>
              </a:defRPr>
            </a:pPr>
            <a:r>
              <a:rPr lang="es-ES" sz="1200" b="1" i="1">
                <a:solidFill>
                  <a:srgbClr val="253746"/>
                </a:solidFill>
                <a:latin typeface="Arial" panose="020B0604020202020204" pitchFamily="34" charset="0"/>
                <a:cs typeface="Arial" panose="020B0604020202020204" pitchFamily="34" charset="0"/>
              </a:rPr>
              <a:t>Gráfica 54. Percepción de la frecuencia en el personal público se expone a acoso sexual externo</a:t>
            </a:r>
          </a:p>
        </c:rich>
      </c:tx>
      <c:layout>
        <c:manualLayout>
          <c:xMode val="edge"/>
          <c:yMode val="edge"/>
          <c:x val="0.1735183443085607"/>
          <c:y val="5.644023382382584E-2"/>
        </c:manualLayout>
      </c:layout>
      <c:overlay val="0"/>
      <c:spPr>
        <a:noFill/>
        <a:ln>
          <a:noFill/>
        </a:ln>
        <a:effectLst/>
      </c:spPr>
    </c:title>
    <c:autoTitleDeleted val="0"/>
    <c:plotArea>
      <c:layout>
        <c:manualLayout>
          <c:layoutTarget val="inner"/>
          <c:xMode val="edge"/>
          <c:yMode val="edge"/>
          <c:x val="2.5870178739416744E-2"/>
          <c:y val="0.35344982199740654"/>
          <c:w val="0.94825964252116646"/>
          <c:h val="0.60220427999815884"/>
        </c:manualLayout>
      </c:layout>
      <c:barChart>
        <c:barDir val="bar"/>
        <c:grouping val="percentStacked"/>
        <c:varyColors val="0"/>
        <c:ser>
          <c:idx val="0"/>
          <c:order val="0"/>
          <c:tx>
            <c:strRef>
              <c:f>Hoja1!$B$1</c:f>
              <c:strCache>
                <c:ptCount val="1"/>
                <c:pt idx="0">
                  <c:v>No existen</c:v>
                </c:pt>
              </c:strCache>
            </c:strRef>
          </c:tx>
          <c:spPr>
            <a:solidFill>
              <a:srgbClr val="B1E670"/>
            </a:solidFill>
            <a:ln>
              <a:solidFill>
                <a:srgbClr val="B1E67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c:f>
              <c:strCache>
                <c:ptCount val="1"/>
                <c:pt idx="0">
                  <c:v>CATEGORÍA</c:v>
                </c:pt>
              </c:strCache>
            </c:strRef>
          </c:cat>
          <c:val>
            <c:numRef>
              <c:f>Hoja1!$B$2</c:f>
              <c:numCache>
                <c:formatCode>0.0%</c:formatCode>
                <c:ptCount val="1"/>
                <c:pt idx="0">
                  <c:v>0.84699999999999998</c:v>
                </c:pt>
              </c:numCache>
            </c:numRef>
          </c:val>
          <c:extLst xmlns:c16r2="http://schemas.microsoft.com/office/drawing/2015/06/chart">
            <c:ext xmlns:c16="http://schemas.microsoft.com/office/drawing/2014/chart" uri="{C3380CC4-5D6E-409C-BE32-E72D297353CC}">
              <c16:uniqueId val="{00000000-AF9D-4E71-84E3-335EEBA54323}"/>
            </c:ext>
          </c:extLst>
        </c:ser>
        <c:ser>
          <c:idx val="1"/>
          <c:order val="1"/>
          <c:tx>
            <c:strRef>
              <c:f>Hoja1!$C$1</c:f>
              <c:strCache>
                <c:ptCount val="1"/>
                <c:pt idx="0">
                  <c:v>Raras veces</c:v>
                </c:pt>
              </c:strCache>
            </c:strRef>
          </c:tx>
          <c:spPr>
            <a:solidFill>
              <a:srgbClr val="779AB7"/>
            </a:solidFill>
            <a:ln>
              <a:solidFill>
                <a:srgbClr val="779AB7"/>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c:f>
              <c:strCache>
                <c:ptCount val="1"/>
                <c:pt idx="0">
                  <c:v>CATEGORÍA</c:v>
                </c:pt>
              </c:strCache>
            </c:strRef>
          </c:cat>
          <c:val>
            <c:numRef>
              <c:f>Hoja1!$C$2</c:f>
              <c:numCache>
                <c:formatCode>0.0%</c:formatCode>
                <c:ptCount val="1"/>
                <c:pt idx="0">
                  <c:v>0.14799999999999999</c:v>
                </c:pt>
              </c:numCache>
            </c:numRef>
          </c:val>
          <c:extLst xmlns:c16r2="http://schemas.microsoft.com/office/drawing/2015/06/chart">
            <c:ext xmlns:c16="http://schemas.microsoft.com/office/drawing/2014/chart" uri="{C3380CC4-5D6E-409C-BE32-E72D297353CC}">
              <c16:uniqueId val="{00000001-AF9D-4E71-84E3-335EEBA54323}"/>
            </c:ext>
          </c:extLst>
        </c:ser>
        <c:ser>
          <c:idx val="2"/>
          <c:order val="2"/>
          <c:tx>
            <c:strRef>
              <c:f>Hoja1!$D$1</c:f>
              <c:strCache>
                <c:ptCount val="1"/>
                <c:pt idx="0">
                  <c:v>Con frecuencia</c:v>
                </c:pt>
              </c:strCache>
            </c:strRef>
          </c:tx>
          <c:spPr>
            <a:solidFill>
              <a:srgbClr val="EAF8D8"/>
            </a:solidFill>
            <a:ln>
              <a:solidFill>
                <a:srgbClr val="EAF8D8"/>
              </a:solidFill>
            </a:ln>
            <a:effectLst/>
          </c:spPr>
          <c:invertIfNegative val="0"/>
          <c:dLbls>
            <c:delete val="1"/>
          </c:dLbls>
          <c:cat>
            <c:strRef>
              <c:f>Hoja1!$A$2</c:f>
              <c:strCache>
                <c:ptCount val="1"/>
                <c:pt idx="0">
                  <c:v>CATEGORÍA</c:v>
                </c:pt>
              </c:strCache>
            </c:strRef>
          </c:cat>
          <c:val>
            <c:numRef>
              <c:f>Hoja1!$D$2</c:f>
              <c:numCache>
                <c:formatCode>0.0%</c:formatCode>
                <c:ptCount val="1"/>
                <c:pt idx="0">
                  <c:v>2E-3</c:v>
                </c:pt>
              </c:numCache>
            </c:numRef>
          </c:val>
          <c:extLst xmlns:c16r2="http://schemas.microsoft.com/office/drawing/2015/06/chart">
            <c:ext xmlns:c16="http://schemas.microsoft.com/office/drawing/2014/chart" uri="{C3380CC4-5D6E-409C-BE32-E72D297353CC}">
              <c16:uniqueId val="{00000002-AF9D-4E71-84E3-335EEBA54323}"/>
            </c:ext>
          </c:extLst>
        </c:ser>
        <c:ser>
          <c:idx val="3"/>
          <c:order val="3"/>
          <c:tx>
            <c:strRef>
              <c:f>Hoja1!$E$1</c:f>
              <c:strCache>
                <c:ptCount val="1"/>
                <c:pt idx="0">
                  <c:v>Constantemente</c:v>
                </c:pt>
              </c:strCache>
            </c:strRef>
          </c:tx>
          <c:spPr>
            <a:solidFill>
              <a:srgbClr val="3A566E"/>
            </a:solidFill>
            <a:ln>
              <a:solidFill>
                <a:srgbClr val="3A566E"/>
              </a:solidFill>
            </a:ln>
            <a:effectLst/>
          </c:spPr>
          <c:invertIfNegative val="0"/>
          <c:dLbls>
            <c:delete val="1"/>
          </c:dLbls>
          <c:cat>
            <c:strRef>
              <c:f>Hoja1!$A$2</c:f>
              <c:strCache>
                <c:ptCount val="1"/>
                <c:pt idx="0">
                  <c:v>CATEGORÍA</c:v>
                </c:pt>
              </c:strCache>
            </c:strRef>
          </c:cat>
          <c:val>
            <c:numRef>
              <c:f>Hoja1!$E$2</c:f>
              <c:numCache>
                <c:formatCode>0.0%</c:formatCode>
                <c:ptCount val="1"/>
                <c:pt idx="0">
                  <c:v>3.0000000000000001E-3</c:v>
                </c:pt>
              </c:numCache>
            </c:numRef>
          </c:val>
          <c:extLst xmlns:c16r2="http://schemas.microsoft.com/office/drawing/2015/06/chart">
            <c:ext xmlns:c16="http://schemas.microsoft.com/office/drawing/2014/chart" uri="{C3380CC4-5D6E-409C-BE32-E72D297353CC}">
              <c16:uniqueId val="{00000003-AF9D-4E71-84E3-335EEBA54323}"/>
            </c:ext>
          </c:extLst>
        </c:ser>
        <c:dLbls>
          <c:dLblPos val="ctr"/>
          <c:showLegendKey val="0"/>
          <c:showVal val="1"/>
          <c:showCatName val="0"/>
          <c:showSerName val="0"/>
          <c:showPercent val="0"/>
          <c:showBubbleSize val="0"/>
        </c:dLbls>
        <c:gapWidth val="150"/>
        <c:overlap val="100"/>
        <c:axId val="96078848"/>
        <c:axId val="96097024"/>
      </c:barChart>
      <c:catAx>
        <c:axId val="96078848"/>
        <c:scaling>
          <c:orientation val="minMax"/>
        </c:scaling>
        <c:delete val="1"/>
        <c:axPos val="l"/>
        <c:numFmt formatCode="General" sourceLinked="1"/>
        <c:majorTickMark val="none"/>
        <c:minorTickMark val="none"/>
        <c:tickLblPos val="nextTo"/>
        <c:crossAx val="96097024"/>
        <c:crosses val="autoZero"/>
        <c:auto val="1"/>
        <c:lblAlgn val="ctr"/>
        <c:lblOffset val="100"/>
        <c:noMultiLvlLbl val="0"/>
      </c:catAx>
      <c:valAx>
        <c:axId val="96097024"/>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96078848"/>
        <c:crosses val="autoZero"/>
        <c:crossBetween val="between"/>
      </c:valAx>
      <c:spPr>
        <a:noFill/>
        <a:ln>
          <a:noFill/>
        </a:ln>
        <a:effectLst/>
      </c:spPr>
    </c:plotArea>
    <c:legend>
      <c:legendPos val="t"/>
      <c:layout>
        <c:manualLayout>
          <c:xMode val="edge"/>
          <c:yMode val="edge"/>
          <c:x val="0.13269753557381056"/>
          <c:y val="0.23225156218504334"/>
          <c:w val="0.80054536633061979"/>
          <c:h val="6.8789471261667776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rgbClr val="253746"/>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55. Distribución por sexo en los accidentes de trabajo, con</a:t>
            </a:r>
            <a:r>
              <a:rPr lang="en-US" sz="1200" b="1" i="1" baseline="0">
                <a:solidFill>
                  <a:srgbClr val="253746"/>
                </a:solidFill>
                <a:latin typeface="Arial" panose="020B0604020202020204" pitchFamily="34" charset="0"/>
                <a:cs typeface="Arial" panose="020B0604020202020204" pitchFamily="34" charset="0"/>
              </a:rPr>
              <a:t> y sin baja </a:t>
            </a:r>
            <a:endParaRPr lang="en-US" sz="1200" b="1" i="1">
              <a:solidFill>
                <a:srgbClr val="253746"/>
              </a:solidFill>
              <a:latin typeface="Arial" panose="020B0604020202020204" pitchFamily="34" charset="0"/>
              <a:cs typeface="Arial" panose="020B0604020202020204" pitchFamily="34" charset="0"/>
            </a:endParaRPr>
          </a:p>
        </c:rich>
      </c:tx>
      <c:layout>
        <c:manualLayout>
          <c:xMode val="edge"/>
          <c:yMode val="edge"/>
          <c:x val="0.12898860398860398"/>
          <c:y val="2.1049434936335439E-2"/>
        </c:manualLayout>
      </c:layout>
      <c:overlay val="0"/>
      <c:spPr>
        <a:noFill/>
        <a:ln>
          <a:noFill/>
        </a:ln>
        <a:effectLst/>
      </c:spPr>
    </c:title>
    <c:autoTitleDeleted val="0"/>
    <c:plotArea>
      <c:layout>
        <c:manualLayout>
          <c:layoutTarget val="inner"/>
          <c:xMode val="edge"/>
          <c:yMode val="edge"/>
          <c:x val="9.657128863165608E-2"/>
          <c:y val="0.31089636522707392"/>
          <c:w val="0.87731285191915109"/>
          <c:h val="0.57630853994490361"/>
        </c:manualLayout>
      </c:layout>
      <c:barChart>
        <c:barDir val="col"/>
        <c:grouping val="percentStacked"/>
        <c:varyColors val="0"/>
        <c:ser>
          <c:idx val="0"/>
          <c:order val="0"/>
          <c:tx>
            <c:strRef>
              <c:f>Hoja1!$B$1</c:f>
              <c:strCache>
                <c:ptCount val="1"/>
                <c:pt idx="0">
                  <c:v>Mujeres</c:v>
                </c:pt>
              </c:strCache>
            </c:strRef>
          </c:tx>
          <c:spPr>
            <a:solidFill>
              <a:srgbClr val="78BE20"/>
            </a:solidFill>
            <a:ln w="19050">
              <a:solidFill>
                <a:srgbClr val="78BE20"/>
              </a:solidFill>
            </a:ln>
            <a:effectLst/>
          </c:spPr>
          <c:invertIfNegative val="0"/>
          <c:dPt>
            <c:idx val="0"/>
            <c:invertIfNegative val="0"/>
            <c:bubble3D val="0"/>
            <c:explosion val="1"/>
            <c:extLst xmlns:c16r2="http://schemas.microsoft.com/office/drawing/2015/06/chart">
              <c:ext xmlns:c16="http://schemas.microsoft.com/office/drawing/2014/chart" uri="{C3380CC4-5D6E-409C-BE32-E72D297353CC}">
                <c16:uniqueId val="{00000000-F903-4CFB-B8EB-9D8337EFE7CD}"/>
              </c:ext>
            </c:extLst>
          </c:dPt>
          <c:dPt>
            <c:idx val="1"/>
            <c:invertIfNegative val="0"/>
            <c:bubble3D val="0"/>
            <c:extLst xmlns:c16r2="http://schemas.microsoft.com/office/drawing/2015/06/chart">
              <c:ext xmlns:c16="http://schemas.microsoft.com/office/drawing/2014/chart" uri="{C3380CC4-5D6E-409C-BE32-E72D297353CC}">
                <c16:uniqueId val="{00000001-F903-4CFB-B8EB-9D8337EFE7CD}"/>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Con baja</c:v>
                </c:pt>
                <c:pt idx="1">
                  <c:v>Sin baja</c:v>
                </c:pt>
              </c:strCache>
            </c:strRef>
          </c:cat>
          <c:val>
            <c:numRef>
              <c:f>Hoja1!$B$2:$B$3</c:f>
              <c:numCache>
                <c:formatCode>0%</c:formatCode>
                <c:ptCount val="2"/>
                <c:pt idx="0">
                  <c:v>0.6</c:v>
                </c:pt>
                <c:pt idx="1">
                  <c:v>0.53</c:v>
                </c:pt>
              </c:numCache>
            </c:numRef>
          </c:val>
          <c:extLst xmlns:c16r2="http://schemas.microsoft.com/office/drawing/2015/06/chart">
            <c:ext xmlns:c16="http://schemas.microsoft.com/office/drawing/2014/chart" uri="{C3380CC4-5D6E-409C-BE32-E72D297353CC}">
              <c16:uniqueId val="{00000002-F903-4CFB-B8EB-9D8337EFE7CD}"/>
            </c:ext>
          </c:extLst>
        </c:ser>
        <c:ser>
          <c:idx val="1"/>
          <c:order val="1"/>
          <c:tx>
            <c:strRef>
              <c:f>Hoja1!$C$1</c:f>
              <c:strCache>
                <c:ptCount val="1"/>
                <c:pt idx="0">
                  <c:v>Hombres</c:v>
                </c:pt>
              </c:strCache>
            </c:strRef>
          </c:tx>
          <c:spPr>
            <a:solidFill>
              <a:srgbClr val="253746"/>
            </a:solidFill>
            <a:ln w="19050">
              <a:solidFill>
                <a:srgbClr val="25374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Con baja</c:v>
                </c:pt>
                <c:pt idx="1">
                  <c:v>Sin baja</c:v>
                </c:pt>
              </c:strCache>
            </c:strRef>
          </c:cat>
          <c:val>
            <c:numRef>
              <c:f>Hoja1!$C$2:$C$3</c:f>
              <c:numCache>
                <c:formatCode>0%</c:formatCode>
                <c:ptCount val="2"/>
                <c:pt idx="0">
                  <c:v>0.4</c:v>
                </c:pt>
                <c:pt idx="1">
                  <c:v>0.47</c:v>
                </c:pt>
              </c:numCache>
            </c:numRef>
          </c:val>
          <c:extLst xmlns:c16r2="http://schemas.microsoft.com/office/drawing/2015/06/chart">
            <c:ext xmlns:c16="http://schemas.microsoft.com/office/drawing/2014/chart" uri="{C3380CC4-5D6E-409C-BE32-E72D297353CC}">
              <c16:uniqueId val="{00000003-F903-4CFB-B8EB-9D8337EFE7CD}"/>
            </c:ext>
          </c:extLst>
        </c:ser>
        <c:dLbls>
          <c:dLblPos val="ctr"/>
          <c:showLegendKey val="0"/>
          <c:showVal val="1"/>
          <c:showCatName val="0"/>
          <c:showSerName val="0"/>
          <c:showPercent val="0"/>
          <c:showBubbleSize val="0"/>
        </c:dLbls>
        <c:gapWidth val="100"/>
        <c:overlap val="100"/>
        <c:axId val="97014144"/>
        <c:axId val="97015680"/>
      </c:barChart>
      <c:catAx>
        <c:axId val="97014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97015680"/>
        <c:crosses val="autoZero"/>
        <c:auto val="1"/>
        <c:lblAlgn val="ctr"/>
        <c:lblOffset val="100"/>
        <c:noMultiLvlLbl val="0"/>
      </c:catAx>
      <c:valAx>
        <c:axId val="97015680"/>
        <c:scaling>
          <c:orientation val="minMax"/>
        </c:scaling>
        <c:delete val="1"/>
        <c:axPos val="l"/>
        <c:majorGridlines>
          <c:spPr>
            <a:ln w="9525" cap="flat" cmpd="sng" algn="ctr">
              <a:noFill/>
              <a:round/>
            </a:ln>
            <a:effectLst/>
          </c:spPr>
        </c:majorGridlines>
        <c:numFmt formatCode="0%" sourceLinked="1"/>
        <c:majorTickMark val="out"/>
        <c:minorTickMark val="none"/>
        <c:tickLblPos val="nextTo"/>
        <c:crossAx val="970141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253746"/>
                </a:solidFill>
                <a:latin typeface="+mn-lt"/>
                <a:ea typeface="+mn-ea"/>
                <a:cs typeface="+mn-cs"/>
              </a:defRPr>
            </a:pPr>
            <a:r>
              <a:rPr lang="es-ES" sz="1200" b="1" i="1">
                <a:solidFill>
                  <a:srgbClr val="253746"/>
                </a:solidFill>
                <a:latin typeface="Arial" panose="020B0604020202020204" pitchFamily="34" charset="0"/>
                <a:cs typeface="Arial" panose="020B0604020202020204" pitchFamily="34" charset="0"/>
              </a:rPr>
              <a:t>Gráfica 6. Concentración por sexo y opinión sobre la existencia de discriminación</a:t>
            </a:r>
            <a:r>
              <a:rPr lang="es-ES" sz="1200" b="1" i="1" baseline="0">
                <a:solidFill>
                  <a:srgbClr val="253746"/>
                </a:solidFill>
                <a:latin typeface="Arial" panose="020B0604020202020204" pitchFamily="34" charset="0"/>
                <a:cs typeface="Arial" panose="020B0604020202020204" pitchFamily="34" charset="0"/>
              </a:rPr>
              <a:t> en la Administración General</a:t>
            </a:r>
            <a:endParaRPr lang="es-ES" sz="1200" b="1" i="1">
              <a:solidFill>
                <a:srgbClr val="253746"/>
              </a:solidFill>
              <a:latin typeface="Arial" panose="020B0604020202020204" pitchFamily="34" charset="0"/>
              <a:cs typeface="Arial" panose="020B0604020202020204" pitchFamily="34" charset="0"/>
            </a:endParaRPr>
          </a:p>
        </c:rich>
      </c:tx>
      <c:layout>
        <c:manualLayout>
          <c:xMode val="edge"/>
          <c:yMode val="edge"/>
          <c:x val="0.1358889934148636"/>
          <c:y val="2.4188671638782504E-2"/>
        </c:manualLayout>
      </c:layout>
      <c:overlay val="0"/>
      <c:spPr>
        <a:noFill/>
        <a:ln>
          <a:noFill/>
        </a:ln>
        <a:effectLst/>
      </c:spPr>
    </c:title>
    <c:autoTitleDeleted val="0"/>
    <c:plotArea>
      <c:layout/>
      <c:barChart>
        <c:barDir val="bar"/>
        <c:grouping val="percentStacked"/>
        <c:varyColors val="0"/>
        <c:ser>
          <c:idx val="0"/>
          <c:order val="0"/>
          <c:tx>
            <c:strRef>
              <c:f>Hoja1!$B$1</c:f>
              <c:strCache>
                <c:ptCount val="1"/>
                <c:pt idx="0">
                  <c:v>Sí</c:v>
                </c:pt>
              </c:strCache>
            </c:strRef>
          </c:tx>
          <c:spPr>
            <a:solidFill>
              <a:srgbClr val="B1E670"/>
            </a:solidFill>
            <a:ln>
              <a:solidFill>
                <a:srgbClr val="B1E67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Hoja1!$B$2:$B$3</c:f>
              <c:numCache>
                <c:formatCode>0%</c:formatCode>
                <c:ptCount val="2"/>
                <c:pt idx="0">
                  <c:v>0.28999999999999998</c:v>
                </c:pt>
                <c:pt idx="1">
                  <c:v>0.12</c:v>
                </c:pt>
              </c:numCache>
            </c:numRef>
          </c:val>
          <c:extLst xmlns:c16r2="http://schemas.microsoft.com/office/drawing/2015/06/chart">
            <c:ext xmlns:c16="http://schemas.microsoft.com/office/drawing/2014/chart" uri="{C3380CC4-5D6E-409C-BE32-E72D297353CC}">
              <c16:uniqueId val="{00000000-310C-4381-B4F4-B3406173A1C6}"/>
            </c:ext>
          </c:extLst>
        </c:ser>
        <c:ser>
          <c:idx val="1"/>
          <c:order val="1"/>
          <c:tx>
            <c:strRef>
              <c:f>Hoja1!$C$1</c:f>
              <c:strCache>
                <c:ptCount val="1"/>
                <c:pt idx="0">
                  <c:v>No</c:v>
                </c:pt>
              </c:strCache>
            </c:strRef>
          </c:tx>
          <c:spPr>
            <a:solidFill>
              <a:srgbClr val="779AB7"/>
            </a:solidFill>
            <a:ln>
              <a:solidFill>
                <a:srgbClr val="779AB7"/>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Hoja1!$C$2:$C$3</c:f>
              <c:numCache>
                <c:formatCode>0%</c:formatCode>
                <c:ptCount val="2"/>
                <c:pt idx="0">
                  <c:v>0.61</c:v>
                </c:pt>
                <c:pt idx="1">
                  <c:v>0.82</c:v>
                </c:pt>
              </c:numCache>
            </c:numRef>
          </c:val>
          <c:extLst xmlns:c16r2="http://schemas.microsoft.com/office/drawing/2015/06/chart">
            <c:ext xmlns:c16="http://schemas.microsoft.com/office/drawing/2014/chart" uri="{C3380CC4-5D6E-409C-BE32-E72D297353CC}">
              <c16:uniqueId val="{00000001-310C-4381-B4F4-B3406173A1C6}"/>
            </c:ext>
          </c:extLst>
        </c:ser>
        <c:ser>
          <c:idx val="2"/>
          <c:order val="2"/>
          <c:tx>
            <c:strRef>
              <c:f>Hoja1!$D$1</c:f>
              <c:strCache>
                <c:ptCount val="1"/>
                <c:pt idx="0">
                  <c:v>N/C</c:v>
                </c:pt>
              </c:strCache>
            </c:strRef>
          </c:tx>
          <c:spPr>
            <a:solidFill>
              <a:srgbClr val="EAF8D8"/>
            </a:solidFill>
            <a:ln>
              <a:solidFill>
                <a:srgbClr val="EAF8D8"/>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Hoja1!$D$2:$D$3</c:f>
              <c:numCache>
                <c:formatCode>0%</c:formatCode>
                <c:ptCount val="2"/>
                <c:pt idx="0">
                  <c:v>0.1</c:v>
                </c:pt>
                <c:pt idx="1">
                  <c:v>0.06</c:v>
                </c:pt>
              </c:numCache>
            </c:numRef>
          </c:val>
          <c:extLst xmlns:c16r2="http://schemas.microsoft.com/office/drawing/2015/06/chart">
            <c:ext xmlns:c16="http://schemas.microsoft.com/office/drawing/2014/chart" uri="{C3380CC4-5D6E-409C-BE32-E72D297353CC}">
              <c16:uniqueId val="{00000002-310C-4381-B4F4-B3406173A1C6}"/>
            </c:ext>
          </c:extLst>
        </c:ser>
        <c:dLbls>
          <c:dLblPos val="ctr"/>
          <c:showLegendKey val="0"/>
          <c:showVal val="1"/>
          <c:showCatName val="0"/>
          <c:showSerName val="0"/>
          <c:showPercent val="0"/>
          <c:showBubbleSize val="0"/>
        </c:dLbls>
        <c:gapWidth val="150"/>
        <c:overlap val="100"/>
        <c:axId val="42706432"/>
        <c:axId val="42707968"/>
      </c:barChart>
      <c:catAx>
        <c:axId val="42706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2707968"/>
        <c:crosses val="autoZero"/>
        <c:auto val="1"/>
        <c:lblAlgn val="ctr"/>
        <c:lblOffset val="100"/>
        <c:noMultiLvlLbl val="0"/>
      </c:catAx>
      <c:valAx>
        <c:axId val="42707968"/>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427064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s-ES" sz="1200" b="1" i="1">
                <a:solidFill>
                  <a:srgbClr val="253746"/>
                </a:solidFill>
                <a:latin typeface="Arial" panose="020B0604020202020204" pitchFamily="34" charset="0"/>
                <a:cs typeface="Arial" panose="020B0604020202020204" pitchFamily="34" charset="0"/>
              </a:rPr>
              <a:t>Gráfica 7. Concentración por sexo y relación laboral </a:t>
            </a:r>
          </a:p>
          <a:p>
            <a:pPr>
              <a:defRPr sz="1200" b="1" i="0" u="none" strike="noStrike" kern="1200" spc="0" baseline="0">
                <a:solidFill>
                  <a:schemeClr val="tx1">
                    <a:lumMod val="65000"/>
                    <a:lumOff val="35000"/>
                  </a:schemeClr>
                </a:solidFill>
                <a:latin typeface="+mn-lt"/>
                <a:ea typeface="+mn-ea"/>
                <a:cs typeface="+mn-cs"/>
              </a:defRPr>
            </a:pPr>
            <a:r>
              <a:rPr lang="es-ES" sz="1200" b="0" i="1">
                <a:solidFill>
                  <a:srgbClr val="253746"/>
                </a:solidFill>
                <a:latin typeface="Arial" panose="020B0604020202020204" pitchFamily="34" charset="0"/>
                <a:cs typeface="Arial" panose="020B0604020202020204" pitchFamily="34" charset="0"/>
              </a:rPr>
              <a:t>(Servicios Generales)</a:t>
            </a:r>
          </a:p>
        </c:rich>
      </c:tx>
      <c:layout>
        <c:manualLayout>
          <c:xMode val="edge"/>
          <c:yMode val="edge"/>
          <c:x val="0.1358889934148636"/>
          <c:y val="2.4188671638782504E-2"/>
        </c:manualLayout>
      </c:layout>
      <c:overlay val="0"/>
      <c:spPr>
        <a:noFill/>
        <a:ln>
          <a:noFill/>
        </a:ln>
        <a:effectLst/>
      </c:spPr>
    </c:title>
    <c:autoTitleDeleted val="0"/>
    <c:plotArea>
      <c:layout/>
      <c:barChart>
        <c:barDir val="bar"/>
        <c:grouping val="percentStacked"/>
        <c:varyColors val="0"/>
        <c:ser>
          <c:idx val="0"/>
          <c:order val="0"/>
          <c:tx>
            <c:strRef>
              <c:f>Hoja1!$B$1</c:f>
              <c:strCache>
                <c:ptCount val="1"/>
                <c:pt idx="0">
                  <c:v>Pers. Func. Carrera</c:v>
                </c:pt>
              </c:strCache>
            </c:strRef>
          </c:tx>
          <c:spPr>
            <a:solidFill>
              <a:srgbClr val="B1E670"/>
            </a:solidFill>
            <a:ln>
              <a:solidFill>
                <a:srgbClr val="B1E67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Hoja1!$B$2:$B$3</c:f>
              <c:numCache>
                <c:formatCode>0%</c:formatCode>
                <c:ptCount val="2"/>
                <c:pt idx="0">
                  <c:v>0.51</c:v>
                </c:pt>
                <c:pt idx="1">
                  <c:v>0.44</c:v>
                </c:pt>
              </c:numCache>
            </c:numRef>
          </c:val>
          <c:extLst xmlns:c16r2="http://schemas.microsoft.com/office/drawing/2015/06/chart">
            <c:ext xmlns:c16="http://schemas.microsoft.com/office/drawing/2014/chart" uri="{C3380CC4-5D6E-409C-BE32-E72D297353CC}">
              <c16:uniqueId val="{00000000-445C-4D13-8C27-BA4BF7EA91EC}"/>
            </c:ext>
          </c:extLst>
        </c:ser>
        <c:ser>
          <c:idx val="1"/>
          <c:order val="1"/>
          <c:tx>
            <c:strRef>
              <c:f>Hoja1!$C$1</c:f>
              <c:strCache>
                <c:ptCount val="1"/>
                <c:pt idx="0">
                  <c:v>Pers. Func. Interino</c:v>
                </c:pt>
              </c:strCache>
            </c:strRef>
          </c:tx>
          <c:spPr>
            <a:solidFill>
              <a:srgbClr val="779AB7"/>
            </a:solidFill>
            <a:ln>
              <a:solidFill>
                <a:srgbClr val="779AB7"/>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Hoja1!$C$2:$C$3</c:f>
              <c:numCache>
                <c:formatCode>0%</c:formatCode>
                <c:ptCount val="2"/>
                <c:pt idx="0">
                  <c:v>0.35</c:v>
                </c:pt>
                <c:pt idx="1">
                  <c:v>0.19</c:v>
                </c:pt>
              </c:numCache>
            </c:numRef>
          </c:val>
          <c:extLst xmlns:c16r2="http://schemas.microsoft.com/office/drawing/2015/06/chart">
            <c:ext xmlns:c16="http://schemas.microsoft.com/office/drawing/2014/chart" uri="{C3380CC4-5D6E-409C-BE32-E72D297353CC}">
              <c16:uniqueId val="{00000001-445C-4D13-8C27-BA4BF7EA91EC}"/>
            </c:ext>
          </c:extLst>
        </c:ser>
        <c:ser>
          <c:idx val="2"/>
          <c:order val="2"/>
          <c:tx>
            <c:strRef>
              <c:f>Hoja1!$D$1</c:f>
              <c:strCache>
                <c:ptCount val="1"/>
                <c:pt idx="0">
                  <c:v>Pers. Laboral fijo</c:v>
                </c:pt>
              </c:strCache>
            </c:strRef>
          </c:tx>
          <c:spPr>
            <a:solidFill>
              <a:srgbClr val="EAF8D8"/>
            </a:solidFill>
            <a:ln>
              <a:solidFill>
                <a:srgbClr val="EAF8D8"/>
              </a:solidFill>
            </a:ln>
            <a:effectLst/>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445C-4D13-8C27-BA4BF7EA91EC}"/>
                </c:ext>
              </c:extLst>
            </c:dLbl>
            <c:dLbl>
              <c:idx val="1"/>
              <c:layout>
                <c:manualLayout>
                  <c:x val="0"/>
                  <c:y val="0"/>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45C-4D13-8C27-BA4BF7EA91EC}"/>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Hoja1!$D$2:$D$3</c:f>
              <c:numCache>
                <c:formatCode>0%</c:formatCode>
                <c:ptCount val="2"/>
                <c:pt idx="0">
                  <c:v>0.04</c:v>
                </c:pt>
                <c:pt idx="1">
                  <c:v>0.18</c:v>
                </c:pt>
              </c:numCache>
            </c:numRef>
          </c:val>
          <c:extLst xmlns:c16r2="http://schemas.microsoft.com/office/drawing/2015/06/chart">
            <c:ext xmlns:c16="http://schemas.microsoft.com/office/drawing/2014/chart" uri="{C3380CC4-5D6E-409C-BE32-E72D297353CC}">
              <c16:uniqueId val="{00000002-445C-4D13-8C27-BA4BF7EA91EC}"/>
            </c:ext>
          </c:extLst>
        </c:ser>
        <c:ser>
          <c:idx val="3"/>
          <c:order val="3"/>
          <c:tx>
            <c:strRef>
              <c:f>Hoja1!$E$1</c:f>
              <c:strCache>
                <c:ptCount val="1"/>
                <c:pt idx="0">
                  <c:v>Pers. Laboral Fijo Discont.</c:v>
                </c:pt>
              </c:strCache>
            </c:strRef>
          </c:tx>
          <c:spPr>
            <a:solidFill>
              <a:srgbClr val="3A566E"/>
            </a:solidFill>
            <a:ln>
              <a:solidFill>
                <a:srgbClr val="3A566E"/>
              </a:solidFill>
            </a:ln>
            <a:effectLst/>
          </c:spPr>
          <c:invertIfNegative val="0"/>
          <c:dLbls>
            <c:delete val="1"/>
          </c:dLbls>
          <c:cat>
            <c:strRef>
              <c:f>Hoja1!$A$2:$A$3</c:f>
              <c:strCache>
                <c:ptCount val="2"/>
                <c:pt idx="0">
                  <c:v>Mujeres</c:v>
                </c:pt>
                <c:pt idx="1">
                  <c:v>Hombres</c:v>
                </c:pt>
              </c:strCache>
            </c:strRef>
          </c:cat>
          <c:val>
            <c:numRef>
              <c:f>Hoja1!$E$2:$E$3</c:f>
              <c:numCache>
                <c:formatCode>0%</c:formatCode>
                <c:ptCount val="2"/>
                <c:pt idx="0">
                  <c:v>0.01</c:v>
                </c:pt>
                <c:pt idx="1">
                  <c:v>0</c:v>
                </c:pt>
              </c:numCache>
            </c:numRef>
          </c:val>
          <c:extLst xmlns:c16r2="http://schemas.microsoft.com/office/drawing/2015/06/chart">
            <c:ext xmlns:c16="http://schemas.microsoft.com/office/drawing/2014/chart" uri="{C3380CC4-5D6E-409C-BE32-E72D297353CC}">
              <c16:uniqueId val="{00000004-445C-4D13-8C27-BA4BF7EA91EC}"/>
            </c:ext>
          </c:extLst>
        </c:ser>
        <c:ser>
          <c:idx val="4"/>
          <c:order val="4"/>
          <c:tx>
            <c:strRef>
              <c:f>Hoja1!$F$1</c:f>
              <c:strCache>
                <c:ptCount val="1"/>
                <c:pt idx="0">
                  <c:v>Pers. Laboral Temp. &gt;/= 6 meses</c:v>
                </c:pt>
              </c:strCache>
            </c:strRef>
          </c:tx>
          <c:spPr>
            <a:solidFill>
              <a:srgbClr val="C6D4E0"/>
            </a:solidFill>
            <a:ln>
              <a:solidFill>
                <a:srgbClr val="C6D4E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Hoja1!$F$2:$F$3</c:f>
              <c:numCache>
                <c:formatCode>0%</c:formatCode>
                <c:ptCount val="2"/>
                <c:pt idx="0">
                  <c:v>0.06</c:v>
                </c:pt>
                <c:pt idx="1">
                  <c:v>0.15</c:v>
                </c:pt>
              </c:numCache>
            </c:numRef>
          </c:val>
          <c:extLst xmlns:c16r2="http://schemas.microsoft.com/office/drawing/2015/06/chart">
            <c:ext xmlns:c16="http://schemas.microsoft.com/office/drawing/2014/chart" uri="{C3380CC4-5D6E-409C-BE32-E72D297353CC}">
              <c16:uniqueId val="{00000005-445C-4D13-8C27-BA4BF7EA91EC}"/>
            </c:ext>
          </c:extLst>
        </c:ser>
        <c:ser>
          <c:idx val="5"/>
          <c:order val="5"/>
          <c:tx>
            <c:strRef>
              <c:f>Hoja1!$G$1</c:f>
              <c:strCache>
                <c:ptCount val="1"/>
                <c:pt idx="0">
                  <c:v>Pers. Laboral Temp. &lt; 6 meses</c:v>
                </c:pt>
              </c:strCache>
            </c:strRef>
          </c:tx>
          <c:spPr>
            <a:solidFill>
              <a:srgbClr val="568A18"/>
            </a:solidFill>
            <a:ln>
              <a:solidFill>
                <a:srgbClr val="568A18"/>
              </a:solidFill>
            </a:ln>
            <a:effectLst/>
          </c:spPr>
          <c:invertIfNegative val="0"/>
          <c:dLbls>
            <c:delete val="1"/>
          </c:dLbls>
          <c:cat>
            <c:strRef>
              <c:f>Hoja1!$A$2:$A$3</c:f>
              <c:strCache>
                <c:ptCount val="2"/>
                <c:pt idx="0">
                  <c:v>Mujeres</c:v>
                </c:pt>
                <c:pt idx="1">
                  <c:v>Hombres</c:v>
                </c:pt>
              </c:strCache>
            </c:strRef>
          </c:cat>
          <c:val>
            <c:numRef>
              <c:f>Hoja1!$G$2:$G$3</c:f>
              <c:numCache>
                <c:formatCode>0%</c:formatCode>
                <c:ptCount val="2"/>
                <c:pt idx="0">
                  <c:v>0.02</c:v>
                </c:pt>
                <c:pt idx="1">
                  <c:v>0.03</c:v>
                </c:pt>
              </c:numCache>
            </c:numRef>
          </c:val>
          <c:extLst xmlns:c16r2="http://schemas.microsoft.com/office/drawing/2015/06/chart">
            <c:ext xmlns:c16="http://schemas.microsoft.com/office/drawing/2014/chart" uri="{C3380CC4-5D6E-409C-BE32-E72D297353CC}">
              <c16:uniqueId val="{00000006-445C-4D13-8C27-BA4BF7EA91EC}"/>
            </c:ext>
          </c:extLst>
        </c:ser>
        <c:ser>
          <c:idx val="6"/>
          <c:order val="6"/>
          <c:tx>
            <c:strRef>
              <c:f>Hoja1!$H$1</c:f>
              <c:strCache>
                <c:ptCount val="1"/>
                <c:pt idx="0">
                  <c:v>Pers. Eventual</c:v>
                </c:pt>
              </c:strCache>
            </c:strRef>
          </c:tx>
          <c:spPr>
            <a:solidFill>
              <a:srgbClr val="1A2732"/>
            </a:solidFill>
            <a:ln>
              <a:solidFill>
                <a:srgbClr val="1A2732"/>
              </a:solidFill>
            </a:ln>
            <a:effectLst/>
          </c:spPr>
          <c:invertIfNegative val="0"/>
          <c:dLbls>
            <c:delete val="1"/>
          </c:dLbls>
          <c:cat>
            <c:strRef>
              <c:f>Hoja1!$A$2:$A$3</c:f>
              <c:strCache>
                <c:ptCount val="2"/>
                <c:pt idx="0">
                  <c:v>Mujeres</c:v>
                </c:pt>
                <c:pt idx="1">
                  <c:v>Hombres</c:v>
                </c:pt>
              </c:strCache>
            </c:strRef>
          </c:cat>
          <c:val>
            <c:numRef>
              <c:f>Hoja1!$H$2:$H$3</c:f>
              <c:numCache>
                <c:formatCode>0%</c:formatCode>
                <c:ptCount val="2"/>
                <c:pt idx="0">
                  <c:v>0.01</c:v>
                </c:pt>
                <c:pt idx="1">
                  <c:v>0.02</c:v>
                </c:pt>
              </c:numCache>
            </c:numRef>
          </c:val>
          <c:extLst xmlns:c16r2="http://schemas.microsoft.com/office/drawing/2015/06/chart">
            <c:ext xmlns:c16="http://schemas.microsoft.com/office/drawing/2014/chart" uri="{C3380CC4-5D6E-409C-BE32-E72D297353CC}">
              <c16:uniqueId val="{00000007-445C-4D13-8C27-BA4BF7EA91EC}"/>
            </c:ext>
          </c:extLst>
        </c:ser>
        <c:dLbls>
          <c:dLblPos val="ctr"/>
          <c:showLegendKey val="0"/>
          <c:showVal val="1"/>
          <c:showCatName val="0"/>
          <c:showSerName val="0"/>
          <c:showPercent val="0"/>
          <c:showBubbleSize val="0"/>
        </c:dLbls>
        <c:gapWidth val="150"/>
        <c:overlap val="100"/>
        <c:axId val="43881216"/>
        <c:axId val="43882752"/>
      </c:barChart>
      <c:catAx>
        <c:axId val="43881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3882752"/>
        <c:crosses val="autoZero"/>
        <c:auto val="1"/>
        <c:lblAlgn val="ctr"/>
        <c:lblOffset val="100"/>
        <c:noMultiLvlLbl val="0"/>
      </c:catAx>
      <c:valAx>
        <c:axId val="43882752"/>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438812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s-ES" sz="1200" b="1" i="1">
                <a:solidFill>
                  <a:srgbClr val="253746"/>
                </a:solidFill>
                <a:latin typeface="Arial" panose="020B0604020202020204" pitchFamily="34" charset="0"/>
                <a:cs typeface="Arial" panose="020B0604020202020204" pitchFamily="34" charset="0"/>
              </a:rPr>
              <a:t>Gráfica 8.</a:t>
            </a:r>
            <a:r>
              <a:rPr lang="es-ES" sz="1200" b="1" i="1" baseline="0">
                <a:solidFill>
                  <a:srgbClr val="253746"/>
                </a:solidFill>
                <a:latin typeface="Arial" panose="020B0604020202020204" pitchFamily="34" charset="0"/>
                <a:cs typeface="Arial" panose="020B0604020202020204" pitchFamily="34" charset="0"/>
              </a:rPr>
              <a:t> Concentración </a:t>
            </a:r>
            <a:r>
              <a:rPr lang="es-ES" sz="1200" b="1" i="1">
                <a:solidFill>
                  <a:srgbClr val="253746"/>
                </a:solidFill>
                <a:latin typeface="Arial" panose="020B0604020202020204" pitchFamily="34" charset="0"/>
                <a:cs typeface="Arial" panose="020B0604020202020204" pitchFamily="34" charset="0"/>
              </a:rPr>
              <a:t>por sexo y relación laboral </a:t>
            </a:r>
            <a:r>
              <a:rPr lang="es-ES" sz="1200" b="0" i="1">
                <a:solidFill>
                  <a:srgbClr val="253746"/>
                </a:solidFill>
                <a:latin typeface="Arial" panose="020B0604020202020204" pitchFamily="34" charset="0"/>
                <a:cs typeface="Arial" panose="020B0604020202020204" pitchFamily="34" charset="0"/>
              </a:rPr>
              <a:t>(</a:t>
            </a:r>
            <a:r>
              <a:rPr lang="es-ES" sz="1200" b="0" i="1" u="none" strike="noStrike" kern="1200" spc="0" baseline="0">
                <a:solidFill>
                  <a:srgbClr val="253746"/>
                </a:solidFill>
                <a:latin typeface="Arial" panose="020B0604020202020204" pitchFamily="34" charset="0"/>
                <a:ea typeface="+mn-ea"/>
                <a:cs typeface="Arial" panose="020B0604020202020204" pitchFamily="34" charset="0"/>
              </a:rPr>
              <a:t>Personal Docente</a:t>
            </a:r>
            <a:r>
              <a:rPr lang="es-ES" sz="1200" b="0" i="1" baseline="0">
                <a:solidFill>
                  <a:srgbClr val="253746"/>
                </a:solidFill>
                <a:latin typeface="Arial" panose="020B0604020202020204" pitchFamily="34" charset="0"/>
                <a:cs typeface="Arial" panose="020B0604020202020204" pitchFamily="34" charset="0"/>
              </a:rPr>
              <a:t>)</a:t>
            </a:r>
            <a:endParaRPr lang="es-ES" sz="1200" b="0" i="1">
              <a:solidFill>
                <a:srgbClr val="253746"/>
              </a:solidFill>
              <a:latin typeface="Arial" panose="020B0604020202020204" pitchFamily="34" charset="0"/>
              <a:cs typeface="Arial" panose="020B0604020202020204" pitchFamily="34" charset="0"/>
            </a:endParaRPr>
          </a:p>
        </c:rich>
      </c:tx>
      <c:layout>
        <c:manualLayout>
          <c:xMode val="edge"/>
          <c:yMode val="edge"/>
          <c:x val="0.16431674580188294"/>
          <c:y val="2.4188671638782504E-2"/>
        </c:manualLayout>
      </c:layout>
      <c:overlay val="0"/>
      <c:spPr>
        <a:noFill/>
        <a:ln>
          <a:noFill/>
        </a:ln>
        <a:effectLst/>
      </c:spPr>
    </c:title>
    <c:autoTitleDeleted val="0"/>
    <c:plotArea>
      <c:layout/>
      <c:barChart>
        <c:barDir val="bar"/>
        <c:grouping val="percentStacked"/>
        <c:varyColors val="0"/>
        <c:ser>
          <c:idx val="0"/>
          <c:order val="0"/>
          <c:tx>
            <c:strRef>
              <c:f>Hoja1!$B$1</c:f>
              <c:strCache>
                <c:ptCount val="1"/>
                <c:pt idx="0">
                  <c:v>Pers. Func. Carrera</c:v>
                </c:pt>
              </c:strCache>
            </c:strRef>
          </c:tx>
          <c:spPr>
            <a:solidFill>
              <a:srgbClr val="B1E670"/>
            </a:solidFill>
            <a:ln>
              <a:solidFill>
                <a:srgbClr val="B1E67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Hoja1!$B$2:$B$3</c:f>
              <c:numCache>
                <c:formatCode>0%</c:formatCode>
                <c:ptCount val="2"/>
                <c:pt idx="0">
                  <c:v>0.54</c:v>
                </c:pt>
                <c:pt idx="1">
                  <c:v>0.5</c:v>
                </c:pt>
              </c:numCache>
            </c:numRef>
          </c:val>
          <c:extLst xmlns:c16r2="http://schemas.microsoft.com/office/drawing/2015/06/chart">
            <c:ext xmlns:c16="http://schemas.microsoft.com/office/drawing/2014/chart" uri="{C3380CC4-5D6E-409C-BE32-E72D297353CC}">
              <c16:uniqueId val="{00000000-6F10-4AA0-B0D2-FDACEFE522A5}"/>
            </c:ext>
          </c:extLst>
        </c:ser>
        <c:ser>
          <c:idx val="1"/>
          <c:order val="1"/>
          <c:tx>
            <c:strRef>
              <c:f>Hoja1!$C$1</c:f>
              <c:strCache>
                <c:ptCount val="1"/>
                <c:pt idx="0">
                  <c:v>Pers. Func. Interino</c:v>
                </c:pt>
              </c:strCache>
            </c:strRef>
          </c:tx>
          <c:spPr>
            <a:solidFill>
              <a:srgbClr val="779AB7"/>
            </a:solidFill>
            <a:ln>
              <a:solidFill>
                <a:srgbClr val="779AB7"/>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Hoja1!$C$2:$C$3</c:f>
              <c:numCache>
                <c:formatCode>0%</c:formatCode>
                <c:ptCount val="2"/>
                <c:pt idx="0">
                  <c:v>0.43</c:v>
                </c:pt>
                <c:pt idx="1">
                  <c:v>0.47</c:v>
                </c:pt>
              </c:numCache>
            </c:numRef>
          </c:val>
          <c:extLst xmlns:c16r2="http://schemas.microsoft.com/office/drawing/2015/06/chart">
            <c:ext xmlns:c16="http://schemas.microsoft.com/office/drawing/2014/chart" uri="{C3380CC4-5D6E-409C-BE32-E72D297353CC}">
              <c16:uniqueId val="{00000001-6F10-4AA0-B0D2-FDACEFE522A5}"/>
            </c:ext>
          </c:extLst>
        </c:ser>
        <c:ser>
          <c:idx val="2"/>
          <c:order val="2"/>
          <c:tx>
            <c:strRef>
              <c:f>Hoja1!$D$1</c:f>
              <c:strCache>
                <c:ptCount val="1"/>
                <c:pt idx="0">
                  <c:v>Pers. Laboral fijo</c:v>
                </c:pt>
              </c:strCache>
            </c:strRef>
          </c:tx>
          <c:spPr>
            <a:solidFill>
              <a:srgbClr val="EAF8D8"/>
            </a:solidFill>
            <a:ln>
              <a:solidFill>
                <a:srgbClr val="EAF8D8"/>
              </a:solidFill>
            </a:ln>
            <a:effectLst/>
          </c:spPr>
          <c:invertIfNegative val="0"/>
          <c:dLbls>
            <c:dLbl>
              <c:idx val="0"/>
              <c:layout>
                <c:manualLayout>
                  <c:x val="9.4073377234242701E-3"/>
                  <c:y val="-1.6125781092521815E-2"/>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D56-4B86-ABCE-9138885930BD}"/>
                </c:ext>
              </c:extLst>
            </c:dLbl>
            <c:dLbl>
              <c:idx val="1"/>
              <c:layout>
                <c:manualLayout>
                  <c:x val="7.0555032925682035E-3"/>
                  <c:y val="0"/>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D56-4B86-ABCE-9138885930B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Mujeres</c:v>
                </c:pt>
                <c:pt idx="1">
                  <c:v>Hombres</c:v>
                </c:pt>
              </c:strCache>
            </c:strRef>
          </c:cat>
          <c:val>
            <c:numRef>
              <c:f>Hoja1!$D$2:$D$3</c:f>
              <c:numCache>
                <c:formatCode>0%</c:formatCode>
                <c:ptCount val="2"/>
                <c:pt idx="0">
                  <c:v>0.02</c:v>
                </c:pt>
                <c:pt idx="1">
                  <c:v>0.03</c:v>
                </c:pt>
              </c:numCache>
            </c:numRef>
          </c:val>
          <c:extLst xmlns:c16r2="http://schemas.microsoft.com/office/drawing/2015/06/chart">
            <c:ext xmlns:c16="http://schemas.microsoft.com/office/drawing/2014/chart" uri="{C3380CC4-5D6E-409C-BE32-E72D297353CC}">
              <c16:uniqueId val="{00000002-6F10-4AA0-B0D2-FDACEFE522A5}"/>
            </c:ext>
          </c:extLst>
        </c:ser>
        <c:dLbls>
          <c:dLblPos val="ctr"/>
          <c:showLegendKey val="0"/>
          <c:showVal val="1"/>
          <c:showCatName val="0"/>
          <c:showSerName val="0"/>
          <c:showPercent val="0"/>
          <c:showBubbleSize val="0"/>
        </c:dLbls>
        <c:gapWidth val="150"/>
        <c:overlap val="100"/>
        <c:axId val="44007424"/>
        <c:axId val="44008960"/>
      </c:barChart>
      <c:catAx>
        <c:axId val="44007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4008960"/>
        <c:crosses val="autoZero"/>
        <c:auto val="1"/>
        <c:lblAlgn val="ctr"/>
        <c:lblOffset val="100"/>
        <c:noMultiLvlLbl val="0"/>
      </c:catAx>
      <c:valAx>
        <c:axId val="44008960"/>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44007424"/>
        <c:crosses val="autoZero"/>
        <c:crossBetween val="between"/>
      </c:valAx>
      <c:spPr>
        <a:noFill/>
        <a:ln>
          <a:noFill/>
        </a:ln>
        <a:effectLst/>
      </c:spPr>
    </c:plotArea>
    <c:legend>
      <c:legendPos val="t"/>
      <c:layout>
        <c:manualLayout>
          <c:xMode val="edge"/>
          <c:yMode val="edge"/>
          <c:x val="0.1247707424389449"/>
          <c:y val="0.16774843781495666"/>
          <c:w val="0.75751383323086496"/>
          <c:h val="0.14854098186325784"/>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1" i="1">
                <a:solidFill>
                  <a:srgbClr val="253746"/>
                </a:solidFill>
                <a:latin typeface="Arial" panose="020B0604020202020204" pitchFamily="34" charset="0"/>
                <a:cs typeface="Arial" panose="020B0604020202020204" pitchFamily="34" charset="0"/>
              </a:rPr>
              <a:t>Grafica 9. Concentración por sexo y tramos de edad </a:t>
            </a:r>
            <a:r>
              <a:rPr lang="en-US" sz="1200" b="0" i="1">
                <a:solidFill>
                  <a:srgbClr val="253746"/>
                </a:solidFill>
                <a:latin typeface="Arial" panose="020B0604020202020204" pitchFamily="34" charset="0"/>
                <a:cs typeface="Arial" panose="020B0604020202020204" pitchFamily="34" charset="0"/>
              </a:rPr>
              <a:t>(Servicios Generales)</a:t>
            </a:r>
          </a:p>
        </c:rich>
      </c:tx>
      <c:layout>
        <c:manualLayout>
          <c:xMode val="edge"/>
          <c:yMode val="edge"/>
          <c:x val="0.14114434947768284"/>
          <c:y val="2.5640889223566388E-2"/>
        </c:manualLayout>
      </c:layout>
      <c:overlay val="0"/>
      <c:spPr>
        <a:noFill/>
        <a:ln>
          <a:noFill/>
        </a:ln>
        <a:effectLst/>
      </c:spPr>
    </c:title>
    <c:autoTitleDeleted val="0"/>
    <c:plotArea>
      <c:layout>
        <c:manualLayout>
          <c:layoutTarget val="inner"/>
          <c:xMode val="edge"/>
          <c:yMode val="edge"/>
          <c:x val="9.657128863165608E-2"/>
          <c:y val="0.31089636522707392"/>
          <c:w val="0.87731285191915109"/>
          <c:h val="0.57630853994490361"/>
        </c:manualLayout>
      </c:layout>
      <c:lineChart>
        <c:grouping val="standard"/>
        <c:varyColors val="0"/>
        <c:ser>
          <c:idx val="0"/>
          <c:order val="0"/>
          <c:tx>
            <c:strRef>
              <c:f>Hoja1!$B$1</c:f>
              <c:strCache>
                <c:ptCount val="1"/>
                <c:pt idx="0">
                  <c:v>Mujeres</c:v>
                </c:pt>
              </c:strCache>
            </c:strRef>
          </c:tx>
          <c:spPr>
            <a:ln w="19050" cap="rnd">
              <a:solidFill>
                <a:srgbClr val="78BE20"/>
              </a:solidFill>
              <a:round/>
            </a:ln>
            <a:effectLst/>
          </c:spPr>
          <c:marker>
            <c:symbol val="circle"/>
            <c:size val="5"/>
            <c:spPr>
              <a:solidFill>
                <a:srgbClr val="78BE20"/>
              </a:solidFill>
              <a:ln w="9525">
                <a:solidFill>
                  <a:srgbClr val="78BE20"/>
                </a:solidFill>
              </a:ln>
              <a:effectLst/>
            </c:spPr>
          </c:marker>
          <c:dPt>
            <c:idx val="0"/>
            <c:bubble3D val="0"/>
            <c:explosion val="1"/>
            <c:extLst xmlns:c16r2="http://schemas.microsoft.com/office/drawing/2015/06/chart">
              <c:ext xmlns:c16="http://schemas.microsoft.com/office/drawing/2014/chart" uri="{C3380CC4-5D6E-409C-BE32-E72D297353CC}">
                <c16:uniqueId val="{00000001-8422-4AA5-B23A-74BB10CC630C}"/>
              </c:ext>
            </c:extLst>
          </c:dPt>
          <c:dPt>
            <c:idx val="1"/>
            <c:bubble3D val="0"/>
            <c:extLst xmlns:c16r2="http://schemas.microsoft.com/office/drawing/2015/06/chart">
              <c:ext xmlns:c16="http://schemas.microsoft.com/office/drawing/2014/chart" uri="{C3380CC4-5D6E-409C-BE32-E72D297353CC}">
                <c16:uniqueId val="{00000002-8422-4AA5-B23A-74BB10CC630C}"/>
              </c:ext>
            </c:extLst>
          </c:dPt>
          <c:dLbls>
            <c:delete val="1"/>
          </c:dLbls>
          <c:cat>
            <c:strRef>
              <c:f>Hoja1!$A$2:$A$8</c:f>
              <c:strCache>
                <c:ptCount val="7"/>
                <c:pt idx="0">
                  <c:v>18 a 25</c:v>
                </c:pt>
                <c:pt idx="1">
                  <c:v>26 a 35</c:v>
                </c:pt>
                <c:pt idx="2">
                  <c:v>36 a 45</c:v>
                </c:pt>
                <c:pt idx="3">
                  <c:v>46 a 55</c:v>
                </c:pt>
                <c:pt idx="4">
                  <c:v>56 a 60</c:v>
                </c:pt>
                <c:pt idx="5">
                  <c:v>61 a 65</c:v>
                </c:pt>
                <c:pt idx="6">
                  <c:v>&gt; 65</c:v>
                </c:pt>
              </c:strCache>
            </c:strRef>
          </c:cat>
          <c:val>
            <c:numRef>
              <c:f>Hoja1!$B$2:$B$8</c:f>
              <c:numCache>
                <c:formatCode>0%</c:formatCode>
                <c:ptCount val="7"/>
                <c:pt idx="0">
                  <c:v>0.01</c:v>
                </c:pt>
                <c:pt idx="1">
                  <c:v>0.06</c:v>
                </c:pt>
                <c:pt idx="2">
                  <c:v>0.24</c:v>
                </c:pt>
                <c:pt idx="3">
                  <c:v>0.34</c:v>
                </c:pt>
                <c:pt idx="4">
                  <c:v>0.19</c:v>
                </c:pt>
                <c:pt idx="5">
                  <c:v>0.15</c:v>
                </c:pt>
                <c:pt idx="6">
                  <c:v>0.01</c:v>
                </c:pt>
              </c:numCache>
            </c:numRef>
          </c:val>
          <c:smooth val="0"/>
          <c:extLst xmlns:c16r2="http://schemas.microsoft.com/office/drawing/2015/06/chart">
            <c:ext xmlns:c16="http://schemas.microsoft.com/office/drawing/2014/chart" uri="{C3380CC4-5D6E-409C-BE32-E72D297353CC}">
              <c16:uniqueId val="{00000003-8422-4AA5-B23A-74BB10CC630C}"/>
            </c:ext>
          </c:extLst>
        </c:ser>
        <c:ser>
          <c:idx val="1"/>
          <c:order val="1"/>
          <c:tx>
            <c:strRef>
              <c:f>Hoja1!$C$1</c:f>
              <c:strCache>
                <c:ptCount val="1"/>
                <c:pt idx="0">
                  <c:v>Hombres</c:v>
                </c:pt>
              </c:strCache>
            </c:strRef>
          </c:tx>
          <c:spPr>
            <a:ln w="19050" cap="rnd">
              <a:solidFill>
                <a:srgbClr val="253746"/>
              </a:solidFill>
              <a:round/>
            </a:ln>
            <a:effectLst/>
          </c:spPr>
          <c:marker>
            <c:symbol val="circle"/>
            <c:size val="5"/>
            <c:spPr>
              <a:solidFill>
                <a:srgbClr val="253746"/>
              </a:solidFill>
              <a:ln w="9525">
                <a:solidFill>
                  <a:srgbClr val="253746"/>
                </a:solidFill>
              </a:ln>
              <a:effectLst/>
            </c:spPr>
          </c:marker>
          <c:dLbls>
            <c:delete val="1"/>
          </c:dLbls>
          <c:cat>
            <c:strRef>
              <c:f>Hoja1!$A$2:$A$8</c:f>
              <c:strCache>
                <c:ptCount val="7"/>
                <c:pt idx="0">
                  <c:v>18 a 25</c:v>
                </c:pt>
                <c:pt idx="1">
                  <c:v>26 a 35</c:v>
                </c:pt>
                <c:pt idx="2">
                  <c:v>36 a 45</c:v>
                </c:pt>
                <c:pt idx="3">
                  <c:v>46 a 55</c:v>
                </c:pt>
                <c:pt idx="4">
                  <c:v>56 a 60</c:v>
                </c:pt>
                <c:pt idx="5">
                  <c:v>61 a 65</c:v>
                </c:pt>
                <c:pt idx="6">
                  <c:v>&gt; 65</c:v>
                </c:pt>
              </c:strCache>
            </c:strRef>
          </c:cat>
          <c:val>
            <c:numRef>
              <c:f>Hoja1!$C$2:$C$8</c:f>
              <c:numCache>
                <c:formatCode>0%</c:formatCode>
                <c:ptCount val="7"/>
                <c:pt idx="0">
                  <c:v>0.01</c:v>
                </c:pt>
                <c:pt idx="1">
                  <c:v>0.05</c:v>
                </c:pt>
                <c:pt idx="2">
                  <c:v>0.22</c:v>
                </c:pt>
                <c:pt idx="3">
                  <c:v>0.35</c:v>
                </c:pt>
                <c:pt idx="4">
                  <c:v>0.2</c:v>
                </c:pt>
                <c:pt idx="5">
                  <c:v>0.16</c:v>
                </c:pt>
                <c:pt idx="6">
                  <c:v>0.01</c:v>
                </c:pt>
              </c:numCache>
            </c:numRef>
          </c:val>
          <c:smooth val="0"/>
          <c:extLst xmlns:c16r2="http://schemas.microsoft.com/office/drawing/2015/06/chart">
            <c:ext xmlns:c16="http://schemas.microsoft.com/office/drawing/2014/chart" uri="{C3380CC4-5D6E-409C-BE32-E72D297353CC}">
              <c16:uniqueId val="{00000004-8422-4AA5-B23A-74BB10CC630C}"/>
            </c:ext>
          </c:extLst>
        </c:ser>
        <c:dLbls>
          <c:dLblPos val="ctr"/>
          <c:showLegendKey val="0"/>
          <c:showVal val="1"/>
          <c:showCatName val="0"/>
          <c:showSerName val="0"/>
          <c:showPercent val="0"/>
          <c:showBubbleSize val="0"/>
        </c:dLbls>
        <c:marker val="1"/>
        <c:smooth val="0"/>
        <c:axId val="44081536"/>
        <c:axId val="44083456"/>
      </c:lineChart>
      <c:catAx>
        <c:axId val="440815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4083456"/>
        <c:crosses val="autoZero"/>
        <c:auto val="1"/>
        <c:lblAlgn val="ctr"/>
        <c:lblOffset val="100"/>
        <c:noMultiLvlLbl val="0"/>
      </c:catAx>
      <c:valAx>
        <c:axId val="44083456"/>
        <c:scaling>
          <c:orientation val="minMax"/>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crossAx val="440815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rgbClr val="253746"/>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F507E-3954-4D41-BA8F-C83908FBC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139</Pages>
  <Words>31150</Words>
  <Characters>171327</Characters>
  <Application>Microsoft Office Word</Application>
  <DocSecurity>0</DocSecurity>
  <Lines>1427</Lines>
  <Paragraphs>404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2023-01-12T10:30:00Z</dcterms:created>
  <cp:lastPrinted>2023-01-12T10:32:00Z</cp:lastPrinted>
  <dcterms:modified xsi:type="dcterms:W3CDTF">2023-01-12T10:34:00Z</dcterms:modified>
  <cp:revision>3</cp:revision>
</cp:coreProperties>
</file>