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662DD" w:rsidRPr="006238EF" w:rsidRDefault="008662DD" w:rsidP="008662DD">
      <w:pPr>
        <w:spacing w:after="0" w:line="280" w:lineRule="exact"/>
        <w:jc w:val="both"/>
        <w:rPr>
          <w:rFonts w:ascii="Riojana" w:eastAsia="Times New Roman" w:hAnsi="Riojana" w:cs="Helvetica"/>
          <w:b/>
          <w:sz w:val="20"/>
          <w:szCs w:val="20"/>
          <w:lang w:eastAsia="es-ES"/>
        </w:rPr>
      </w:pPr>
      <w:r w:rsidRPr="006238EF">
        <w:rPr>
          <w:rFonts w:ascii="Riojana" w:hAnsi="Riojana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3D54B" wp14:editId="5E7A68F3">
                <wp:simplePos x="0" y="0"/>
                <wp:positionH relativeFrom="column">
                  <wp:posOffset>1257300</wp:posOffset>
                </wp:positionH>
                <wp:positionV relativeFrom="paragraph">
                  <wp:posOffset>9389745</wp:posOffset>
                </wp:positionV>
                <wp:extent cx="0" cy="457200"/>
                <wp:effectExtent l="13335" t="11430" r="5715" b="762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A38B6" id="Conector rec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39.35pt" to="99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" strokeweight=".5pt"/>
            </w:pict>
          </mc:Fallback>
        </mc:AlternateContent>
      </w:r>
      <w:r w:rsidRPr="006238EF">
        <w:rPr>
          <w:rFonts w:ascii="Riojana" w:hAnsi="Riojana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90FCA" wp14:editId="717F863B">
                <wp:simplePos x="0" y="0"/>
                <wp:positionH relativeFrom="column">
                  <wp:posOffset>4686300</wp:posOffset>
                </wp:positionH>
                <wp:positionV relativeFrom="paragraph">
                  <wp:posOffset>9389745</wp:posOffset>
                </wp:positionV>
                <wp:extent cx="0" cy="457200"/>
                <wp:effectExtent l="13335" t="11430" r="5715" b="7620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179CB" id="Conector recto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739.35pt" to="369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" strokeweight=".5pt"/>
            </w:pict>
          </mc:Fallback>
        </mc:AlternateContent>
      </w:r>
      <w:r w:rsidRPr="006238EF">
        <w:rPr>
          <w:rFonts w:ascii="Riojana" w:hAnsi="Riojana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D7B12" wp14:editId="6B774245">
                <wp:simplePos x="0" y="0"/>
                <wp:positionH relativeFrom="column">
                  <wp:posOffset>2971800</wp:posOffset>
                </wp:positionH>
                <wp:positionV relativeFrom="paragraph">
                  <wp:posOffset>9389745</wp:posOffset>
                </wp:positionV>
                <wp:extent cx="0" cy="457200"/>
                <wp:effectExtent l="13335" t="11430" r="5715" b="762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2E95D" id="Conector rec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39.35pt" to="234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" strokeweight=".5pt"/>
            </w:pict>
          </mc:Fallback>
        </mc:AlternateContent>
      </w:r>
      <w:r w:rsidRPr="006238EF">
        <w:rPr>
          <w:rFonts w:ascii="Riojana" w:eastAsia="Times New Roman" w:hAnsi="Riojana" w:cs="Helvetica"/>
          <w:b/>
          <w:sz w:val="20"/>
          <w:szCs w:val="20"/>
          <w:lang w:eastAsia="es-ES"/>
        </w:rPr>
        <w:t>Anexo 7. Programa Educador/a Social</w:t>
      </w:r>
    </w:p>
    <w:p w:rsidR="008662DD" w:rsidRPr="006238EF" w:rsidRDefault="008662DD" w:rsidP="008662DD">
      <w:pPr>
        <w:spacing w:after="0" w:line="280" w:lineRule="exact"/>
        <w:jc w:val="both"/>
        <w:rPr>
          <w:rFonts w:ascii="Riojana" w:eastAsia="Times New Roman" w:hAnsi="Riojana" w:cs="Helvetica"/>
          <w:b/>
          <w:sz w:val="20"/>
          <w:szCs w:val="20"/>
          <w:lang w:eastAsia="es-ES"/>
        </w:rPr>
      </w:pPr>
    </w:p>
    <w:p w:rsidR="008662DD" w:rsidRPr="006238EF" w:rsidRDefault="008662DD" w:rsidP="008662DD">
      <w:pPr>
        <w:spacing w:after="0" w:line="280" w:lineRule="exact"/>
        <w:jc w:val="both"/>
        <w:rPr>
          <w:rFonts w:ascii="Riojana" w:eastAsia="Times New Roman" w:hAnsi="Riojana" w:cs="Helvetica"/>
          <w:sz w:val="20"/>
          <w:szCs w:val="20"/>
          <w:lang w:eastAsia="es-ES"/>
        </w:rPr>
      </w:pPr>
      <w:r w:rsidRPr="006238EF">
        <w:rPr>
          <w:rFonts w:ascii="Riojana" w:eastAsia="Times New Roman" w:hAnsi="Riojana" w:cs="Helvetica"/>
          <w:sz w:val="20"/>
          <w:szCs w:val="20"/>
          <w:lang w:eastAsia="es-ES"/>
        </w:rPr>
        <w:t>1.- Constitución Española de 1978: Estructura y contenido. Derechos y deberes fundamentales, su garantía y suspensión. Competencias de las administraciones públicas en el ámbito de servicios sociales.</w:t>
      </w:r>
    </w:p>
    <w:p w:rsidR="008662DD" w:rsidRPr="006238EF" w:rsidRDefault="008662DD" w:rsidP="008662DD">
      <w:pPr>
        <w:spacing w:after="0" w:line="280" w:lineRule="exact"/>
        <w:jc w:val="both"/>
        <w:rPr>
          <w:rFonts w:ascii="Riojana" w:eastAsia="Times New Roman" w:hAnsi="Riojana" w:cs="Helvetica"/>
          <w:sz w:val="20"/>
          <w:szCs w:val="20"/>
          <w:lang w:eastAsia="es-ES"/>
        </w:rPr>
      </w:pPr>
      <w:r w:rsidRPr="006238EF">
        <w:rPr>
          <w:rFonts w:ascii="Riojana" w:eastAsia="Times New Roman" w:hAnsi="Riojana" w:cs="Helvetica"/>
          <w:sz w:val="20"/>
          <w:szCs w:val="20"/>
          <w:lang w:eastAsia="es-ES"/>
        </w:rPr>
        <w:t>2.- Estatuto de Autonomía de La Rioja: Estructura y contenido. Título I: De las competencias de la Comunidad Autónoma. Título II: Organización institucional. Título III: De la administración y régimen jurídico. Título V: De la reforma del Estatuto.</w:t>
      </w:r>
    </w:p>
    <w:p w:rsidR="008662DD" w:rsidRPr="006238EF" w:rsidRDefault="008662DD" w:rsidP="008662DD">
      <w:pPr>
        <w:spacing w:after="0" w:line="280" w:lineRule="exact"/>
        <w:jc w:val="both"/>
        <w:rPr>
          <w:rFonts w:ascii="Riojana" w:hAnsi="Riojana"/>
          <w:bCs/>
          <w:sz w:val="20"/>
          <w:szCs w:val="20"/>
        </w:rPr>
      </w:pPr>
      <w:r w:rsidRPr="006238EF">
        <w:rPr>
          <w:rFonts w:ascii="Riojana" w:eastAsia="Times New Roman" w:hAnsi="Riojana" w:cs="Helvetica"/>
          <w:sz w:val="20"/>
          <w:szCs w:val="20"/>
        </w:rPr>
        <w:t xml:space="preserve">3.- </w:t>
      </w:r>
      <w:r w:rsidRPr="006238EF">
        <w:rPr>
          <w:rFonts w:ascii="Riojana" w:eastAsia="Times New Roman" w:hAnsi="Riojana" w:cs="Helvetica"/>
          <w:sz w:val="20"/>
          <w:szCs w:val="20"/>
          <w:lang w:eastAsia="es-ES"/>
        </w:rPr>
        <w:t xml:space="preserve">Ley 3/2003, de 3 de marzo, de Organización del Sector Público de la Comunidad Autónoma de La Rioja. </w:t>
      </w:r>
    </w:p>
    <w:p w:rsidR="008662DD" w:rsidRPr="006238EF" w:rsidRDefault="008662DD" w:rsidP="008662DD">
      <w:pPr>
        <w:spacing w:after="0" w:line="280" w:lineRule="exact"/>
        <w:jc w:val="both"/>
        <w:rPr>
          <w:rFonts w:ascii="Riojana" w:hAnsi="Riojana"/>
          <w:bCs/>
          <w:sz w:val="20"/>
          <w:szCs w:val="20"/>
        </w:rPr>
      </w:pPr>
      <w:r w:rsidRPr="006238EF">
        <w:rPr>
          <w:rFonts w:ascii="Riojana" w:hAnsi="Riojana"/>
          <w:bCs/>
          <w:sz w:val="20"/>
          <w:szCs w:val="20"/>
        </w:rPr>
        <w:t>4.- Ley 4/2005, de 1 de junio, de Funcionamiento y Régimen Jurídico de la Administración de la Comunidad Autónoma de La Rioja.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bCs/>
          <w:color w:val="auto"/>
          <w:sz w:val="20"/>
          <w:szCs w:val="20"/>
        </w:rPr>
      </w:pPr>
      <w:r w:rsidRPr="006238EF">
        <w:rPr>
          <w:rFonts w:ascii="Riojana" w:hAnsi="Riojana"/>
          <w:bCs/>
          <w:color w:val="auto"/>
          <w:sz w:val="20"/>
          <w:szCs w:val="20"/>
        </w:rPr>
        <w:t>5. Medidas de apoyo a las personas con discapacidad para el ejercicio de su capacidad jurídica. Especial referencia a la curatela ejercida por las entidades públicas.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bCs/>
          <w:sz w:val="20"/>
          <w:szCs w:val="20"/>
        </w:rPr>
      </w:pPr>
      <w:r w:rsidRPr="006238EF">
        <w:rPr>
          <w:rFonts w:ascii="Riojana" w:hAnsi="Riojana"/>
          <w:bCs/>
          <w:sz w:val="20"/>
          <w:szCs w:val="20"/>
        </w:rPr>
        <w:t xml:space="preserve">6.- </w:t>
      </w:r>
      <w:r w:rsidRPr="006238EF">
        <w:rPr>
          <w:rFonts w:ascii="Riojana" w:hAnsi="Riojana"/>
          <w:sz w:val="20"/>
          <w:szCs w:val="20"/>
        </w:rPr>
        <w:t xml:space="preserve">El sistema público de Servicios Sociales: definición, principios rectores, organización y competencias. </w:t>
      </w:r>
      <w:r w:rsidRPr="006238EF">
        <w:rPr>
          <w:rFonts w:ascii="Riojana" w:hAnsi="Riojana"/>
          <w:bCs/>
          <w:sz w:val="20"/>
          <w:szCs w:val="20"/>
        </w:rPr>
        <w:t>Ley 3/2007, de 1 de marzo, de Calidad de los Servicios Sociales de La Rioja. Ley 7/2009, de 22 de diciembre, de Servicios Sociales de La Rioja.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bCs/>
          <w:sz w:val="20"/>
          <w:szCs w:val="20"/>
        </w:rPr>
      </w:pPr>
      <w:r w:rsidRPr="006238EF">
        <w:rPr>
          <w:rFonts w:ascii="Riojana" w:hAnsi="Riojana"/>
          <w:bCs/>
          <w:sz w:val="20"/>
          <w:szCs w:val="20"/>
        </w:rPr>
        <w:t>7.- Ley 39/2006, de 14 de diciembre de Promoción de la autonomía personal y atención a personas en situación de dependencia.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bCs/>
          <w:sz w:val="20"/>
          <w:szCs w:val="20"/>
        </w:rPr>
        <w:t>8.- Decreto 31/2011, de 29 de abril, por el que se aprueba la Cartera de Servicios y Prestaciones del Sistema Público Riojano de Servicios Sociales.</w:t>
      </w:r>
      <w:r w:rsidRPr="006238EF">
        <w:rPr>
          <w:rFonts w:ascii="Riojana" w:hAnsi="Riojana"/>
          <w:sz w:val="20"/>
          <w:szCs w:val="20"/>
        </w:rPr>
        <w:t xml:space="preserve"> </w:t>
      </w:r>
      <w:r w:rsidRPr="006238EF">
        <w:rPr>
          <w:rFonts w:ascii="Riojana" w:hAnsi="Riojana"/>
          <w:bCs/>
          <w:sz w:val="20"/>
          <w:szCs w:val="20"/>
        </w:rPr>
        <w:t>Orden 2/2012, de 3 de abril, por la que se regula el procedimiento de valoración y reconocimiento de la situación de dependencia en la comunidad autónoma de La Rioja.</w:t>
      </w:r>
    </w:p>
    <w:p w:rsidR="008662DD" w:rsidRPr="006238EF" w:rsidRDefault="008662DD" w:rsidP="008662DD">
      <w:pPr>
        <w:spacing w:after="0"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bCs/>
          <w:sz w:val="20"/>
          <w:szCs w:val="20"/>
        </w:rPr>
        <w:t xml:space="preserve">9.- </w:t>
      </w:r>
      <w:r w:rsidRPr="006238EF">
        <w:rPr>
          <w:rFonts w:ascii="Riojana" w:hAnsi="Riojana"/>
          <w:sz w:val="20"/>
          <w:szCs w:val="20"/>
        </w:rPr>
        <w:t xml:space="preserve"> </w:t>
      </w:r>
      <w:r w:rsidRPr="006238EF">
        <w:rPr>
          <w:rFonts w:ascii="Riojana" w:hAnsi="Riojana"/>
          <w:bCs/>
          <w:sz w:val="20"/>
          <w:szCs w:val="20"/>
        </w:rPr>
        <w:t xml:space="preserve">Ley 1/2007, de 12 de febrero, de Fundaciones de la comunidad autónoma de La Rioja. La Fundación Riojana de Apoyo a la Discapacidad: </w:t>
      </w:r>
      <w:r w:rsidRPr="006238EF">
        <w:rPr>
          <w:rFonts w:ascii="Riojana" w:hAnsi="Riojana"/>
          <w:sz w:val="20"/>
          <w:szCs w:val="20"/>
        </w:rPr>
        <w:t>Constitución. Estatutos. Órganos de gobierno y de gestión. Beneficiarios. Funciones.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10.- Expediente de provisión de medidas judiciales de apoyo a personas con discapacidad.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11.- La protección de datos en el ámbito de trabajo de las entidades del sector público. Aspectos aplicables de la legislación sobre protección de datos.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12.- Atención a personas con discapacidad. Evolución histórica, recursos y normativa aplicable.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13.- Prestaciones y pensiones públicas para personas con discapacidad: ámbito autonómico y estatal. Requisitos para percibirlas, tramitación de la solicitud, plazos y cuantía.</w:t>
      </w:r>
      <w:r w:rsidRPr="006238EF">
        <w:rPr>
          <w:rFonts w:ascii="Riojana" w:hAnsi="Riojana"/>
          <w:sz w:val="20"/>
          <w:szCs w:val="20"/>
        </w:rPr>
        <w:tab/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14.- Prestaciones y pensiones públicas para personas en riesgo de exclusión social.  Requisitos para percibirlas, tramitación de la solicitud, plazos y cuantía. La Renta de Ciudadanía de La Rioja.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 xml:space="preserve">15.-  La educación social: evolución histórica, definición y características. Los modelos de acción e intervención aplicados a la educación social. </w:t>
      </w:r>
      <w:r w:rsidRPr="006238EF">
        <w:rPr>
          <w:rFonts w:ascii="Riojana" w:hAnsi="Riojana"/>
          <w:sz w:val="20"/>
          <w:szCs w:val="20"/>
        </w:rPr>
        <w:tab/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16.- Código deontológico del/a Educador/a Social. El perfil profesional del/a Educador/a Social: competencias y funciones.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17.- Servicios sociales generales o comunitarios: concepto, funciones, prestaciones, equipos de trabajo. Funciones del/a Educador/a Social en los centros de servicios sociales y en los servicios sociales de base.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18.-  Servicios sociales especializados: concepto, clases, funciones y prestaciones. Funciones del/a Educador/a Social en los servicios sociales especializados.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 xml:space="preserve">19.- Equipos de trabajo: clases, funciones del/a Educador/a Social. Relación y coordinación con otros profesionales. Colaboración y trabajo en red en el contexto </w:t>
      </w:r>
      <w:proofErr w:type="spellStart"/>
      <w:r w:rsidRPr="006238EF">
        <w:rPr>
          <w:rFonts w:ascii="Riojana" w:hAnsi="Riojana"/>
          <w:sz w:val="20"/>
          <w:szCs w:val="20"/>
        </w:rPr>
        <w:t>multiprofesional</w:t>
      </w:r>
      <w:proofErr w:type="spellEnd"/>
      <w:r w:rsidRPr="006238EF">
        <w:rPr>
          <w:rFonts w:ascii="Riojana" w:hAnsi="Riojana"/>
          <w:sz w:val="20"/>
          <w:szCs w:val="20"/>
        </w:rPr>
        <w:t>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20.-  La intervención socioeducativa. Ámbitos de intervención. El/la Educador/a Social como profesional de referencia.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21.- Planificación, diseño y evaluación de los programas de intervención socioeducativa. Niveles de planificación: plan, programa, proyecto. Fases del proceso de planificación y evaluación de programas. Instrumentos útiles de evaluación en servicios sociales.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22.- El informe socioeducativo: tipos de informes, características, estructura y objetivos.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lastRenderedPageBreak/>
        <w:t>23.- El proyecto socioeducativo: principios para su elaboración, puesta en marcha y seguimiento. Diseño e implementación. La evaluación: concepto, características e indicadores de evaluación.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24.- La entrevista en la relación educativa: pautas, criterios y condiciones para favorecer el aprendizaje y el crecimiento personal.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25.- El acompañamiento como método de intervención en los procesos de crecimiento personal y autonomía.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26.- El entrenamiento en habilidades comunicativas y sociales. Entrenamiento asertivo, habilidades de autonomía personal. Adquisición de competencias básicas, habilidades de autocuidado. Habilidades de organización de la vida diaria.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27.- La salud mental en personas mayores de edad con discapacidad. Coordinación y colaboración con el sistema público de salud. Funciones del/a Educador/a Social en la intervención con personas con enfermedad mental.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28.- Las personas mayores de edad con discapacidad y el consumo de sustancias tóxicas, perspectivas socioeducativas y de educación para la salud. Prevención y tratamiento.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 xml:space="preserve">29.- Las personas mayores (ancianas): concepto y características. Situaciones y problemáticas asociadas a la edad. La atención social educativa a personas mayores en situación de dependencia: estrategias y metodología de intervención. 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>30.- Las personas mayores (ancianas) en centros residenciales. Procedimiento de ingreso, régimen de los centros residenciales. Programación y planificación. El educador social en los centros residenciales.</w:t>
      </w:r>
    </w:p>
    <w:p w:rsidR="008662DD" w:rsidRPr="006238EF" w:rsidRDefault="008662DD" w:rsidP="008662DD">
      <w:pPr>
        <w:pStyle w:val="Default"/>
        <w:spacing w:line="280" w:lineRule="exact"/>
        <w:jc w:val="both"/>
        <w:rPr>
          <w:rFonts w:ascii="Riojana" w:hAnsi="Riojana"/>
          <w:sz w:val="20"/>
          <w:szCs w:val="20"/>
        </w:rPr>
      </w:pPr>
      <w:r w:rsidRPr="006238EF">
        <w:rPr>
          <w:rFonts w:ascii="Riojana" w:hAnsi="Riojana"/>
          <w:sz w:val="20"/>
          <w:szCs w:val="20"/>
        </w:rPr>
        <w:t xml:space="preserve">31.- La inserción </w:t>
      </w:r>
      <w:proofErr w:type="spellStart"/>
      <w:r w:rsidRPr="006238EF">
        <w:rPr>
          <w:rFonts w:ascii="Riojana" w:hAnsi="Riojana"/>
          <w:sz w:val="20"/>
          <w:szCs w:val="20"/>
        </w:rPr>
        <w:t>sociolaboral</w:t>
      </w:r>
      <w:proofErr w:type="spellEnd"/>
      <w:r w:rsidRPr="006238EF">
        <w:rPr>
          <w:rFonts w:ascii="Riojana" w:hAnsi="Riojana"/>
          <w:sz w:val="20"/>
          <w:szCs w:val="20"/>
        </w:rPr>
        <w:t xml:space="preserve"> de personas mayores de edad con discapacidad. Proceso de autonomía y programas de acompañamiento. Programas de inserción ocupacional.</w:t>
      </w:r>
    </w:p>
    <w:p w:rsidR="0020753B" w:rsidRDefault="0020753B"/>
    <w:sectPr w:rsidR="00207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A5"/>
    <w:rsid w:val="001324A5"/>
    <w:rsid w:val="0020753B"/>
    <w:rsid w:val="008662DD"/>
    <w:rsid w:val="00E8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588D5-228B-449F-9F18-6F98BE72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2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662DD"/>
    <w:pPr>
      <w:autoSpaceDE w:val="0"/>
      <w:autoSpaceDN w:val="0"/>
      <w:adjustRightInd w:val="0"/>
      <w:spacing w:after="0" w:line="240" w:lineRule="auto"/>
    </w:pPr>
    <w:rPr>
      <w:rFonts w:ascii="Arial" w:eastAsia="Times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Amaya Domínguez Moreno</dc:creator>
  <cp:keywords/>
  <dc:description/>
  <cp:lastModifiedBy>Beatriz Recio Gómez</cp:lastModifiedBy>
  <cp:revision>2</cp:revision>
  <dcterms:created xsi:type="dcterms:W3CDTF">2024-03-13T07:19:00Z</dcterms:created>
  <dcterms:modified xsi:type="dcterms:W3CDTF">2024-03-13T07:19:00Z</dcterms:modified>
</cp:coreProperties>
</file>