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59164" w14:textId="04DC2970" w:rsidR="002276A4" w:rsidRDefault="0078129D" w:rsidP="00514C8D">
      <w:pPr>
        <w:pStyle w:val="NormalWeb"/>
        <w:jc w:val="center"/>
        <w:rPr>
          <w:rFonts w:ascii="HelveticaNeue LT 55 Roman" w:hAnsi="HelveticaNeue LT 55 Roman"/>
          <w:b/>
          <w:u w:val="single"/>
        </w:rPr>
      </w:pPr>
      <w:r w:rsidRPr="00514C8D">
        <w:rPr>
          <w:rFonts w:ascii="HelveticaNeue LT 55 Roman" w:hAnsi="HelveticaNeue LT 55 Roman"/>
          <w:b/>
          <w:u w:val="single"/>
        </w:rPr>
        <w:t>30  AÑOS DE ESPAÑA EN LA UE</w:t>
      </w:r>
    </w:p>
    <w:p w14:paraId="4C1B4C36" w14:textId="6CD5A8F7" w:rsidR="002E3CB0" w:rsidRPr="002E3CB0" w:rsidRDefault="002E3CB0" w:rsidP="002E3CB0">
      <w:pPr>
        <w:autoSpaceDE w:val="0"/>
        <w:autoSpaceDN w:val="0"/>
        <w:adjustRightInd w:val="0"/>
        <w:jc w:val="both"/>
        <w:rPr>
          <w:rFonts w:ascii="HelveticaNeue LT 55 Roman" w:eastAsia="MS Mincho" w:hAnsi="HelveticaNeue LT 55 Roman" w:cs="ArialMT"/>
          <w:sz w:val="22"/>
          <w:szCs w:val="22"/>
          <w:lang w:val="es-ES"/>
        </w:rPr>
      </w:pPr>
      <w:r w:rsidRPr="002E3CB0">
        <w:rPr>
          <w:rFonts w:ascii="HelveticaNeue LT 55 Roman" w:eastAsia="MS Mincho" w:hAnsi="HelveticaNeue LT 55 Roman" w:cs="ArialMT"/>
          <w:sz w:val="22"/>
          <w:szCs w:val="22"/>
          <w:lang w:val="es-ES"/>
        </w:rPr>
        <w:t>El 1 de enero de 2016 España celebró el 30 aniversario de su adhesión a la Comunidad Económica Europea (CEE), la actual UE. La entrada de España y Portugal significó la tercera ampliación de la UE. Con los dos nuevos Estados miembros el club europeo pasó de 10 a 12 socios (los seis fundador</w:t>
      </w:r>
      <w:r>
        <w:rPr>
          <w:rFonts w:ascii="HelveticaNeue LT 55 Roman" w:eastAsia="MS Mincho" w:hAnsi="HelveticaNeue LT 55 Roman" w:cs="ArialMT"/>
          <w:sz w:val="22"/>
          <w:szCs w:val="22"/>
          <w:lang w:val="es-ES"/>
        </w:rPr>
        <w:t xml:space="preserve">es: Francia, Alemania, Bélgica, </w:t>
      </w:r>
      <w:r w:rsidRPr="002E3CB0">
        <w:rPr>
          <w:rFonts w:ascii="HelveticaNeue LT 55 Roman" w:eastAsia="MS Mincho" w:hAnsi="HelveticaNeue LT 55 Roman" w:cs="ArialMT"/>
          <w:sz w:val="22"/>
          <w:szCs w:val="22"/>
          <w:lang w:val="es-ES"/>
        </w:rPr>
        <w:t>Luxemburgo, los Países Bajos y Italia; el Reino Unido, Irlanda y Dinamarca, que se unieron en 1973; Grecia, que entró en 1981, y España y Portugal).</w:t>
      </w:r>
    </w:p>
    <w:p w14:paraId="04BEEF36" w14:textId="77777777" w:rsidR="002E3CB0" w:rsidRPr="002E3CB0" w:rsidRDefault="002E3CB0" w:rsidP="002E3CB0">
      <w:pPr>
        <w:autoSpaceDE w:val="0"/>
        <w:autoSpaceDN w:val="0"/>
        <w:adjustRightInd w:val="0"/>
        <w:jc w:val="both"/>
        <w:rPr>
          <w:rFonts w:ascii="HelveticaNeue LT 55 Roman" w:eastAsia="MS Mincho" w:hAnsi="HelveticaNeue LT 55 Roman" w:cs="ArialMT"/>
          <w:sz w:val="22"/>
          <w:szCs w:val="22"/>
          <w:lang w:val="es-ES"/>
        </w:rPr>
      </w:pPr>
    </w:p>
    <w:p w14:paraId="2DE93CA0" w14:textId="0295B53B" w:rsidR="002E3CB0" w:rsidRPr="002E3CB0" w:rsidRDefault="002E3CB0" w:rsidP="002E3CB0">
      <w:pPr>
        <w:autoSpaceDE w:val="0"/>
        <w:autoSpaceDN w:val="0"/>
        <w:adjustRightInd w:val="0"/>
        <w:jc w:val="both"/>
        <w:rPr>
          <w:rFonts w:ascii="HelveticaNeue LT 55 Roman" w:eastAsia="MS Mincho" w:hAnsi="HelveticaNeue LT 55 Roman" w:cs="ArialMT"/>
          <w:sz w:val="22"/>
          <w:szCs w:val="22"/>
          <w:lang w:val="es-ES"/>
        </w:rPr>
      </w:pPr>
      <w:r w:rsidRPr="002E3CB0">
        <w:rPr>
          <w:rFonts w:ascii="HelveticaNeue LT 55 Roman" w:eastAsia="MS Mincho" w:hAnsi="HelveticaNeue LT 55 Roman" w:cs="ArialMT"/>
          <w:sz w:val="22"/>
          <w:szCs w:val="22"/>
          <w:lang w:val="es-ES"/>
        </w:rPr>
        <w:t>El 12 de junio de 1985 España y Portugal firmaron el Tratado de Adhesión a las Comunidades Europeas con un doble acto en Lisboa y en Madrid.  La firma culminaba un proceso que comenzó formalmente con la solicitud del Gobierno español al Consejo de Ministros de las Comunidades Europeas el 26 de julio de 1977, bajo la presidencia de Adolfo Suárez. Las negociaciones de adhesión se abrieron oficialmente el 5 de febrero de 1979 y fueron conducidas por los gobiernos, primero de Calvo Sotelo, y después de Felipe González.</w:t>
      </w:r>
    </w:p>
    <w:p w14:paraId="44564803" w14:textId="77777777" w:rsidR="002E3CB0" w:rsidRPr="002E3CB0" w:rsidRDefault="002E3CB0" w:rsidP="002E3CB0">
      <w:pPr>
        <w:autoSpaceDE w:val="0"/>
        <w:autoSpaceDN w:val="0"/>
        <w:adjustRightInd w:val="0"/>
        <w:jc w:val="both"/>
        <w:rPr>
          <w:rFonts w:ascii="HelveticaNeue LT 55 Roman" w:eastAsia="MS Mincho" w:hAnsi="HelveticaNeue LT 55 Roman" w:cs="ArialMT"/>
          <w:sz w:val="22"/>
          <w:szCs w:val="22"/>
          <w:lang w:val="es-ES"/>
        </w:rPr>
      </w:pPr>
    </w:p>
    <w:p w14:paraId="6BA2D287" w14:textId="2094139A" w:rsidR="002E3CB0" w:rsidRDefault="002E3CB0" w:rsidP="002E3CB0">
      <w:pPr>
        <w:autoSpaceDE w:val="0"/>
        <w:autoSpaceDN w:val="0"/>
        <w:adjustRightInd w:val="0"/>
        <w:jc w:val="both"/>
        <w:rPr>
          <w:rFonts w:ascii="HelveticaNeue LT 55 Roman" w:eastAsia="MS Mincho" w:hAnsi="HelveticaNeue LT 55 Roman" w:cs="ArialMT"/>
          <w:sz w:val="22"/>
          <w:szCs w:val="22"/>
          <w:lang w:val="es-ES"/>
        </w:rPr>
      </w:pPr>
      <w:r w:rsidRPr="002E3CB0">
        <w:rPr>
          <w:rFonts w:ascii="HelveticaNeue LT 55 Roman" w:eastAsia="MS Mincho" w:hAnsi="HelveticaNeue LT 55 Roman" w:cs="ArialMT"/>
          <w:sz w:val="22"/>
          <w:szCs w:val="22"/>
          <w:lang w:val="es-ES"/>
        </w:rPr>
        <w:t>Finalmente, en 1985, se produjo la firma y el 1 de enero de 1986 España entró a formar parte de la Unión.</w:t>
      </w:r>
    </w:p>
    <w:p w14:paraId="60737D87" w14:textId="38AC05F4" w:rsidR="002E3CB0" w:rsidRPr="002E3CB0" w:rsidRDefault="002E3CB0" w:rsidP="002E3CB0">
      <w:pPr>
        <w:pStyle w:val="NormalWeb"/>
        <w:jc w:val="both"/>
        <w:rPr>
          <w:rFonts w:ascii="HelveticaNeue LT 55 Roman" w:hAnsi="HelveticaNeue LT 55 Roman"/>
          <w:sz w:val="22"/>
          <w:szCs w:val="22"/>
        </w:rPr>
      </w:pPr>
      <w:r w:rsidRPr="00F24F2E">
        <w:rPr>
          <w:rFonts w:ascii="HelveticaNeue LT 55 Roman" w:hAnsi="HelveticaNeue LT 55 Roman"/>
          <w:sz w:val="22"/>
          <w:szCs w:val="22"/>
        </w:rPr>
        <w:t xml:space="preserve">El presente documento recoge información de distintas fuentes, destinada a generar el debate y la reflexión sobre las modificaciones que ha supuesto para nuestro país la </w:t>
      </w:r>
      <w:r w:rsidRPr="002E3CB0">
        <w:rPr>
          <w:rFonts w:ascii="HelveticaNeue LT 55 Roman" w:hAnsi="HelveticaNeue LT 55 Roman"/>
          <w:sz w:val="22"/>
          <w:szCs w:val="22"/>
        </w:rPr>
        <w:t>pertenencia a la Unión Europea, y los cambios más significativos que se han producido en las tres últimas décadas.</w:t>
      </w:r>
    </w:p>
    <w:p w14:paraId="2D2E204C" w14:textId="326DC85A" w:rsidR="00F24F2E" w:rsidRPr="002E3CB0" w:rsidRDefault="002E3CB0" w:rsidP="002E3CB0">
      <w:pPr>
        <w:pStyle w:val="NormalWeb"/>
        <w:jc w:val="both"/>
        <w:rPr>
          <w:rFonts w:ascii="HelveticaNeue LT 55 Roman" w:hAnsi="HelveticaNeue LT 55 Roman"/>
          <w:sz w:val="22"/>
          <w:szCs w:val="22"/>
        </w:rPr>
      </w:pPr>
      <w:r>
        <w:rPr>
          <w:rFonts w:ascii="HelveticaNeue LT 55 Roman" w:hAnsi="HelveticaNeue LT 55 Roman"/>
          <w:sz w:val="22"/>
          <w:szCs w:val="22"/>
        </w:rPr>
        <w:t xml:space="preserve">Documentos </w:t>
      </w:r>
      <w:r w:rsidR="00F24F2E" w:rsidRPr="002E3CB0">
        <w:rPr>
          <w:rFonts w:ascii="HelveticaNeue LT 55 Roman" w:hAnsi="HelveticaNeue LT 55 Roman"/>
          <w:sz w:val="22"/>
          <w:szCs w:val="22"/>
        </w:rPr>
        <w:t xml:space="preserve"> incluidos:</w:t>
      </w:r>
    </w:p>
    <w:p w14:paraId="78A40EFA" w14:textId="6FDCF90B" w:rsidR="00F24F2E" w:rsidRPr="00F24F2E" w:rsidRDefault="00386E49" w:rsidP="0091373D">
      <w:pPr>
        <w:pStyle w:val="Prrafodelista"/>
        <w:numPr>
          <w:ilvl w:val="0"/>
          <w:numId w:val="5"/>
        </w:numPr>
        <w:spacing w:before="240" w:line="276" w:lineRule="auto"/>
        <w:rPr>
          <w:rFonts w:ascii="HelveticaNeue LT 55 Roman" w:hAnsi="HelveticaNeue LT 55 Roman"/>
          <w:i/>
          <w:sz w:val="22"/>
          <w:szCs w:val="22"/>
        </w:rPr>
      </w:pPr>
      <w:hyperlink r:id="rId9" w:history="1">
        <w:r w:rsidR="00F24F2E" w:rsidRPr="002E3CB0">
          <w:rPr>
            <w:rStyle w:val="Hipervnculo"/>
            <w:rFonts w:ascii="HelveticaNeue LT 55 Roman" w:hAnsi="HelveticaNeue LT 55 Roman"/>
            <w:sz w:val="22"/>
            <w:szCs w:val="22"/>
          </w:rPr>
          <w:t xml:space="preserve">30º Aniversario de la firma de la adhesión de España a la UE: </w:t>
        </w:r>
        <w:r w:rsidR="00F24F2E" w:rsidRPr="002E3CB0">
          <w:rPr>
            <w:rStyle w:val="Hipervnculo"/>
            <w:rFonts w:ascii="HelveticaNeue LT 55 Roman" w:hAnsi="HelveticaNeue LT 55 Roman"/>
            <w:i/>
            <w:sz w:val="22"/>
            <w:szCs w:val="22"/>
          </w:rPr>
          <w:t>“Así éramos y así somos: 10 grandes cambios en España desde 1985”.</w:t>
        </w:r>
      </w:hyperlink>
      <w:r w:rsidR="00F24F2E">
        <w:rPr>
          <w:rFonts w:ascii="HelveticaNeue LT 55 Roman" w:hAnsi="HelveticaNeue LT 55 Roman"/>
          <w:i/>
          <w:sz w:val="22"/>
          <w:szCs w:val="22"/>
        </w:rPr>
        <w:t xml:space="preserve"> EL PAÍS. (Págs.</w:t>
      </w:r>
      <w:r w:rsidR="0091373D">
        <w:rPr>
          <w:rFonts w:ascii="HelveticaNeue LT 55 Roman" w:hAnsi="HelveticaNeue LT 55 Roman"/>
          <w:i/>
          <w:sz w:val="22"/>
          <w:szCs w:val="22"/>
        </w:rPr>
        <w:t xml:space="preserve"> 2</w:t>
      </w:r>
      <w:r w:rsidR="00F24F2E">
        <w:rPr>
          <w:rFonts w:ascii="HelveticaNeue LT 55 Roman" w:hAnsi="HelveticaNeue LT 55 Roman"/>
          <w:i/>
          <w:sz w:val="22"/>
          <w:szCs w:val="22"/>
        </w:rPr>
        <w:t xml:space="preserve"> – 6)</w:t>
      </w:r>
    </w:p>
    <w:p w14:paraId="263C5C2C" w14:textId="55F3C2DA" w:rsidR="00F24F2E" w:rsidRDefault="00386E49" w:rsidP="0091373D">
      <w:pPr>
        <w:pStyle w:val="NormalWeb"/>
        <w:numPr>
          <w:ilvl w:val="0"/>
          <w:numId w:val="5"/>
        </w:numPr>
        <w:spacing w:before="240" w:beforeAutospacing="0" w:line="276" w:lineRule="auto"/>
        <w:rPr>
          <w:rFonts w:ascii="HelveticaNeue LT 55 Roman" w:hAnsi="HelveticaNeue LT 55 Roman"/>
        </w:rPr>
      </w:pPr>
      <w:hyperlink r:id="rId10" w:history="1">
        <w:r w:rsidR="00F24F2E" w:rsidRPr="002E3CB0">
          <w:rPr>
            <w:rStyle w:val="Hipervnculo"/>
            <w:rFonts w:ascii="HelveticaNeue LT 55 Roman" w:hAnsi="HelveticaNeue LT 55 Roman"/>
          </w:rPr>
          <w:t>Políticas Comunes de la UE</w:t>
        </w:r>
      </w:hyperlink>
      <w:r w:rsidR="00F24F2E">
        <w:rPr>
          <w:rFonts w:ascii="HelveticaNeue LT 55 Roman" w:hAnsi="HelveticaNeue LT 55 Roman"/>
        </w:rPr>
        <w:t>. Ministerio de Asuntos Exteriores y Cooperación. (Págs. 6-15).</w:t>
      </w:r>
    </w:p>
    <w:p w14:paraId="4033C074" w14:textId="77777777" w:rsidR="002E3CB0" w:rsidRDefault="002E3CB0" w:rsidP="002E3CB0">
      <w:pPr>
        <w:pStyle w:val="NormalWeb"/>
        <w:rPr>
          <w:rFonts w:ascii="HelveticaNeue LT 55 Roman" w:hAnsi="HelveticaNeue LT 55 Roman"/>
        </w:rPr>
      </w:pPr>
      <w:r>
        <w:rPr>
          <w:rFonts w:ascii="HelveticaNeue LT 55 Roman" w:hAnsi="HelveticaNeue LT 55 Roman"/>
        </w:rPr>
        <w:t>Acceso a los siguientes documentos de interés:</w:t>
      </w:r>
    </w:p>
    <w:p w14:paraId="5BB83DEB" w14:textId="4E68D1C0" w:rsidR="002E3CB0" w:rsidRPr="002E3CB0" w:rsidRDefault="00386E49" w:rsidP="0091373D">
      <w:pPr>
        <w:pStyle w:val="NormalWeb"/>
        <w:numPr>
          <w:ilvl w:val="0"/>
          <w:numId w:val="5"/>
        </w:numPr>
        <w:spacing w:before="240" w:beforeAutospacing="0" w:line="276" w:lineRule="auto"/>
        <w:rPr>
          <w:rFonts w:ascii="HelveticaNeue LT 55 Roman" w:hAnsi="HelveticaNeue LT 55 Roman"/>
        </w:rPr>
      </w:pPr>
      <w:hyperlink r:id="rId11" w:history="1">
        <w:r w:rsidR="002E3CB0" w:rsidRPr="002E3CB0">
          <w:rPr>
            <w:rStyle w:val="Hipervnculo"/>
            <w:rFonts w:ascii="HelveticaNeue LT 55 Roman" w:hAnsi="HelveticaNeue LT 55 Roman"/>
            <w:i/>
          </w:rPr>
          <w:t>“30 razones para 30 años”</w:t>
        </w:r>
        <w:r w:rsidR="002E3CB0" w:rsidRPr="002E3CB0">
          <w:rPr>
            <w:rStyle w:val="Hipervnculo"/>
            <w:rFonts w:ascii="HelveticaNeue LT 55 Roman" w:hAnsi="HelveticaNeue LT 55 Roman"/>
          </w:rPr>
          <w:t>.</w:t>
        </w:r>
      </w:hyperlink>
      <w:r w:rsidR="002E3CB0">
        <w:rPr>
          <w:rFonts w:ascii="HelveticaNeue LT 55 Roman" w:hAnsi="HelveticaNeue LT 55 Roman"/>
        </w:rPr>
        <w:t xml:space="preserve"> Parlamento Europeo. </w:t>
      </w:r>
      <w:r w:rsidR="002E3CB0" w:rsidRPr="002E3CB0">
        <w:rPr>
          <w:rFonts w:ascii="HelveticaNeue LT 55 Roman" w:hAnsi="HelveticaNeue LT 55 Roman"/>
        </w:rPr>
        <w:t xml:space="preserve">Documento que cubre las grandes áreas de política Europea. </w:t>
      </w:r>
    </w:p>
    <w:p w14:paraId="391419C4" w14:textId="77777777" w:rsidR="00FC5107" w:rsidRPr="00FC5107" w:rsidRDefault="00386E49" w:rsidP="0091373D">
      <w:pPr>
        <w:pStyle w:val="NormalWeb"/>
        <w:numPr>
          <w:ilvl w:val="0"/>
          <w:numId w:val="5"/>
        </w:numPr>
        <w:spacing w:before="240" w:beforeAutospacing="0" w:line="276" w:lineRule="auto"/>
        <w:jc w:val="both"/>
        <w:rPr>
          <w:rFonts w:ascii="HelveticaNeue LT 55 Roman" w:hAnsi="HelveticaNeue LT 55 Roman"/>
        </w:rPr>
      </w:pPr>
      <w:hyperlink r:id="rId12" w:history="1">
        <w:r w:rsidR="002E3CB0" w:rsidRPr="0091373D">
          <w:rPr>
            <w:rStyle w:val="Hipervnculo"/>
            <w:rFonts w:ascii="HelveticaNeue LT 55 Roman" w:hAnsi="HelveticaNeue LT 55 Roman"/>
            <w:sz w:val="22"/>
            <w:szCs w:val="22"/>
          </w:rPr>
          <w:t>Monólogo de Joaquín Reyes, 30 años de España en la UE.</w:t>
        </w:r>
      </w:hyperlink>
      <w:r w:rsidR="002E3CB0" w:rsidRPr="0091373D">
        <w:rPr>
          <w:rFonts w:ascii="HelveticaNeue LT 55 Roman" w:hAnsi="HelveticaNeue LT 55 Roman"/>
          <w:sz w:val="22"/>
          <w:szCs w:val="22"/>
        </w:rPr>
        <w:t xml:space="preserve"> </w:t>
      </w:r>
      <w:r w:rsidR="0091373D" w:rsidRPr="0091373D">
        <w:rPr>
          <w:rFonts w:ascii="HelveticaNeue LT 55 Roman" w:hAnsi="HelveticaNeue LT 55 Roman"/>
          <w:sz w:val="22"/>
          <w:szCs w:val="22"/>
        </w:rPr>
        <w:t xml:space="preserve">El humorista </w:t>
      </w:r>
      <w:r w:rsidR="002E3CB0" w:rsidRPr="0091373D">
        <w:rPr>
          <w:rFonts w:ascii="HelveticaNeue LT 55 Roman" w:hAnsi="HelveticaNeue LT 55 Roman"/>
          <w:sz w:val="22"/>
          <w:szCs w:val="22"/>
        </w:rPr>
        <w:t>interpreta un monólogo especial sobre las t</w:t>
      </w:r>
      <w:r w:rsidR="0091373D" w:rsidRPr="0091373D">
        <w:rPr>
          <w:rFonts w:ascii="HelveticaNeue LT 55 Roman" w:hAnsi="HelveticaNeue LT 55 Roman"/>
          <w:sz w:val="22"/>
          <w:szCs w:val="22"/>
        </w:rPr>
        <w:t>res décadas de España en la Unión Europea.</w:t>
      </w:r>
    </w:p>
    <w:p w14:paraId="31AA45C2" w14:textId="37F7E6FF" w:rsidR="00FC5107" w:rsidRPr="00FC5107" w:rsidRDefault="00FC5107" w:rsidP="0091373D">
      <w:pPr>
        <w:pStyle w:val="NormalWeb"/>
        <w:numPr>
          <w:ilvl w:val="0"/>
          <w:numId w:val="5"/>
        </w:numPr>
        <w:spacing w:before="240" w:beforeAutospacing="0" w:line="276" w:lineRule="auto"/>
        <w:jc w:val="both"/>
        <w:rPr>
          <w:rFonts w:ascii="HelveticaNeue LT 55 Roman" w:hAnsi="HelveticaNeue LT 55 Roman"/>
        </w:rPr>
      </w:pPr>
      <w:hyperlink r:id="rId13" w:history="1">
        <w:r w:rsidRPr="00FC5107">
          <w:rPr>
            <w:rStyle w:val="Hipervnculo"/>
            <w:rFonts w:ascii="HelveticaNeue LT 55 Roman" w:hAnsi="HelveticaNeue LT 55 Roman"/>
            <w:sz w:val="22"/>
            <w:szCs w:val="22"/>
          </w:rPr>
          <w:t>“Vamos a explorar Europa”.</w:t>
        </w:r>
      </w:hyperlink>
      <w:r>
        <w:rPr>
          <w:rFonts w:ascii="HelveticaNeue LT 55 Roman" w:hAnsi="HelveticaNeue LT 55 Roman"/>
          <w:sz w:val="22"/>
          <w:szCs w:val="22"/>
        </w:rPr>
        <w:t xml:space="preserve"> Aventura a través del tiempo y del espacio, donde se recogen un montón de cosas interesantes sobre la UE.</w:t>
      </w:r>
    </w:p>
    <w:p w14:paraId="62EF514F" w14:textId="62CD0502" w:rsidR="0091373D" w:rsidRPr="00FC5107" w:rsidRDefault="00FC5107" w:rsidP="00FC5107">
      <w:pPr>
        <w:pStyle w:val="NormalWeb"/>
        <w:spacing w:before="240" w:beforeAutospacing="0" w:line="276" w:lineRule="auto"/>
        <w:jc w:val="both"/>
        <w:rPr>
          <w:rFonts w:ascii="HelveticaNeue LT 55 Roman" w:hAnsi="HelveticaNeue LT 55 Roman"/>
        </w:rPr>
      </w:pPr>
      <w:r>
        <w:rPr>
          <w:rFonts w:ascii="HelveticaNeue LT 55 Roman" w:hAnsi="HelveticaNeue LT 55 Roman"/>
          <w:sz w:val="22"/>
          <w:szCs w:val="22"/>
        </w:rPr>
        <w:t xml:space="preserve"> </w:t>
      </w:r>
    </w:p>
    <w:p w14:paraId="7B3B24EF" w14:textId="77777777" w:rsidR="0091373D" w:rsidRPr="0091373D" w:rsidRDefault="0091373D" w:rsidP="0091373D">
      <w:pPr>
        <w:pStyle w:val="NormalWeb"/>
        <w:jc w:val="both"/>
        <w:rPr>
          <w:rStyle w:val="sinenlace"/>
          <w:rFonts w:ascii="HelveticaNeue LT 55 Roman" w:hAnsi="HelveticaNeue LT 55 Roman"/>
          <w:b/>
          <w:sz w:val="28"/>
          <w:szCs w:val="28"/>
          <w:u w:val="single"/>
        </w:rPr>
      </w:pPr>
      <w:r w:rsidRPr="0091373D">
        <w:rPr>
          <w:rStyle w:val="sinenlace"/>
          <w:rFonts w:ascii="HelveticaNeue LT 55 Roman" w:hAnsi="HelveticaNeue LT 55 Roman"/>
          <w:b/>
          <w:sz w:val="28"/>
          <w:szCs w:val="28"/>
          <w:u w:val="single"/>
        </w:rPr>
        <w:lastRenderedPageBreak/>
        <w:t>EL PAÍS</w:t>
      </w:r>
    </w:p>
    <w:p w14:paraId="506DCC64" w14:textId="4450F62E" w:rsidR="0091373D" w:rsidRPr="0091373D" w:rsidRDefault="0091373D" w:rsidP="0091373D">
      <w:pPr>
        <w:pStyle w:val="NormalWeb"/>
        <w:jc w:val="both"/>
        <w:rPr>
          <w:rStyle w:val="sinenlace"/>
          <w:rFonts w:ascii="HelveticaNeue LT 55 Roman" w:hAnsi="HelveticaNeue LT 55 Roman"/>
          <w:b/>
          <w:sz w:val="28"/>
          <w:szCs w:val="28"/>
          <w:u w:val="single"/>
        </w:rPr>
      </w:pPr>
      <w:r w:rsidRPr="0091373D">
        <w:rPr>
          <w:rStyle w:val="sinenlace"/>
          <w:rFonts w:ascii="HelveticaNeue LT 55 Roman" w:hAnsi="HelveticaNeue LT 55 Roman"/>
          <w:b/>
          <w:sz w:val="28"/>
          <w:szCs w:val="28"/>
          <w:u w:val="single"/>
        </w:rPr>
        <w:t xml:space="preserve"> 30º ANIVERSARIO DE LA ADHESIÓN DE ESPAÑA A LA UE: “Así éramos y así somos: 10 grandes cambios en España desde 1985”</w:t>
      </w:r>
    </w:p>
    <w:p w14:paraId="2179280A" w14:textId="77777777" w:rsidR="0091373D" w:rsidRDefault="0091373D" w:rsidP="002276A4">
      <w:pPr>
        <w:pStyle w:val="NormalWeb"/>
        <w:jc w:val="both"/>
        <w:rPr>
          <w:rFonts w:ascii="HelveticaNeue LT 55 Roman" w:hAnsi="HelveticaNeue LT 55 Roman"/>
          <w:sz w:val="22"/>
          <w:szCs w:val="22"/>
        </w:rPr>
      </w:pPr>
    </w:p>
    <w:p w14:paraId="50419424" w14:textId="29D7680D" w:rsidR="002276A4" w:rsidRPr="002276A4" w:rsidRDefault="002276A4" w:rsidP="002276A4">
      <w:pPr>
        <w:pStyle w:val="NormalWeb"/>
        <w:jc w:val="both"/>
        <w:rPr>
          <w:rFonts w:ascii="HelveticaNeue LT 55 Roman" w:hAnsi="HelveticaNeue LT 55 Roman"/>
          <w:sz w:val="22"/>
          <w:szCs w:val="22"/>
        </w:rPr>
      </w:pPr>
      <w:r w:rsidRPr="002276A4">
        <w:rPr>
          <w:rFonts w:ascii="HelveticaNeue LT 55 Roman" w:hAnsi="HelveticaNeue LT 55 Roman"/>
          <w:sz w:val="22"/>
          <w:szCs w:val="22"/>
        </w:rPr>
        <w:t>El 12 de junio de 1985 España firmó el tratado de adhesión a la Unión Europea. La integración española en la UE tuvo lugar el 1 de enero de 1986. Han pasado 30 años desde aquella España, que contaba con una población de 38 473.418 personas por los 47.691.772 de la actualidad. Entonces solo había dos canales de televisión, las selecciones de fútbol y de baloncesto solo soñaban con el éxito</w:t>
      </w:r>
      <w:r>
        <w:rPr>
          <w:rFonts w:ascii="HelveticaNeue LT 55 Roman" w:hAnsi="HelveticaNeue LT 55 Roman"/>
          <w:sz w:val="22"/>
          <w:szCs w:val="22"/>
        </w:rPr>
        <w:t>.</w:t>
      </w:r>
    </w:p>
    <w:p w14:paraId="7EDD00F7" w14:textId="77777777" w:rsidR="002276A4" w:rsidRPr="002276A4" w:rsidRDefault="002276A4" w:rsidP="002276A4">
      <w:pPr>
        <w:pStyle w:val="NormalWeb"/>
        <w:jc w:val="both"/>
        <w:rPr>
          <w:rFonts w:ascii="HelveticaNeue LT 55 Roman" w:hAnsi="HelveticaNeue LT 55 Roman"/>
          <w:sz w:val="22"/>
          <w:szCs w:val="22"/>
        </w:rPr>
      </w:pPr>
      <w:r w:rsidRPr="002276A4">
        <w:rPr>
          <w:rStyle w:val="Textoennegrita"/>
          <w:rFonts w:ascii="HelveticaNeue LT 55 Roman" w:hAnsi="HelveticaNeue LT 55 Roman"/>
          <w:sz w:val="22"/>
          <w:szCs w:val="22"/>
        </w:rPr>
        <w:t>Crecimiento del PIB: a la caza de la media europea</w:t>
      </w:r>
    </w:p>
    <w:p w14:paraId="7F7B0667" w14:textId="77777777" w:rsidR="002276A4" w:rsidRPr="002276A4" w:rsidRDefault="002276A4" w:rsidP="002276A4">
      <w:pPr>
        <w:pStyle w:val="NormalWeb"/>
        <w:jc w:val="both"/>
        <w:rPr>
          <w:rFonts w:ascii="HelveticaNeue LT 55 Roman" w:hAnsi="HelveticaNeue LT 55 Roman"/>
          <w:sz w:val="22"/>
          <w:szCs w:val="22"/>
        </w:rPr>
      </w:pPr>
      <w:r w:rsidRPr="002276A4">
        <w:rPr>
          <w:rFonts w:ascii="HelveticaNeue LT 55 Roman" w:hAnsi="HelveticaNeue LT 55 Roman"/>
          <w:sz w:val="22"/>
          <w:szCs w:val="22"/>
        </w:rPr>
        <w:t>Al concluir 1986, el primer año completo que España formó parte de la UE, el PIB per cápita español se situaba en el 73,2% del de la unión, formada entonces por 12 países. En 1995, con 15 integrantes en la UE, el PIB por habitante español alcanzó el 78,4% y siguió creciendo hasta alcanzar en 2007 su máximo, el 102,8%, en una Europa extendida a 27 países. A partir de ese año la crisis económica fue erosionando esa cifra, que se situó en el 94,5% en 2014.</w:t>
      </w:r>
    </w:p>
    <w:p w14:paraId="2DB1953B" w14:textId="77777777" w:rsidR="002276A4" w:rsidRPr="002276A4" w:rsidRDefault="002276A4" w:rsidP="002276A4">
      <w:pPr>
        <w:jc w:val="both"/>
        <w:rPr>
          <w:rFonts w:ascii="HelveticaNeue LT 55 Roman" w:hAnsi="HelveticaNeue LT 55 Roman"/>
          <w:sz w:val="22"/>
          <w:szCs w:val="22"/>
        </w:rPr>
      </w:pPr>
      <w:bookmarkStart w:id="0" w:name="sumario_1"/>
      <w:bookmarkEnd w:id="0"/>
      <w:r w:rsidRPr="002276A4">
        <w:rPr>
          <w:rFonts w:ascii="HelveticaNeue LT 55 Roman" w:hAnsi="HelveticaNeue LT 55 Roman"/>
          <w:noProof/>
          <w:sz w:val="22"/>
          <w:szCs w:val="22"/>
          <w:lang w:val="es-ES"/>
        </w:rPr>
        <w:drawing>
          <wp:inline distT="0" distB="0" distL="0" distR="0" wp14:anchorId="47717E26" wp14:editId="29CB215C">
            <wp:extent cx="4064292" cy="3400952"/>
            <wp:effectExtent l="0" t="0" r="0" b="9525"/>
            <wp:docPr id="5" name="Imagen 5" descr="Así éramos y así somos: 10 grandes cambios en España desd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í éramos y así somos: 10 grandes cambios en España desde 19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221" cy="3400893"/>
                    </a:xfrm>
                    <a:prstGeom prst="rect">
                      <a:avLst/>
                    </a:prstGeom>
                    <a:noFill/>
                    <a:ln>
                      <a:noFill/>
                    </a:ln>
                  </pic:spPr>
                </pic:pic>
              </a:graphicData>
            </a:graphic>
          </wp:inline>
        </w:drawing>
      </w:r>
    </w:p>
    <w:p w14:paraId="10B6BCFF" w14:textId="77777777" w:rsidR="002276A4" w:rsidRPr="002276A4" w:rsidRDefault="002276A4" w:rsidP="002276A4">
      <w:pPr>
        <w:pStyle w:val="NormalWeb"/>
        <w:jc w:val="both"/>
        <w:rPr>
          <w:rFonts w:ascii="HelveticaNeue LT 55 Roman" w:hAnsi="HelveticaNeue LT 55 Roman"/>
          <w:sz w:val="22"/>
          <w:szCs w:val="22"/>
        </w:rPr>
      </w:pPr>
      <w:r w:rsidRPr="002276A4">
        <w:rPr>
          <w:rStyle w:val="Textoennegrita"/>
          <w:rFonts w:ascii="HelveticaNeue LT 55 Roman" w:hAnsi="HelveticaNeue LT 55 Roman"/>
          <w:sz w:val="22"/>
          <w:szCs w:val="22"/>
        </w:rPr>
        <w:t>Una población más envejecida</w:t>
      </w:r>
    </w:p>
    <w:p w14:paraId="4D7D3DD4" w14:textId="77777777" w:rsidR="002276A4" w:rsidRPr="002276A4" w:rsidRDefault="002276A4" w:rsidP="002276A4">
      <w:pPr>
        <w:pStyle w:val="NormalWeb"/>
        <w:jc w:val="both"/>
        <w:rPr>
          <w:rFonts w:ascii="HelveticaNeue LT 55 Roman" w:hAnsi="HelveticaNeue LT 55 Roman"/>
          <w:sz w:val="22"/>
          <w:szCs w:val="22"/>
        </w:rPr>
      </w:pPr>
      <w:r w:rsidRPr="002276A4">
        <w:rPr>
          <w:rFonts w:ascii="HelveticaNeue LT 55 Roman" w:hAnsi="HelveticaNeue LT 55 Roman"/>
          <w:sz w:val="22"/>
          <w:szCs w:val="22"/>
        </w:rPr>
        <w:lastRenderedPageBreak/>
        <w:t>En 1985 los mayores de 64 años eran 11,9 de la población total. En 2014, el porcentaje se había elevado al 18,11%, según el INE. En estos 30 años hemos envejecido siete años de promedio. La edad media de los hombres españoles era de 33,6 años en 1985, en 2014 de 40,8. Las mujeres han pasado de 36,3 a 43,3. El índice de envejecimiento, el porcentaje de población mayor de 64 años respecto de los menores de 15, se ha disparado: del 47% al 112%. La tasa de natalidad también se ha reducido notablemente: del 11,95 por mil hasta el 9,1 en 2013, último año del que el INE ofrece datos.</w:t>
      </w:r>
    </w:p>
    <w:p w14:paraId="58B9DAE3" w14:textId="77777777" w:rsidR="002276A4" w:rsidRPr="002276A4" w:rsidRDefault="002276A4" w:rsidP="002276A4">
      <w:pPr>
        <w:pStyle w:val="NormalWeb"/>
        <w:jc w:val="both"/>
        <w:rPr>
          <w:rFonts w:ascii="HelveticaNeue LT 55 Roman" w:hAnsi="HelveticaNeue LT 55 Roman"/>
          <w:sz w:val="22"/>
          <w:szCs w:val="22"/>
        </w:rPr>
      </w:pPr>
      <w:r w:rsidRPr="002276A4">
        <w:rPr>
          <w:rStyle w:val="Textoennegrita"/>
          <w:rFonts w:ascii="HelveticaNeue LT 55 Roman" w:hAnsi="HelveticaNeue LT 55 Roman"/>
          <w:sz w:val="22"/>
          <w:szCs w:val="22"/>
        </w:rPr>
        <w:t>El eterno problema del paro</w:t>
      </w:r>
    </w:p>
    <w:p w14:paraId="6D0F0D61" w14:textId="77777777" w:rsidR="002276A4" w:rsidRPr="002276A4" w:rsidRDefault="002276A4" w:rsidP="002276A4">
      <w:pPr>
        <w:pStyle w:val="NormalWeb"/>
        <w:jc w:val="both"/>
        <w:rPr>
          <w:rFonts w:ascii="HelveticaNeue LT 55 Roman" w:hAnsi="HelveticaNeue LT 55 Roman"/>
          <w:sz w:val="22"/>
          <w:szCs w:val="22"/>
        </w:rPr>
      </w:pPr>
      <w:r w:rsidRPr="002276A4">
        <w:rPr>
          <w:rFonts w:ascii="HelveticaNeue LT 55 Roman" w:hAnsi="HelveticaNeue LT 55 Roman"/>
          <w:sz w:val="22"/>
          <w:szCs w:val="22"/>
        </w:rPr>
        <w:t>La tasa de paro en España siempre se ha situado durante estos 30 años por encima de la del conjunto de la UE, aunque con muchas fluctuaciones. En 1986 era del 17,4%, frente al 10,7% de la unión. En 2005 ambas cifran casi coincidieron, en torno al 9% de la población activa. Tras marcar un punto de inflexión en 2007, el desempleo en España se disparó hasta situarse en el 26,1% en 2012, bastante más del doble que la tasa del conjunto de la UE. En 2014 se moderó el paro en España pero el porcentaje de desempleados siguió muy por encima del europeo: 24,5% frente a 10,2%.</w:t>
      </w:r>
    </w:p>
    <w:p w14:paraId="7581370C" w14:textId="77777777" w:rsidR="002276A4" w:rsidRPr="002276A4" w:rsidRDefault="002276A4" w:rsidP="002276A4">
      <w:pPr>
        <w:jc w:val="both"/>
        <w:rPr>
          <w:rFonts w:ascii="HelveticaNeue LT 55 Roman" w:hAnsi="HelveticaNeue LT 55 Roman"/>
          <w:sz w:val="22"/>
          <w:szCs w:val="22"/>
        </w:rPr>
      </w:pPr>
      <w:bookmarkStart w:id="1" w:name="sumario_2"/>
      <w:bookmarkEnd w:id="1"/>
      <w:r w:rsidRPr="002276A4">
        <w:rPr>
          <w:rFonts w:ascii="HelveticaNeue LT 55 Roman" w:hAnsi="HelveticaNeue LT 55 Roman"/>
          <w:noProof/>
          <w:sz w:val="22"/>
          <w:szCs w:val="22"/>
          <w:lang w:val="es-ES"/>
        </w:rPr>
        <w:drawing>
          <wp:inline distT="0" distB="0" distL="0" distR="0" wp14:anchorId="165550BA" wp14:editId="5780D8AF">
            <wp:extent cx="3717812" cy="3111021"/>
            <wp:effectExtent l="0" t="0" r="0" b="0"/>
            <wp:docPr id="4" name="Imagen 4" descr="Así éramos y así somos: 10 grandes cambios en España desd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í éramos y así somos: 10 grandes cambios en España desde 19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7747" cy="3110967"/>
                    </a:xfrm>
                    <a:prstGeom prst="rect">
                      <a:avLst/>
                    </a:prstGeom>
                    <a:noFill/>
                    <a:ln>
                      <a:noFill/>
                    </a:ln>
                  </pic:spPr>
                </pic:pic>
              </a:graphicData>
            </a:graphic>
          </wp:inline>
        </w:drawing>
      </w:r>
    </w:p>
    <w:p w14:paraId="7929CE74" w14:textId="77777777" w:rsidR="002276A4" w:rsidRPr="002276A4" w:rsidRDefault="002276A4" w:rsidP="002276A4">
      <w:pPr>
        <w:pStyle w:val="NormalWeb"/>
        <w:jc w:val="both"/>
        <w:rPr>
          <w:rFonts w:ascii="HelveticaNeue LT 55 Roman" w:hAnsi="HelveticaNeue LT 55 Roman"/>
          <w:sz w:val="22"/>
          <w:szCs w:val="22"/>
        </w:rPr>
      </w:pPr>
      <w:r w:rsidRPr="002276A4">
        <w:rPr>
          <w:rStyle w:val="Textoennegrita"/>
          <w:rFonts w:ascii="HelveticaNeue LT 55 Roman" w:hAnsi="HelveticaNeue LT 55 Roman"/>
          <w:sz w:val="22"/>
          <w:szCs w:val="22"/>
        </w:rPr>
        <w:t>Inmigración: de emisores a receptores</w:t>
      </w:r>
    </w:p>
    <w:p w14:paraId="53E22529" w14:textId="77777777" w:rsidR="002276A4" w:rsidRPr="002276A4" w:rsidRDefault="002276A4" w:rsidP="002276A4">
      <w:pPr>
        <w:pStyle w:val="NormalWeb"/>
        <w:jc w:val="both"/>
        <w:rPr>
          <w:rFonts w:ascii="HelveticaNeue LT 55 Roman" w:hAnsi="HelveticaNeue LT 55 Roman"/>
          <w:sz w:val="22"/>
          <w:szCs w:val="22"/>
        </w:rPr>
      </w:pPr>
      <w:r w:rsidRPr="002276A4">
        <w:rPr>
          <w:rFonts w:ascii="HelveticaNeue LT 55 Roman" w:hAnsi="HelveticaNeue LT 55 Roman"/>
          <w:sz w:val="22"/>
          <w:szCs w:val="22"/>
        </w:rPr>
        <w:t>Desde los años 70 España ha pasado de ser un país que generaba emigración a ser uno que recibe un gran flujo. Durante el año 86 se registraron en España a 241.971 extranjeros (un 0,63%) de la población. Según los últimos datos, de 2014, la proporción ha subido al 10,7% (4.925.089). El mayor número de inmigrantes procede de países como Rumania, Marruecos, Ecuador, China y reino Unido. España ocupa desde finales de 2014 el décimo puesto en la lista de países que más inmigrantes tienen. De países de la UE solo está superada por Alemania, Francia y Reino Unido.</w:t>
      </w:r>
    </w:p>
    <w:p w14:paraId="25B87AD3" w14:textId="77777777" w:rsidR="002276A4" w:rsidRPr="002276A4" w:rsidRDefault="002276A4" w:rsidP="002276A4">
      <w:pPr>
        <w:jc w:val="both"/>
        <w:rPr>
          <w:rFonts w:ascii="HelveticaNeue LT 55 Roman" w:hAnsi="HelveticaNeue LT 55 Roman"/>
          <w:sz w:val="22"/>
          <w:szCs w:val="22"/>
        </w:rPr>
      </w:pPr>
      <w:bookmarkStart w:id="2" w:name="sumario_7"/>
      <w:bookmarkEnd w:id="2"/>
      <w:r w:rsidRPr="002276A4">
        <w:rPr>
          <w:rFonts w:ascii="HelveticaNeue LT 55 Roman" w:hAnsi="HelveticaNeue LT 55 Roman"/>
          <w:noProof/>
          <w:sz w:val="22"/>
          <w:szCs w:val="22"/>
          <w:lang w:val="es-ES"/>
        </w:rPr>
        <w:lastRenderedPageBreak/>
        <w:drawing>
          <wp:inline distT="0" distB="0" distL="0" distR="0" wp14:anchorId="362AD831" wp14:editId="5A75E2E9">
            <wp:extent cx="2631688" cy="1844440"/>
            <wp:effectExtent l="0" t="0" r="0" b="3810"/>
            <wp:docPr id="3" name="Imagen 3" descr="Colas de inmigrantes para regularizar su situación en la comisaría de Extranjería en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as de inmigrantes para regularizar su situación en la comisaría de Extranjería en 19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6912" cy="1855110"/>
                    </a:xfrm>
                    <a:prstGeom prst="rect">
                      <a:avLst/>
                    </a:prstGeom>
                    <a:noFill/>
                    <a:ln>
                      <a:noFill/>
                    </a:ln>
                  </pic:spPr>
                </pic:pic>
              </a:graphicData>
            </a:graphic>
          </wp:inline>
        </w:drawing>
      </w:r>
    </w:p>
    <w:p w14:paraId="314CBDD4" w14:textId="4671BBCC" w:rsidR="002276A4" w:rsidRPr="002276A4" w:rsidRDefault="002276A4" w:rsidP="002276A4">
      <w:pPr>
        <w:jc w:val="both"/>
        <w:rPr>
          <w:rFonts w:ascii="HelveticaNeue LT 55 Roman" w:hAnsi="HelveticaNeue LT 55 Roman"/>
          <w:sz w:val="16"/>
          <w:szCs w:val="16"/>
        </w:rPr>
      </w:pPr>
      <w:r w:rsidRPr="002276A4">
        <w:rPr>
          <w:rFonts w:ascii="HelveticaNeue LT 55 Roman" w:hAnsi="HelveticaNeue LT 55 Roman"/>
          <w:sz w:val="16"/>
          <w:szCs w:val="16"/>
        </w:rPr>
        <w:t xml:space="preserve">Colas de inmigrantes para regularizar su situación en la comisaría de Extranjería en 1985. </w:t>
      </w:r>
      <w:r w:rsidRPr="002276A4">
        <w:rPr>
          <w:rStyle w:val="foto-autor"/>
          <w:rFonts w:ascii="HelveticaNeue LT 55 Roman" w:hAnsi="HelveticaNeue LT 55 Roman"/>
          <w:sz w:val="16"/>
          <w:szCs w:val="16"/>
        </w:rPr>
        <w:t>Ricardo Gutiérrez</w:t>
      </w:r>
      <w:r w:rsidRPr="002276A4">
        <w:rPr>
          <w:rStyle w:val="foto-firma"/>
          <w:rFonts w:ascii="HelveticaNeue LT 55 Roman" w:hAnsi="HelveticaNeue LT 55 Roman"/>
          <w:sz w:val="16"/>
          <w:szCs w:val="16"/>
        </w:rPr>
        <w:t xml:space="preserve"> </w:t>
      </w:r>
    </w:p>
    <w:p w14:paraId="681B4B4D" w14:textId="77777777" w:rsidR="002276A4" w:rsidRPr="002276A4" w:rsidRDefault="002276A4" w:rsidP="002276A4">
      <w:pPr>
        <w:pStyle w:val="NormalWeb"/>
        <w:jc w:val="both"/>
        <w:rPr>
          <w:rFonts w:ascii="HelveticaNeue LT 55 Roman" w:hAnsi="HelveticaNeue LT 55 Roman"/>
          <w:sz w:val="22"/>
          <w:szCs w:val="22"/>
        </w:rPr>
      </w:pPr>
      <w:r w:rsidRPr="002276A4">
        <w:rPr>
          <w:rStyle w:val="Textoennegrita"/>
          <w:rFonts w:ascii="HelveticaNeue LT 55 Roman" w:hAnsi="HelveticaNeue LT 55 Roman"/>
          <w:sz w:val="22"/>
          <w:szCs w:val="22"/>
        </w:rPr>
        <w:t>El inicio de la ley del aborto</w:t>
      </w:r>
    </w:p>
    <w:p w14:paraId="7A24A847" w14:textId="77777777" w:rsidR="002276A4" w:rsidRPr="002276A4" w:rsidRDefault="002276A4" w:rsidP="002276A4">
      <w:pPr>
        <w:pStyle w:val="NormalWeb"/>
        <w:jc w:val="both"/>
        <w:rPr>
          <w:rFonts w:ascii="HelveticaNeue LT 55 Roman" w:hAnsi="HelveticaNeue LT 55 Roman"/>
          <w:sz w:val="22"/>
          <w:szCs w:val="22"/>
        </w:rPr>
      </w:pPr>
      <w:r w:rsidRPr="002276A4">
        <w:rPr>
          <w:rFonts w:ascii="HelveticaNeue LT 55 Roman" w:hAnsi="HelveticaNeue LT 55 Roman"/>
          <w:sz w:val="22"/>
          <w:szCs w:val="22"/>
        </w:rPr>
        <w:t>El 12 de junio de 1985, fecha de la firma del Tratado de Adhesión a la Comunidad Europea, en España aún no se había aprobado la ley del aborto. Fue unas semanas después, el 5 de julio y solo se despenalizó en tres supuestos: violación, grave riesgo para la salud física o psíquica de la madre y malformaciones del feto. En 2010 la norma cambió para convertirse una ley de plazos: se despenalizó durante las primeras 14 semanas del embarazo, ampliable a 22 en caso de graves riesgos para la salud de la madre o del feto. En 2012 el entonces ministro de Justicia, Alberto Ruiz Gallardón, anunció su intención de reformar la ley, pero en septiembre de 2014 el Gobierno de Rajoy retiró el proyecto. El 3 de julio de 2005 entró en vigor otra norma que provocó la reacción de los sectores más conservadores: la ley del matrimonio homosexual. Ese mismo año se casaron en España 1.275 parejas, un 1,06% del total de matrimonios celebrados. El número ha ido creciendo hasta situarse en unos 3.800 anuales, más del 2% del total.</w:t>
      </w:r>
    </w:p>
    <w:p w14:paraId="6B58ADCB" w14:textId="77777777" w:rsidR="002276A4" w:rsidRPr="002276A4" w:rsidRDefault="002276A4" w:rsidP="002276A4">
      <w:pPr>
        <w:pStyle w:val="NormalWeb"/>
        <w:jc w:val="both"/>
        <w:rPr>
          <w:rFonts w:ascii="HelveticaNeue LT 55 Roman" w:hAnsi="HelveticaNeue LT 55 Roman"/>
          <w:sz w:val="22"/>
          <w:szCs w:val="22"/>
        </w:rPr>
      </w:pPr>
      <w:r w:rsidRPr="002276A4">
        <w:rPr>
          <w:rStyle w:val="Textoennegrita"/>
          <w:rFonts w:ascii="HelveticaNeue LT 55 Roman" w:hAnsi="HelveticaNeue LT 55 Roman"/>
          <w:sz w:val="22"/>
          <w:szCs w:val="22"/>
        </w:rPr>
        <w:t>La revolución de Erasmus</w:t>
      </w:r>
    </w:p>
    <w:p w14:paraId="44102448" w14:textId="072B1ABE" w:rsidR="002276A4" w:rsidRPr="002276A4" w:rsidRDefault="002276A4" w:rsidP="002276A4">
      <w:pPr>
        <w:pStyle w:val="NormalWeb"/>
        <w:jc w:val="both"/>
        <w:rPr>
          <w:rFonts w:ascii="HelveticaNeue LT 55 Roman" w:hAnsi="HelveticaNeue LT 55 Roman"/>
          <w:sz w:val="22"/>
          <w:szCs w:val="22"/>
        </w:rPr>
      </w:pPr>
      <w:r w:rsidRPr="002276A4">
        <w:rPr>
          <w:rFonts w:ascii="HelveticaNeue LT 55 Roman" w:hAnsi="HelveticaNeue LT 55 Roman"/>
          <w:sz w:val="22"/>
          <w:szCs w:val="22"/>
        </w:rPr>
        <w:t xml:space="preserve">Las tres décadas en las que España ha compartido camino con la Unión Europea también han sido las de la explosión del programa </w:t>
      </w:r>
      <w:r w:rsidRPr="0030353B">
        <w:rPr>
          <w:rFonts w:ascii="HelveticaNeue LT 55 Roman" w:hAnsi="HelveticaNeue LT 55 Roman"/>
          <w:sz w:val="22"/>
          <w:szCs w:val="22"/>
        </w:rPr>
        <w:t>Erasmus</w:t>
      </w:r>
      <w:r w:rsidRPr="002276A4">
        <w:rPr>
          <w:rFonts w:ascii="HelveticaNeue LT 55 Roman" w:hAnsi="HelveticaNeue LT 55 Roman"/>
          <w:sz w:val="22"/>
          <w:szCs w:val="22"/>
        </w:rPr>
        <w:t xml:space="preserve"> </w:t>
      </w:r>
      <w:proofErr w:type="spellStart"/>
      <w:r w:rsidRPr="002276A4">
        <w:rPr>
          <w:rStyle w:val="nfasis"/>
          <w:rFonts w:ascii="HelveticaNeue LT 55 Roman" w:hAnsi="HelveticaNeue LT 55 Roman"/>
          <w:sz w:val="22"/>
          <w:szCs w:val="22"/>
        </w:rPr>
        <w:t>EuRopean</w:t>
      </w:r>
      <w:proofErr w:type="spellEnd"/>
      <w:r w:rsidRPr="002276A4">
        <w:rPr>
          <w:rStyle w:val="nfasis"/>
          <w:rFonts w:ascii="HelveticaNeue LT 55 Roman" w:hAnsi="HelveticaNeue LT 55 Roman"/>
          <w:sz w:val="22"/>
          <w:szCs w:val="22"/>
        </w:rPr>
        <w:t xml:space="preserve"> </w:t>
      </w:r>
      <w:proofErr w:type="spellStart"/>
      <w:r w:rsidRPr="002276A4">
        <w:rPr>
          <w:rStyle w:val="nfasis"/>
          <w:rFonts w:ascii="HelveticaNeue LT 55 Roman" w:hAnsi="HelveticaNeue LT 55 Roman"/>
          <w:sz w:val="22"/>
          <w:szCs w:val="22"/>
        </w:rPr>
        <w:t>Community</w:t>
      </w:r>
      <w:proofErr w:type="spellEnd"/>
      <w:r w:rsidRPr="002276A4">
        <w:rPr>
          <w:rStyle w:val="nfasis"/>
          <w:rFonts w:ascii="HelveticaNeue LT 55 Roman" w:hAnsi="HelveticaNeue LT 55 Roman"/>
          <w:sz w:val="22"/>
          <w:szCs w:val="22"/>
        </w:rPr>
        <w:t xml:space="preserve"> </w:t>
      </w:r>
      <w:proofErr w:type="spellStart"/>
      <w:r w:rsidRPr="002276A4">
        <w:rPr>
          <w:rStyle w:val="nfasis"/>
          <w:rFonts w:ascii="HelveticaNeue LT 55 Roman" w:hAnsi="HelveticaNeue LT 55 Roman"/>
          <w:sz w:val="22"/>
          <w:szCs w:val="22"/>
        </w:rPr>
        <w:t>Action</w:t>
      </w:r>
      <w:proofErr w:type="spellEnd"/>
      <w:r w:rsidRPr="002276A4">
        <w:rPr>
          <w:rStyle w:val="nfasis"/>
          <w:rFonts w:ascii="HelveticaNeue LT 55 Roman" w:hAnsi="HelveticaNeue LT 55 Roman"/>
          <w:sz w:val="22"/>
          <w:szCs w:val="22"/>
        </w:rPr>
        <w:t xml:space="preserve"> </w:t>
      </w:r>
      <w:proofErr w:type="spellStart"/>
      <w:r w:rsidRPr="002276A4">
        <w:rPr>
          <w:rStyle w:val="nfasis"/>
          <w:rFonts w:ascii="HelveticaNeue LT 55 Roman" w:hAnsi="HelveticaNeue LT 55 Roman"/>
          <w:sz w:val="22"/>
          <w:szCs w:val="22"/>
        </w:rPr>
        <w:t>Scheme</w:t>
      </w:r>
      <w:proofErr w:type="spellEnd"/>
      <w:r w:rsidRPr="002276A4">
        <w:rPr>
          <w:rStyle w:val="nfasis"/>
          <w:rFonts w:ascii="HelveticaNeue LT 55 Roman" w:hAnsi="HelveticaNeue LT 55 Roman"/>
          <w:sz w:val="22"/>
          <w:szCs w:val="22"/>
        </w:rPr>
        <w:t xml:space="preserve"> </w:t>
      </w:r>
      <w:proofErr w:type="spellStart"/>
      <w:r w:rsidRPr="002276A4">
        <w:rPr>
          <w:rStyle w:val="nfasis"/>
          <w:rFonts w:ascii="HelveticaNeue LT 55 Roman" w:hAnsi="HelveticaNeue LT 55 Roman"/>
          <w:sz w:val="22"/>
          <w:szCs w:val="22"/>
        </w:rPr>
        <w:t>for</w:t>
      </w:r>
      <w:proofErr w:type="spellEnd"/>
      <w:r w:rsidRPr="002276A4">
        <w:rPr>
          <w:rStyle w:val="nfasis"/>
          <w:rFonts w:ascii="HelveticaNeue LT 55 Roman" w:hAnsi="HelveticaNeue LT 55 Roman"/>
          <w:sz w:val="22"/>
          <w:szCs w:val="22"/>
        </w:rPr>
        <w:t xml:space="preserve"> </w:t>
      </w:r>
      <w:proofErr w:type="spellStart"/>
      <w:r w:rsidRPr="002276A4">
        <w:rPr>
          <w:rStyle w:val="nfasis"/>
          <w:rFonts w:ascii="HelveticaNeue LT 55 Roman" w:hAnsi="HelveticaNeue LT 55 Roman"/>
          <w:sz w:val="22"/>
          <w:szCs w:val="22"/>
        </w:rPr>
        <w:t>the</w:t>
      </w:r>
      <w:proofErr w:type="spellEnd"/>
      <w:r w:rsidRPr="002276A4">
        <w:rPr>
          <w:rStyle w:val="nfasis"/>
          <w:rFonts w:ascii="HelveticaNeue LT 55 Roman" w:hAnsi="HelveticaNeue LT 55 Roman"/>
          <w:sz w:val="22"/>
          <w:szCs w:val="22"/>
        </w:rPr>
        <w:t xml:space="preserve"> </w:t>
      </w:r>
      <w:proofErr w:type="spellStart"/>
      <w:r w:rsidRPr="002276A4">
        <w:rPr>
          <w:rStyle w:val="nfasis"/>
          <w:rFonts w:ascii="HelveticaNeue LT 55 Roman" w:hAnsi="HelveticaNeue LT 55 Roman"/>
          <w:sz w:val="22"/>
          <w:szCs w:val="22"/>
        </w:rPr>
        <w:t>Mobility</w:t>
      </w:r>
      <w:proofErr w:type="spellEnd"/>
      <w:r w:rsidRPr="002276A4">
        <w:rPr>
          <w:rStyle w:val="nfasis"/>
          <w:rFonts w:ascii="HelveticaNeue LT 55 Roman" w:hAnsi="HelveticaNeue LT 55 Roman"/>
          <w:sz w:val="22"/>
          <w:szCs w:val="22"/>
        </w:rPr>
        <w:t xml:space="preserve"> of </w:t>
      </w:r>
      <w:proofErr w:type="spellStart"/>
      <w:r w:rsidRPr="002276A4">
        <w:rPr>
          <w:rStyle w:val="nfasis"/>
          <w:rFonts w:ascii="HelveticaNeue LT 55 Roman" w:hAnsi="HelveticaNeue LT 55 Roman"/>
          <w:sz w:val="22"/>
          <w:szCs w:val="22"/>
        </w:rPr>
        <w:t>University</w:t>
      </w:r>
      <w:proofErr w:type="spellEnd"/>
      <w:r w:rsidRPr="002276A4">
        <w:rPr>
          <w:rStyle w:val="nfasis"/>
          <w:rFonts w:ascii="HelveticaNeue LT 55 Roman" w:hAnsi="HelveticaNeue LT 55 Roman"/>
          <w:sz w:val="22"/>
          <w:szCs w:val="22"/>
        </w:rPr>
        <w:t xml:space="preserve"> </w:t>
      </w:r>
      <w:proofErr w:type="spellStart"/>
      <w:r w:rsidRPr="002276A4">
        <w:rPr>
          <w:rStyle w:val="nfasis"/>
          <w:rFonts w:ascii="HelveticaNeue LT 55 Roman" w:hAnsi="HelveticaNeue LT 55 Roman"/>
          <w:sz w:val="22"/>
          <w:szCs w:val="22"/>
        </w:rPr>
        <w:t>Students</w:t>
      </w:r>
      <w:proofErr w:type="spellEnd"/>
      <w:r w:rsidRPr="002276A4">
        <w:rPr>
          <w:rFonts w:ascii="HelveticaNeue LT 55 Roman" w:hAnsi="HelveticaNeue LT 55 Roman"/>
          <w:sz w:val="22"/>
          <w:szCs w:val="22"/>
        </w:rPr>
        <w:t xml:space="preserve"> (Plan de Acción de la Comunidad Europea para la Movilidad de Estudiantes Universitarios) de movilidad de estudiantes. Los jóvenes españoles, 30 años después, son mucho más cosmopolitas, hablan más idiomas y han estado expuestos a otras culturas. Las cifras del éxito del Erasmus hablan por sí solas: de los 95 estudiantes pioneros en el curso académico 1987/1988 a los 39.249 participantes en el 2012/2013, según los últimos datos del Ministerio de Educación del Gobierno de España. Ya en el curso 1988/1989 hubo un incremento del 1018,9% en el número de estudiantes que hicieron las maletas hacia otro país europeo. Italia es el destino más buscado por los estudiantes españoles (18,92%), seguido de Alemania (12,58%), Reino Unido (10,64%), y Francia (11,58%). España sigue siendo el principal receptor de estudiantes españoles (casi 40.000 en 2012/2013, según datos de la Comisión Europea).</w:t>
      </w:r>
    </w:p>
    <w:p w14:paraId="3A4CA869" w14:textId="77777777" w:rsidR="002276A4" w:rsidRPr="00514C8D" w:rsidRDefault="002276A4" w:rsidP="002276A4">
      <w:pPr>
        <w:pStyle w:val="NormalWeb"/>
        <w:jc w:val="both"/>
        <w:rPr>
          <w:rFonts w:ascii="HelveticaNeue LT 55 Roman" w:hAnsi="HelveticaNeue LT 55 Roman"/>
          <w:sz w:val="22"/>
          <w:szCs w:val="22"/>
        </w:rPr>
      </w:pPr>
      <w:r w:rsidRPr="002276A4">
        <w:rPr>
          <w:rStyle w:val="Textoennegrita"/>
          <w:rFonts w:ascii="HelveticaNeue LT 55 Roman" w:hAnsi="HelveticaNeue LT 55 Roman"/>
          <w:sz w:val="22"/>
          <w:szCs w:val="22"/>
        </w:rPr>
        <w:t>D</w:t>
      </w:r>
      <w:r w:rsidRPr="00514C8D">
        <w:rPr>
          <w:rStyle w:val="Textoennegrita"/>
          <w:rFonts w:ascii="HelveticaNeue LT 55 Roman" w:hAnsi="HelveticaNeue LT 55 Roman"/>
          <w:sz w:val="22"/>
          <w:szCs w:val="22"/>
        </w:rPr>
        <w:t>e lo analógico a lo digital</w:t>
      </w:r>
    </w:p>
    <w:p w14:paraId="29E59E36" w14:textId="77777777" w:rsidR="002276A4" w:rsidRPr="00514C8D" w:rsidRDefault="002276A4" w:rsidP="002276A4">
      <w:pPr>
        <w:pStyle w:val="NormalWeb"/>
        <w:jc w:val="both"/>
        <w:rPr>
          <w:rFonts w:ascii="HelveticaNeue LT 55 Roman" w:hAnsi="HelveticaNeue LT 55 Roman"/>
          <w:sz w:val="22"/>
          <w:szCs w:val="22"/>
        </w:rPr>
      </w:pPr>
      <w:r w:rsidRPr="00514C8D">
        <w:rPr>
          <w:rFonts w:ascii="HelveticaNeue LT 55 Roman" w:hAnsi="HelveticaNeue LT 55 Roman"/>
          <w:sz w:val="22"/>
          <w:szCs w:val="22"/>
        </w:rPr>
        <w:lastRenderedPageBreak/>
        <w:t>La tecnología ha supuesto una revolución en las tres décadas de España en la UE. En 1985 los españoles vivían en un mundo analógico, los datos de 2014 del INE (Instituto Nacional de Estadística) reflejan esa transformación radical. En 2014, de acuerdo con el INE, un 74% de los hogares españoles tiene conexión a Internet (casi 11,9 millones de total de los españoles); un 76,2% de los ciudadanos se ha conectado para buscar alguna información o navegar en los últimos tres meses; las compras por Internet las han realizado en los últimos tres meses el 27,5%. El 77,1% de los usuarios de Internet accede a través del teléfono móvil. El 74,8% de los hogares españoles con al menos un miembro de 16 a 74 años dispone de un ordenador. 96,4% tiene teléfono móvil y 99, 2, televisión. Las redes sociales triunfan entre los entretenimientos de los españoles, de los cuales declaran haberlas usado en los tres últimos meses desde que se realizó la encuesta el 67,1%. Otro dato curioso que tiene que ver con la forma en que nos identificamos: el 47,9% de la población declara disponer de DNI electrónico.</w:t>
      </w:r>
    </w:p>
    <w:p w14:paraId="68F33DD4" w14:textId="77777777" w:rsidR="002276A4" w:rsidRPr="00514C8D" w:rsidRDefault="002276A4" w:rsidP="002276A4">
      <w:pPr>
        <w:jc w:val="both"/>
        <w:rPr>
          <w:rFonts w:ascii="HelveticaNeue LT 55 Roman" w:hAnsi="HelveticaNeue LT 55 Roman"/>
          <w:sz w:val="22"/>
          <w:szCs w:val="22"/>
        </w:rPr>
      </w:pPr>
      <w:bookmarkStart w:id="3" w:name="sumario_4"/>
      <w:bookmarkEnd w:id="3"/>
      <w:r w:rsidRPr="00514C8D">
        <w:rPr>
          <w:rFonts w:ascii="HelveticaNeue LT 55 Roman" w:hAnsi="HelveticaNeue LT 55 Roman"/>
          <w:noProof/>
          <w:sz w:val="22"/>
          <w:szCs w:val="22"/>
          <w:lang w:val="es-ES"/>
        </w:rPr>
        <w:drawing>
          <wp:inline distT="0" distB="0" distL="0" distR="0" wp14:anchorId="420DA80D" wp14:editId="4D0CA692">
            <wp:extent cx="2107581" cy="1407710"/>
            <wp:effectExtent l="0" t="0" r="6985" b="2540"/>
            <wp:docPr id="2" name="Imagen 2" descr="Así éramos y así somos: 10 grandes cambios en España desd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í éramos y así somos: 10 grandes cambios en España desde 19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7763" cy="1407832"/>
                    </a:xfrm>
                    <a:prstGeom prst="rect">
                      <a:avLst/>
                    </a:prstGeom>
                    <a:noFill/>
                    <a:ln>
                      <a:noFill/>
                    </a:ln>
                  </pic:spPr>
                </pic:pic>
              </a:graphicData>
            </a:graphic>
          </wp:inline>
        </w:drawing>
      </w:r>
    </w:p>
    <w:p w14:paraId="5697E167" w14:textId="77777777" w:rsidR="002276A4" w:rsidRPr="00514C8D" w:rsidRDefault="002276A4" w:rsidP="002276A4">
      <w:pPr>
        <w:pStyle w:val="NormalWeb"/>
        <w:jc w:val="both"/>
        <w:rPr>
          <w:rFonts w:ascii="HelveticaNeue LT 55 Roman" w:hAnsi="HelveticaNeue LT 55 Roman"/>
          <w:sz w:val="22"/>
          <w:szCs w:val="22"/>
        </w:rPr>
      </w:pPr>
      <w:r w:rsidRPr="00514C8D">
        <w:rPr>
          <w:rStyle w:val="Textoennegrita"/>
          <w:rFonts w:ascii="HelveticaNeue LT 55 Roman" w:hAnsi="HelveticaNeue LT 55 Roman"/>
          <w:sz w:val="22"/>
          <w:szCs w:val="22"/>
        </w:rPr>
        <w:t>Del récord de tabaquismo a un país sin humo</w:t>
      </w:r>
    </w:p>
    <w:p w14:paraId="1BAF2222" w14:textId="352A80F6" w:rsidR="002276A4" w:rsidRPr="00514C8D" w:rsidRDefault="002276A4" w:rsidP="002276A4">
      <w:pPr>
        <w:pStyle w:val="NormalWeb"/>
        <w:jc w:val="both"/>
        <w:rPr>
          <w:rFonts w:ascii="HelveticaNeue LT 55 Roman" w:hAnsi="HelveticaNeue LT 55 Roman"/>
          <w:sz w:val="22"/>
          <w:szCs w:val="22"/>
        </w:rPr>
      </w:pPr>
      <w:r w:rsidRPr="00514C8D">
        <w:rPr>
          <w:rFonts w:ascii="HelveticaNeue LT 55 Roman" w:hAnsi="HelveticaNeue LT 55 Roman"/>
          <w:sz w:val="22"/>
          <w:szCs w:val="22"/>
        </w:rPr>
        <w:t xml:space="preserve">En 1985, España era el país de Europa donde más se fumaba. En 2006 entró en vigor la ley que permitía elegir a los locales entre ser espacios para fumadores o no: la gran mayoría, un 95%, permitió el tabaco. A partir del 2 de enero de 2011 fumar se vetó en todos los locales de ocio: la anterior imagen nublada que ofrecían restaurantes, bares y discotecas desapareció y España dio ahí otro salto cualitativo en sus costumbres. De un país permisivo, España adoptó una de las leyes más restrictivas, con permiso de Estados Unidos. </w:t>
      </w:r>
      <w:r w:rsidRPr="0091373D">
        <w:rPr>
          <w:rFonts w:ascii="HelveticaNeue LT 55 Roman" w:hAnsi="HelveticaNeue LT 55 Roman"/>
          <w:sz w:val="22"/>
          <w:szCs w:val="22"/>
        </w:rPr>
        <w:t>Un último informe</w:t>
      </w:r>
      <w:r w:rsidRPr="00514C8D">
        <w:rPr>
          <w:rFonts w:ascii="HelveticaNeue LT 55 Roman" w:hAnsi="HelveticaNeue LT 55 Roman"/>
          <w:sz w:val="22"/>
          <w:szCs w:val="22"/>
        </w:rPr>
        <w:t xml:space="preserve"> indica que en 2012 el consumo de cigarrillos mata a 60.500 personas cada año. En 1998, el 36% de los mayores de 16 años fumaba a diario. En 2012, último año con datos, la cifra se reducía a un 24% de fumadores. Sin embargo, en 1998 se estimaron </w:t>
      </w:r>
      <w:r w:rsidRPr="0091373D">
        <w:rPr>
          <w:rFonts w:ascii="HelveticaNeue LT 55 Roman" w:hAnsi="HelveticaNeue LT 55 Roman"/>
          <w:sz w:val="22"/>
          <w:szCs w:val="22"/>
        </w:rPr>
        <w:t>unas 55.600 muertes</w:t>
      </w:r>
      <w:r w:rsidRPr="00514C8D">
        <w:rPr>
          <w:rFonts w:ascii="HelveticaNeue LT 55 Roman" w:hAnsi="HelveticaNeue LT 55 Roman"/>
          <w:sz w:val="22"/>
          <w:szCs w:val="22"/>
        </w:rPr>
        <w:t xml:space="preserve"> por el tabaquismo en España, unas 5.000 menos que ahora.</w:t>
      </w:r>
    </w:p>
    <w:p w14:paraId="28BD338A" w14:textId="77777777" w:rsidR="002276A4" w:rsidRPr="00514C8D" w:rsidRDefault="002276A4" w:rsidP="002276A4">
      <w:pPr>
        <w:pStyle w:val="NormalWeb"/>
        <w:jc w:val="both"/>
        <w:rPr>
          <w:rFonts w:ascii="HelveticaNeue LT 55 Roman" w:hAnsi="HelveticaNeue LT 55 Roman"/>
          <w:sz w:val="22"/>
          <w:szCs w:val="22"/>
        </w:rPr>
      </w:pPr>
      <w:r w:rsidRPr="00514C8D">
        <w:rPr>
          <w:rStyle w:val="Textoennegrita"/>
          <w:rFonts w:ascii="HelveticaNeue LT 55 Roman" w:hAnsi="HelveticaNeue LT 55 Roman"/>
          <w:sz w:val="22"/>
          <w:szCs w:val="22"/>
        </w:rPr>
        <w:t>Una selección con base española</w:t>
      </w:r>
    </w:p>
    <w:p w14:paraId="7D6F1004" w14:textId="50C1706E" w:rsidR="002276A4" w:rsidRPr="00514C8D" w:rsidRDefault="002276A4" w:rsidP="002276A4">
      <w:pPr>
        <w:pStyle w:val="NormalWeb"/>
        <w:jc w:val="both"/>
        <w:rPr>
          <w:rFonts w:ascii="HelveticaNeue LT 55 Roman" w:hAnsi="HelveticaNeue LT 55 Roman"/>
          <w:sz w:val="22"/>
          <w:szCs w:val="22"/>
        </w:rPr>
      </w:pPr>
      <w:r w:rsidRPr="00514C8D">
        <w:rPr>
          <w:rFonts w:ascii="HelveticaNeue LT 55 Roman" w:hAnsi="HelveticaNeue LT 55 Roman"/>
          <w:sz w:val="22"/>
          <w:szCs w:val="22"/>
        </w:rPr>
        <w:t xml:space="preserve">Por entonces, las selecciones de fútbol y baloncesto tan solo soñaban con llegar a una final. 1986 fue testigo de dos acontecimientos que marcaron las bases de los éxitos que llegarían más tarde con el cambio de siglo. En baloncesto, España fue anfitriona del Mundial, en la que quedó quinta (todavía estaba la URSS y no había tantos equipos europeos) tras la fiebre por este deporte que provocó la medalla de plata de los JJ OO de Los Ángeles. Para España supuso el reto de organizar una competición que ampliaba sus participantes a 24 equipos y las sedes a siete. Otro desafío fue acoger los Campeonatos </w:t>
      </w:r>
      <w:r w:rsidRPr="00514C8D">
        <w:rPr>
          <w:rFonts w:ascii="HelveticaNeue LT 55 Roman" w:hAnsi="HelveticaNeue LT 55 Roman"/>
          <w:sz w:val="22"/>
          <w:szCs w:val="22"/>
        </w:rPr>
        <w:lastRenderedPageBreak/>
        <w:t xml:space="preserve">del Mundo de natación. En fútbol, el Mundial tuvo lugar en México y allí España llegó hasta cuartos de final con una selección en la que los 30 convocados jugaban todos en clubes españoles. En la selección de 2015, y en la que desde 2008 acumula trofeos, hay jugadores que participan en las ligas de Inglaterra, Italia y Alemania. En fútbol también fue el año en que el Barcelona perdió su segunda final de la Copa de Europa, en Sevilla ante el </w:t>
      </w:r>
      <w:proofErr w:type="spellStart"/>
      <w:r w:rsidRPr="00514C8D">
        <w:rPr>
          <w:rFonts w:ascii="HelveticaNeue LT 55 Roman" w:hAnsi="HelveticaNeue LT 55 Roman"/>
          <w:sz w:val="22"/>
          <w:szCs w:val="22"/>
        </w:rPr>
        <w:t>Steaua</w:t>
      </w:r>
      <w:proofErr w:type="spellEnd"/>
      <w:r w:rsidRPr="00514C8D">
        <w:rPr>
          <w:rFonts w:ascii="HelveticaNeue LT 55 Roman" w:hAnsi="HelveticaNeue LT 55 Roman"/>
          <w:sz w:val="22"/>
          <w:szCs w:val="22"/>
        </w:rPr>
        <w:t xml:space="preserve"> de Bucarest (Rumania). En 2015 ya ha conseguido su quinta. El club sí que consiguió hace 30 años la </w:t>
      </w:r>
      <w:proofErr w:type="spellStart"/>
      <w:r w:rsidRPr="00514C8D">
        <w:rPr>
          <w:rFonts w:ascii="HelveticaNeue LT 55 Roman" w:hAnsi="HelveticaNeue LT 55 Roman"/>
          <w:sz w:val="22"/>
          <w:szCs w:val="22"/>
        </w:rPr>
        <w:t>Recopa</w:t>
      </w:r>
      <w:proofErr w:type="spellEnd"/>
      <w:r w:rsidRPr="00514C8D">
        <w:rPr>
          <w:rFonts w:ascii="HelveticaNeue LT 55 Roman" w:hAnsi="HelveticaNeue LT 55 Roman"/>
          <w:sz w:val="22"/>
          <w:szCs w:val="22"/>
        </w:rPr>
        <w:t xml:space="preserve"> de Europa de baloncesto y la de balonmano.</w:t>
      </w:r>
    </w:p>
    <w:p w14:paraId="28C67652" w14:textId="77777777" w:rsidR="002276A4" w:rsidRPr="00514C8D" w:rsidRDefault="002276A4" w:rsidP="002276A4">
      <w:pPr>
        <w:pStyle w:val="NormalWeb"/>
        <w:jc w:val="both"/>
        <w:rPr>
          <w:rFonts w:ascii="HelveticaNeue LT 55 Roman" w:hAnsi="HelveticaNeue LT 55 Roman"/>
          <w:sz w:val="22"/>
          <w:szCs w:val="22"/>
        </w:rPr>
      </w:pPr>
      <w:bookmarkStart w:id="4" w:name="sumario_5"/>
      <w:bookmarkEnd w:id="4"/>
      <w:r w:rsidRPr="00514C8D">
        <w:rPr>
          <w:rStyle w:val="Textoennegrita"/>
          <w:rFonts w:ascii="HelveticaNeue LT 55 Roman" w:hAnsi="HelveticaNeue LT 55 Roman"/>
          <w:sz w:val="22"/>
          <w:szCs w:val="22"/>
        </w:rPr>
        <w:t>Solo dos canales de televisión</w:t>
      </w:r>
    </w:p>
    <w:p w14:paraId="498E6032" w14:textId="0A7D971F" w:rsidR="00514C8D" w:rsidRPr="002E3CB0" w:rsidRDefault="002276A4" w:rsidP="002E3CB0">
      <w:pPr>
        <w:pStyle w:val="NormalWeb"/>
        <w:jc w:val="both"/>
        <w:rPr>
          <w:rStyle w:val="Hipervnculo"/>
          <w:rFonts w:ascii="HelveticaNeue LT 55 Roman" w:hAnsi="HelveticaNeue LT 55 Roman"/>
          <w:color w:val="auto"/>
          <w:sz w:val="22"/>
          <w:szCs w:val="22"/>
          <w:u w:val="none"/>
        </w:rPr>
      </w:pPr>
      <w:r w:rsidRPr="00514C8D">
        <w:rPr>
          <w:rFonts w:ascii="HelveticaNeue LT 55 Roman" w:hAnsi="HelveticaNeue LT 55 Roman"/>
          <w:sz w:val="22"/>
          <w:szCs w:val="22"/>
        </w:rPr>
        <w:t xml:space="preserve">En la televisión por entonces solo existían las dos cadenas de Televisión Española. Se estrenaron programas como </w:t>
      </w:r>
      <w:r w:rsidRPr="00514C8D">
        <w:rPr>
          <w:rStyle w:val="nfasis"/>
          <w:rFonts w:ascii="HelveticaNeue LT 55 Roman" w:hAnsi="HelveticaNeue LT 55 Roman"/>
          <w:sz w:val="22"/>
          <w:szCs w:val="22"/>
        </w:rPr>
        <w:t>A vista de pájaro</w:t>
      </w:r>
      <w:r w:rsidRPr="00514C8D">
        <w:rPr>
          <w:rFonts w:ascii="HelveticaNeue LT 55 Roman" w:hAnsi="HelveticaNeue LT 55 Roman"/>
          <w:sz w:val="22"/>
          <w:szCs w:val="22"/>
        </w:rPr>
        <w:t xml:space="preserve">, </w:t>
      </w:r>
      <w:r w:rsidRPr="00514C8D">
        <w:rPr>
          <w:rStyle w:val="nfasis"/>
          <w:rFonts w:ascii="HelveticaNeue LT 55 Roman" w:hAnsi="HelveticaNeue LT 55 Roman"/>
          <w:sz w:val="22"/>
          <w:szCs w:val="22"/>
        </w:rPr>
        <w:t>Buenos días</w:t>
      </w:r>
      <w:r w:rsidRPr="00514C8D">
        <w:rPr>
          <w:rFonts w:ascii="HelveticaNeue LT 55 Roman" w:hAnsi="HelveticaNeue LT 55 Roman"/>
          <w:sz w:val="22"/>
          <w:szCs w:val="22"/>
        </w:rPr>
        <w:t xml:space="preserve"> (con José Antonio Martínez Soler), </w:t>
      </w:r>
      <w:r w:rsidRPr="00514C8D">
        <w:rPr>
          <w:rStyle w:val="nfasis"/>
          <w:rFonts w:ascii="HelveticaNeue LT 55 Roman" w:hAnsi="HelveticaNeue LT 55 Roman"/>
          <w:sz w:val="22"/>
          <w:szCs w:val="22"/>
        </w:rPr>
        <w:t>Documentos TV</w:t>
      </w:r>
      <w:r w:rsidRPr="00514C8D">
        <w:rPr>
          <w:rFonts w:ascii="HelveticaNeue LT 55 Roman" w:hAnsi="HelveticaNeue LT 55 Roman"/>
          <w:sz w:val="22"/>
          <w:szCs w:val="22"/>
        </w:rPr>
        <w:t xml:space="preserve">, </w:t>
      </w:r>
      <w:r w:rsidRPr="00514C8D">
        <w:rPr>
          <w:rStyle w:val="nfasis"/>
          <w:rFonts w:ascii="HelveticaNeue LT 55 Roman" w:hAnsi="HelveticaNeue LT 55 Roman"/>
          <w:sz w:val="22"/>
          <w:szCs w:val="22"/>
        </w:rPr>
        <w:t>De jueves a jueves</w:t>
      </w:r>
      <w:r w:rsidRPr="00514C8D">
        <w:rPr>
          <w:rFonts w:ascii="HelveticaNeue LT 55 Roman" w:hAnsi="HelveticaNeue LT 55 Roman"/>
          <w:sz w:val="22"/>
          <w:szCs w:val="22"/>
        </w:rPr>
        <w:t xml:space="preserve"> (con Mercedes </w:t>
      </w:r>
      <w:proofErr w:type="spellStart"/>
      <w:r w:rsidRPr="00514C8D">
        <w:rPr>
          <w:rFonts w:ascii="HelveticaNeue LT 55 Roman" w:hAnsi="HelveticaNeue LT 55 Roman"/>
          <w:sz w:val="22"/>
          <w:szCs w:val="22"/>
        </w:rPr>
        <w:t>Milá</w:t>
      </w:r>
      <w:proofErr w:type="spellEnd"/>
      <w:r w:rsidRPr="00514C8D">
        <w:rPr>
          <w:rFonts w:ascii="HelveticaNeue LT 55 Roman" w:hAnsi="HelveticaNeue LT 55 Roman"/>
          <w:sz w:val="22"/>
          <w:szCs w:val="22"/>
        </w:rPr>
        <w:t xml:space="preserve">) o </w:t>
      </w:r>
      <w:r w:rsidRPr="00514C8D">
        <w:rPr>
          <w:rStyle w:val="nfasis"/>
          <w:rFonts w:ascii="HelveticaNeue LT 55 Roman" w:hAnsi="HelveticaNeue LT 55 Roman"/>
          <w:sz w:val="22"/>
          <w:szCs w:val="22"/>
        </w:rPr>
        <w:t>El domingo es nuestro</w:t>
      </w:r>
      <w:r w:rsidRPr="00514C8D">
        <w:rPr>
          <w:rFonts w:ascii="HelveticaNeue LT 55 Roman" w:hAnsi="HelveticaNeue LT 55 Roman"/>
          <w:sz w:val="22"/>
          <w:szCs w:val="22"/>
        </w:rPr>
        <w:t xml:space="preserve"> (con Natalia Millán). Hoy en día las dos cadenas de TVE están acompañadas por cuatro emisoras privadas, cadenas autonómicas y decenas de canales internacionales, muchos de ellos con su rama española correspondiente. En el cine, los espectadores que visitaron las salas en 1986 vieron películas españolas (producidas con anterioridad de entrar en la UE) como </w:t>
      </w:r>
      <w:r w:rsidRPr="00514C8D">
        <w:rPr>
          <w:rStyle w:val="nfasis"/>
          <w:rFonts w:ascii="HelveticaNeue LT 55 Roman" w:hAnsi="HelveticaNeue LT 55 Roman"/>
          <w:sz w:val="22"/>
          <w:szCs w:val="22"/>
        </w:rPr>
        <w:t>Mambrú se fue a la guerra</w:t>
      </w:r>
      <w:r w:rsidRPr="00514C8D">
        <w:rPr>
          <w:rFonts w:ascii="HelveticaNeue LT 55 Roman" w:hAnsi="HelveticaNeue LT 55 Roman"/>
          <w:sz w:val="22"/>
          <w:szCs w:val="22"/>
        </w:rPr>
        <w:t xml:space="preserve"> y </w:t>
      </w:r>
      <w:r w:rsidRPr="00514C8D">
        <w:rPr>
          <w:rStyle w:val="nfasis"/>
          <w:rFonts w:ascii="HelveticaNeue LT 55 Roman" w:hAnsi="HelveticaNeue LT 55 Roman"/>
          <w:sz w:val="22"/>
          <w:szCs w:val="22"/>
        </w:rPr>
        <w:t>El viaje a ninguna parte</w:t>
      </w:r>
      <w:r w:rsidRPr="00514C8D">
        <w:rPr>
          <w:rFonts w:ascii="HelveticaNeue LT 55 Roman" w:hAnsi="HelveticaNeue LT 55 Roman"/>
          <w:sz w:val="22"/>
          <w:szCs w:val="22"/>
        </w:rPr>
        <w:t xml:space="preserve">, ambas de Fernando Fernán Gómez, </w:t>
      </w:r>
      <w:r w:rsidRPr="00514C8D">
        <w:rPr>
          <w:rStyle w:val="nfasis"/>
          <w:rFonts w:ascii="HelveticaNeue LT 55 Roman" w:hAnsi="HelveticaNeue LT 55 Roman"/>
          <w:sz w:val="22"/>
          <w:szCs w:val="22"/>
        </w:rPr>
        <w:t>Tiempo de silencio</w:t>
      </w:r>
      <w:r w:rsidRPr="00514C8D">
        <w:rPr>
          <w:rFonts w:ascii="HelveticaNeue LT 55 Roman" w:hAnsi="HelveticaNeue LT 55 Roman"/>
          <w:sz w:val="22"/>
          <w:szCs w:val="22"/>
        </w:rPr>
        <w:t xml:space="preserve">, de Vicente Aranda, </w:t>
      </w:r>
      <w:r w:rsidRPr="00514C8D">
        <w:rPr>
          <w:rStyle w:val="nfasis"/>
          <w:rFonts w:ascii="HelveticaNeue LT 55 Roman" w:hAnsi="HelveticaNeue LT 55 Roman"/>
          <w:sz w:val="22"/>
          <w:szCs w:val="22"/>
        </w:rPr>
        <w:t>Los presuntos</w:t>
      </w:r>
      <w:r w:rsidRPr="00514C8D">
        <w:rPr>
          <w:rFonts w:ascii="HelveticaNeue LT 55 Roman" w:hAnsi="HelveticaNeue LT 55 Roman"/>
          <w:sz w:val="22"/>
          <w:szCs w:val="22"/>
        </w:rPr>
        <w:t xml:space="preserve">, de Mariano </w:t>
      </w:r>
      <w:proofErr w:type="spellStart"/>
      <w:r w:rsidRPr="00514C8D">
        <w:rPr>
          <w:rFonts w:ascii="HelveticaNeue LT 55 Roman" w:hAnsi="HelveticaNeue LT 55 Roman"/>
          <w:sz w:val="22"/>
          <w:szCs w:val="22"/>
        </w:rPr>
        <w:t>Ozores</w:t>
      </w:r>
      <w:proofErr w:type="spellEnd"/>
      <w:r w:rsidRPr="00514C8D">
        <w:rPr>
          <w:rFonts w:ascii="HelveticaNeue LT 55 Roman" w:hAnsi="HelveticaNeue LT 55 Roman"/>
          <w:sz w:val="22"/>
          <w:szCs w:val="22"/>
        </w:rPr>
        <w:t xml:space="preserve">, </w:t>
      </w:r>
      <w:r w:rsidRPr="00514C8D">
        <w:rPr>
          <w:rStyle w:val="nfasis"/>
          <w:rFonts w:ascii="HelveticaNeue LT 55 Roman" w:hAnsi="HelveticaNeue LT 55 Roman"/>
          <w:sz w:val="22"/>
          <w:szCs w:val="22"/>
        </w:rPr>
        <w:t>Matador</w:t>
      </w:r>
      <w:r w:rsidRPr="00514C8D">
        <w:rPr>
          <w:rFonts w:ascii="HelveticaNeue LT 55 Roman" w:hAnsi="HelveticaNeue LT 55 Roman"/>
          <w:sz w:val="22"/>
          <w:szCs w:val="22"/>
        </w:rPr>
        <w:t xml:space="preserve">, de Pedro Almodóvar (la gran triunfadora en taquilla ese año), </w:t>
      </w:r>
      <w:r w:rsidRPr="00514C8D">
        <w:rPr>
          <w:rStyle w:val="nfasis"/>
          <w:rFonts w:ascii="HelveticaNeue LT 55 Roman" w:hAnsi="HelveticaNeue LT 55 Roman"/>
          <w:sz w:val="22"/>
          <w:szCs w:val="22"/>
        </w:rPr>
        <w:t>El año de las luces</w:t>
      </w:r>
      <w:r w:rsidRPr="00514C8D">
        <w:rPr>
          <w:rFonts w:ascii="HelveticaNeue LT 55 Roman" w:hAnsi="HelveticaNeue LT 55 Roman"/>
          <w:sz w:val="22"/>
          <w:szCs w:val="22"/>
        </w:rPr>
        <w:t xml:space="preserve">, de Fernando Trueba o </w:t>
      </w:r>
      <w:r w:rsidRPr="00514C8D">
        <w:rPr>
          <w:rStyle w:val="nfasis"/>
          <w:rFonts w:ascii="HelveticaNeue LT 55 Roman" w:hAnsi="HelveticaNeue LT 55 Roman"/>
          <w:sz w:val="22"/>
          <w:szCs w:val="22"/>
        </w:rPr>
        <w:t>El amor brujo</w:t>
      </w:r>
      <w:r w:rsidRPr="00514C8D">
        <w:rPr>
          <w:rFonts w:ascii="HelveticaNeue LT 55 Roman" w:hAnsi="HelveticaNeue LT 55 Roman"/>
          <w:sz w:val="22"/>
          <w:szCs w:val="22"/>
        </w:rPr>
        <w:t xml:space="preserve">, de Carlos Saura. Los tres últimos siguen estrenando películas 30 años después, junto a nuevos nombres como Fernando Franco, Mar </w:t>
      </w:r>
      <w:proofErr w:type="spellStart"/>
      <w:r w:rsidRPr="00514C8D">
        <w:rPr>
          <w:rFonts w:ascii="HelveticaNeue LT 55 Roman" w:hAnsi="HelveticaNeue LT 55 Roman"/>
          <w:sz w:val="22"/>
          <w:szCs w:val="22"/>
        </w:rPr>
        <w:t>Coll</w:t>
      </w:r>
      <w:proofErr w:type="spellEnd"/>
      <w:r w:rsidRPr="00514C8D">
        <w:rPr>
          <w:rFonts w:ascii="HelveticaNeue LT 55 Roman" w:hAnsi="HelveticaNeue LT 55 Roman"/>
          <w:sz w:val="22"/>
          <w:szCs w:val="22"/>
        </w:rPr>
        <w:t xml:space="preserve"> o Kike Maíllo.</w:t>
      </w:r>
    </w:p>
    <w:p w14:paraId="760D2917" w14:textId="77777777" w:rsidR="00514C8D" w:rsidRDefault="00514C8D" w:rsidP="00514C8D">
      <w:pPr>
        <w:rPr>
          <w:rFonts w:ascii="HelveticaNeue LT 55 Roman" w:hAnsi="HelveticaNeue LT 55 Roman" w:cs="Arial"/>
          <w:sz w:val="22"/>
          <w:szCs w:val="22"/>
          <w:lang w:val="es-ES"/>
        </w:rPr>
      </w:pPr>
    </w:p>
    <w:p w14:paraId="045474D1" w14:textId="77777777" w:rsidR="00514C8D" w:rsidRDefault="00514C8D" w:rsidP="00514C8D">
      <w:pPr>
        <w:rPr>
          <w:rFonts w:ascii="HelveticaNeue LT 55 Roman" w:hAnsi="HelveticaNeue LT 55 Roman" w:cs="Arial"/>
          <w:sz w:val="22"/>
          <w:szCs w:val="22"/>
          <w:lang w:val="es-ES"/>
        </w:rPr>
      </w:pPr>
    </w:p>
    <w:p w14:paraId="37121C11" w14:textId="77777777" w:rsidR="00514C8D" w:rsidRDefault="00514C8D" w:rsidP="00514C8D">
      <w:pPr>
        <w:rPr>
          <w:rFonts w:ascii="HelveticaNeue LT 55 Roman" w:hAnsi="HelveticaNeue LT 55 Roman" w:cs="Arial"/>
          <w:sz w:val="22"/>
          <w:szCs w:val="22"/>
          <w:lang w:val="es-ES"/>
        </w:rPr>
      </w:pPr>
    </w:p>
    <w:p w14:paraId="4CCB7D1C" w14:textId="77777777" w:rsidR="00514C8D" w:rsidRDefault="00514C8D" w:rsidP="00514C8D">
      <w:pPr>
        <w:rPr>
          <w:rFonts w:ascii="HelveticaNeue LT 55 Roman" w:hAnsi="HelveticaNeue LT 55 Roman" w:cs="Arial"/>
          <w:sz w:val="22"/>
          <w:szCs w:val="22"/>
          <w:lang w:val="es-ES"/>
        </w:rPr>
      </w:pPr>
    </w:p>
    <w:p w14:paraId="358B7935" w14:textId="77777777" w:rsidR="00514C8D" w:rsidRDefault="00514C8D" w:rsidP="00514C8D">
      <w:pPr>
        <w:rPr>
          <w:rFonts w:ascii="HelveticaNeue LT 55 Roman" w:hAnsi="HelveticaNeue LT 55 Roman" w:cs="Arial"/>
          <w:sz w:val="22"/>
          <w:szCs w:val="22"/>
          <w:lang w:val="es-ES"/>
        </w:rPr>
      </w:pPr>
    </w:p>
    <w:p w14:paraId="42B5BE85" w14:textId="77777777" w:rsidR="00514C8D" w:rsidRDefault="00514C8D" w:rsidP="00514C8D">
      <w:pPr>
        <w:rPr>
          <w:rFonts w:ascii="HelveticaNeue LT 55 Roman" w:hAnsi="HelveticaNeue LT 55 Roman" w:cs="Arial"/>
          <w:sz w:val="22"/>
          <w:szCs w:val="22"/>
          <w:lang w:val="es-ES"/>
        </w:rPr>
      </w:pPr>
    </w:p>
    <w:p w14:paraId="515ACD1B" w14:textId="77777777" w:rsidR="00514C8D" w:rsidRDefault="00514C8D" w:rsidP="00514C8D">
      <w:pPr>
        <w:rPr>
          <w:rFonts w:ascii="HelveticaNeue LT 55 Roman" w:hAnsi="HelveticaNeue LT 55 Roman" w:cs="Arial"/>
          <w:sz w:val="22"/>
          <w:szCs w:val="22"/>
          <w:lang w:val="es-ES"/>
        </w:rPr>
      </w:pPr>
    </w:p>
    <w:p w14:paraId="237B6804" w14:textId="77777777" w:rsidR="00514C8D" w:rsidRDefault="00514C8D" w:rsidP="00514C8D">
      <w:pPr>
        <w:rPr>
          <w:rFonts w:ascii="HelveticaNeue LT 55 Roman" w:hAnsi="HelveticaNeue LT 55 Roman" w:cs="Arial"/>
          <w:sz w:val="22"/>
          <w:szCs w:val="22"/>
          <w:lang w:val="es-ES"/>
        </w:rPr>
      </w:pPr>
    </w:p>
    <w:p w14:paraId="505227CF" w14:textId="77777777" w:rsidR="00514C8D" w:rsidRDefault="00514C8D" w:rsidP="00514C8D">
      <w:pPr>
        <w:rPr>
          <w:rFonts w:ascii="HelveticaNeue LT 55 Roman" w:hAnsi="HelveticaNeue LT 55 Roman" w:cs="Arial"/>
          <w:sz w:val="22"/>
          <w:szCs w:val="22"/>
          <w:lang w:val="es-ES"/>
        </w:rPr>
      </w:pPr>
    </w:p>
    <w:p w14:paraId="7ACE1F8A" w14:textId="77777777" w:rsidR="00514C8D" w:rsidRDefault="00514C8D" w:rsidP="00514C8D">
      <w:pPr>
        <w:rPr>
          <w:rFonts w:ascii="HelveticaNeue LT 55 Roman" w:hAnsi="HelveticaNeue LT 55 Roman" w:cs="Arial"/>
          <w:sz w:val="22"/>
          <w:szCs w:val="22"/>
          <w:lang w:val="es-ES"/>
        </w:rPr>
      </w:pPr>
    </w:p>
    <w:p w14:paraId="509CEE30" w14:textId="77777777" w:rsidR="00514C8D" w:rsidRDefault="00514C8D" w:rsidP="00514C8D">
      <w:pPr>
        <w:rPr>
          <w:rFonts w:ascii="HelveticaNeue LT 55 Roman" w:hAnsi="HelveticaNeue LT 55 Roman" w:cs="Arial"/>
          <w:sz w:val="22"/>
          <w:szCs w:val="22"/>
          <w:lang w:val="es-ES"/>
        </w:rPr>
      </w:pPr>
    </w:p>
    <w:p w14:paraId="2F6A876C" w14:textId="77777777" w:rsidR="00514C8D" w:rsidRDefault="00514C8D" w:rsidP="00514C8D">
      <w:pPr>
        <w:rPr>
          <w:rFonts w:ascii="HelveticaNeue LT 55 Roman" w:hAnsi="HelveticaNeue LT 55 Roman" w:cs="Arial"/>
          <w:sz w:val="22"/>
          <w:szCs w:val="22"/>
          <w:lang w:val="es-ES"/>
        </w:rPr>
      </w:pPr>
    </w:p>
    <w:p w14:paraId="24DA07DD" w14:textId="77777777" w:rsidR="00514C8D" w:rsidRDefault="00514C8D" w:rsidP="00514C8D">
      <w:pPr>
        <w:rPr>
          <w:rFonts w:ascii="HelveticaNeue LT 55 Roman" w:hAnsi="HelveticaNeue LT 55 Roman" w:cs="Arial"/>
          <w:sz w:val="22"/>
          <w:szCs w:val="22"/>
          <w:lang w:val="es-ES"/>
        </w:rPr>
      </w:pPr>
    </w:p>
    <w:p w14:paraId="5B6C63A7" w14:textId="77777777" w:rsidR="00514C8D" w:rsidRDefault="00514C8D" w:rsidP="00514C8D">
      <w:pPr>
        <w:rPr>
          <w:rFonts w:ascii="HelveticaNeue LT 55 Roman" w:hAnsi="HelveticaNeue LT 55 Roman" w:cs="Arial"/>
          <w:sz w:val="22"/>
          <w:szCs w:val="22"/>
          <w:lang w:val="es-ES"/>
        </w:rPr>
      </w:pPr>
    </w:p>
    <w:p w14:paraId="6837EA9D" w14:textId="77777777" w:rsidR="00514C8D" w:rsidRDefault="00514C8D" w:rsidP="00514C8D">
      <w:pPr>
        <w:rPr>
          <w:rFonts w:ascii="HelveticaNeue LT 55 Roman" w:hAnsi="HelveticaNeue LT 55 Roman" w:cs="Arial"/>
          <w:sz w:val="22"/>
          <w:szCs w:val="22"/>
          <w:lang w:val="es-ES"/>
        </w:rPr>
      </w:pPr>
    </w:p>
    <w:p w14:paraId="443066EC" w14:textId="77777777" w:rsidR="00514C8D" w:rsidRDefault="00514C8D" w:rsidP="00514C8D">
      <w:pPr>
        <w:rPr>
          <w:rFonts w:ascii="HelveticaNeue LT 55 Roman" w:hAnsi="HelveticaNeue LT 55 Roman" w:cs="Arial"/>
          <w:sz w:val="22"/>
          <w:szCs w:val="22"/>
          <w:lang w:val="es-ES"/>
        </w:rPr>
      </w:pPr>
    </w:p>
    <w:p w14:paraId="0FE93611" w14:textId="77777777" w:rsidR="00514C8D" w:rsidRDefault="00514C8D" w:rsidP="00514C8D">
      <w:pPr>
        <w:rPr>
          <w:rFonts w:ascii="HelveticaNeue LT 55 Roman" w:hAnsi="HelveticaNeue LT 55 Roman" w:cs="Arial"/>
          <w:sz w:val="22"/>
          <w:szCs w:val="22"/>
          <w:lang w:val="es-ES"/>
        </w:rPr>
      </w:pPr>
    </w:p>
    <w:p w14:paraId="00CBE4D9" w14:textId="77777777" w:rsidR="00514C8D" w:rsidRDefault="00514C8D" w:rsidP="00514C8D">
      <w:pPr>
        <w:rPr>
          <w:rFonts w:ascii="HelveticaNeue LT 55 Roman" w:hAnsi="HelveticaNeue LT 55 Roman" w:cs="Arial"/>
          <w:sz w:val="22"/>
          <w:szCs w:val="22"/>
          <w:lang w:val="es-ES"/>
        </w:rPr>
      </w:pPr>
    </w:p>
    <w:p w14:paraId="3AA23628" w14:textId="77777777" w:rsidR="0091373D" w:rsidRDefault="0091373D" w:rsidP="00514C8D">
      <w:pPr>
        <w:rPr>
          <w:rFonts w:ascii="HelveticaNeue LT 55 Roman" w:hAnsi="HelveticaNeue LT 55 Roman" w:cs="Arial"/>
          <w:sz w:val="22"/>
          <w:szCs w:val="22"/>
          <w:lang w:val="es-ES"/>
        </w:rPr>
      </w:pPr>
    </w:p>
    <w:p w14:paraId="7C047FBC" w14:textId="77777777" w:rsidR="0091373D" w:rsidRPr="00514C8D" w:rsidRDefault="0091373D" w:rsidP="00514C8D">
      <w:pPr>
        <w:rPr>
          <w:rFonts w:ascii="HelveticaNeue LT 55 Roman" w:hAnsi="HelveticaNeue LT 55 Roman" w:cs="Arial"/>
          <w:sz w:val="22"/>
          <w:szCs w:val="22"/>
          <w:lang w:val="es-ES"/>
        </w:rPr>
      </w:pPr>
    </w:p>
    <w:p w14:paraId="3E72714D" w14:textId="77777777" w:rsidR="002276A4" w:rsidRPr="00514C8D" w:rsidRDefault="002276A4" w:rsidP="002276A4">
      <w:pPr>
        <w:rPr>
          <w:rFonts w:ascii="HelveticaNeue LT 55 Roman" w:hAnsi="HelveticaNeue LT 55 Roman" w:cs="Arial"/>
          <w:sz w:val="22"/>
          <w:szCs w:val="22"/>
        </w:rPr>
      </w:pPr>
      <w:bookmarkStart w:id="5" w:name="sumario_3"/>
      <w:bookmarkEnd w:id="5"/>
    </w:p>
    <w:p w14:paraId="5F50CCAC" w14:textId="77777777" w:rsidR="0091373D" w:rsidRDefault="0091373D" w:rsidP="00514C8D">
      <w:pPr>
        <w:jc w:val="center"/>
        <w:rPr>
          <w:rFonts w:ascii="HelveticaNeue LT 55 Roman" w:eastAsia="Times New Roman" w:hAnsi="HelveticaNeue LT 55 Roman"/>
          <w:b/>
          <w:szCs w:val="24"/>
          <w:lang w:val="es-ES"/>
        </w:rPr>
      </w:pPr>
    </w:p>
    <w:p w14:paraId="2454C114" w14:textId="77777777" w:rsidR="00386E49" w:rsidRDefault="00386E49" w:rsidP="00514C8D">
      <w:pPr>
        <w:jc w:val="center"/>
        <w:rPr>
          <w:rFonts w:ascii="HelveticaNeue LT 55 Roman" w:eastAsia="Times New Roman" w:hAnsi="HelveticaNeue LT 55 Roman"/>
          <w:b/>
          <w:sz w:val="28"/>
          <w:szCs w:val="28"/>
          <w:u w:val="single"/>
          <w:lang w:val="es-ES"/>
        </w:rPr>
      </w:pPr>
    </w:p>
    <w:p w14:paraId="44B20D10" w14:textId="53A53C04" w:rsidR="0078129D" w:rsidRPr="0091373D" w:rsidRDefault="0078129D" w:rsidP="00514C8D">
      <w:pPr>
        <w:jc w:val="center"/>
        <w:rPr>
          <w:rFonts w:ascii="HelveticaNeue LT 55 Roman" w:eastAsia="Times New Roman" w:hAnsi="HelveticaNeue LT 55 Roman"/>
          <w:b/>
          <w:sz w:val="28"/>
          <w:szCs w:val="28"/>
          <w:u w:val="single"/>
          <w:lang w:val="es-ES"/>
        </w:rPr>
      </w:pPr>
      <w:r w:rsidRPr="0091373D">
        <w:rPr>
          <w:rFonts w:ascii="HelveticaNeue LT 55 Roman" w:eastAsia="Times New Roman" w:hAnsi="HelveticaNeue LT 55 Roman"/>
          <w:b/>
          <w:sz w:val="28"/>
          <w:szCs w:val="28"/>
          <w:u w:val="single"/>
          <w:lang w:val="es-ES"/>
        </w:rPr>
        <w:lastRenderedPageBreak/>
        <w:t>POLÍTICAS COMUNES DE LA UE</w:t>
      </w:r>
      <w:r w:rsidR="0091373D" w:rsidRPr="0091373D">
        <w:rPr>
          <w:rFonts w:ascii="HelveticaNeue LT 55 Roman" w:eastAsia="Times New Roman" w:hAnsi="HelveticaNeue LT 55 Roman"/>
          <w:b/>
          <w:sz w:val="28"/>
          <w:szCs w:val="28"/>
          <w:u w:val="single"/>
          <w:lang w:val="es-ES"/>
        </w:rPr>
        <w:t xml:space="preserve"> (MAEC)</w:t>
      </w:r>
      <w:r w:rsidRPr="0091373D">
        <w:rPr>
          <w:rFonts w:ascii="HelveticaNeue LT 55 Roman" w:eastAsia="Times New Roman" w:hAnsi="HelveticaNeue LT 55 Roman"/>
          <w:b/>
          <w:sz w:val="28"/>
          <w:szCs w:val="28"/>
          <w:u w:val="single"/>
          <w:lang w:val="es-ES"/>
        </w:rPr>
        <w:t>:</w:t>
      </w:r>
    </w:p>
    <w:p w14:paraId="04FC54E0" w14:textId="77777777" w:rsidR="0091373D" w:rsidRPr="00514C8D" w:rsidRDefault="0091373D" w:rsidP="00514C8D">
      <w:pPr>
        <w:jc w:val="center"/>
        <w:rPr>
          <w:rFonts w:ascii="HelveticaNeue LT 55 Roman" w:eastAsia="Times New Roman" w:hAnsi="HelveticaNeue LT 55 Roman"/>
          <w:b/>
          <w:szCs w:val="24"/>
          <w:lang w:val="es-ES"/>
        </w:rPr>
      </w:pPr>
    </w:p>
    <w:p w14:paraId="49BC8CD9" w14:textId="77777777" w:rsidR="0078129D" w:rsidRPr="00514C8D" w:rsidRDefault="0078129D" w:rsidP="00514C8D">
      <w:pPr>
        <w:jc w:val="both"/>
        <w:rPr>
          <w:rFonts w:ascii="HelveticaNeue LT 55 Roman" w:eastAsia="Times New Roman" w:hAnsi="HelveticaNeue LT 55 Roman"/>
          <w:sz w:val="22"/>
          <w:szCs w:val="22"/>
          <w:lang w:val="es-ES"/>
        </w:rPr>
      </w:pPr>
    </w:p>
    <w:p w14:paraId="61743E1E" w14:textId="77777777" w:rsidR="0078129D" w:rsidRPr="00514C8D" w:rsidRDefault="0078129D" w:rsidP="00514C8D">
      <w:pPr>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A lo largo de los años, la Unión ha puesto en marcha una serie de políticas para desarrollar el mercado único. Estas políticas constituyen líneas de actuación que la Unión decide seguir en determinados ámbitos, que afectan directamente a la vida de los ciudadanos y de las empresas con las que se pretende lograr los objetivos generales que se ha fijado la Unión. Agricultura, pesca, medio ambiente, sanidad, derechos de los consumidores, transporte, turismo, energía, industria, investigación, empleo, cultura, educación, deporte, entre otros, son ámbitos en los que la Unión tiene mucho que decir.</w:t>
      </w:r>
    </w:p>
    <w:p w14:paraId="437FE435" w14:textId="77777777" w:rsidR="0078129D" w:rsidRPr="00514C8D" w:rsidRDefault="0078129D" w:rsidP="0078129D">
      <w:pPr>
        <w:pStyle w:val="Prrafodelista"/>
        <w:numPr>
          <w:ilvl w:val="0"/>
          <w:numId w:val="2"/>
        </w:numPr>
        <w:spacing w:before="100" w:beforeAutospacing="1" w:after="100" w:afterAutospacing="1"/>
        <w:rPr>
          <w:rFonts w:ascii="HelveticaNeue LT 55 Roman" w:eastAsia="Times New Roman" w:hAnsi="HelveticaNeue LT 55 Roman"/>
          <w:b/>
          <w:sz w:val="22"/>
          <w:szCs w:val="22"/>
          <w:lang w:val="es-ES"/>
        </w:rPr>
      </w:pPr>
      <w:r w:rsidRPr="00514C8D">
        <w:rPr>
          <w:rFonts w:ascii="HelveticaNeue LT 55 Roman" w:eastAsia="Times New Roman" w:hAnsi="HelveticaNeue LT 55 Roman"/>
          <w:b/>
          <w:sz w:val="22"/>
          <w:szCs w:val="22"/>
          <w:lang w:val="es-ES"/>
        </w:rPr>
        <w:t>Mercado Interior</w:t>
      </w:r>
    </w:p>
    <w:p w14:paraId="1C62A0E5"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Definido como “un espacio sin fronteras interiores en el que la libre circulación de mercancías, personas, servicios y capitales está garantizada”, el Mercado Interior aparece recogido en el artículo 3.3 del Tratado de la UE como uno de los objetivos que tiene que alcanzar la Unión.</w:t>
      </w:r>
    </w:p>
    <w:p w14:paraId="0EC32A4A"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El Mercado Interior ha contribuido considerablemente a la prosperidad e integración de la economía europea. Ha aumentado los intercambios comerciales dentro de la UE en un 15 % anual durante diez años; ha impulsado la productividad y reducido los costes mediante la supresión de las formalidades aduaneras, la armonización o el reconocimiento mutuo de las normas técnicas. Ha generado un crecimiento adicional de un 1,8 % en los últimos diez años y ha creado unos 2,5 millones de puestos de trabajo, al tiempo que ha acercado los niveles de ingresos de los distintos Estados miembros.</w:t>
      </w:r>
    </w:p>
    <w:p w14:paraId="291714ED" w14:textId="77777777" w:rsid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Aunque construir un mercado interior exige un esfuerzo constante, avanzar en el mercado único ofrece ventajas significativas para los consumidores y las empresas de la UE y supone un aumento anual de 235.000 millones de euros para el Producto Interior Bruto de la Europa de los 28. Las Instituciones europeas han reactivado el debate sobre el mercado interior mediante la Estrategia Europa 2020, que actualmente está sometida a un proceso de revisión intermedia, en el marco de la cual, la Comisión presentará antes de finales de 2015 una Estrategia del Mercado Interior de Bienes y Servicios. </w:t>
      </w:r>
    </w:p>
    <w:p w14:paraId="703A1C17" w14:textId="609626D4" w:rsidR="0078129D" w:rsidRPr="00514C8D" w:rsidRDefault="0078129D" w:rsidP="00514C8D">
      <w:pPr>
        <w:spacing w:before="100" w:beforeAutospacing="1" w:after="100" w:afterAutospacing="1"/>
        <w:ind w:left="708"/>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b/>
          <w:sz w:val="22"/>
          <w:szCs w:val="22"/>
          <w:lang w:val="es-ES"/>
        </w:rPr>
        <w:t>2) Empleo y Política Social</w:t>
      </w:r>
    </w:p>
    <w:p w14:paraId="00549BF1"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Unión Europea desempeña un importante papel en el terreno social, contribuyendo a mejorar las condiciones de vida y de trabajo de los ciudadanos europeos. Promueve la cooperación entre los Estados miembros, la coordinación y la aproximación de las políticas nacionales, así como la participación de las autoridades locales, los sindicatos y las organizaciones patronales.</w:t>
      </w:r>
    </w:p>
    <w:p w14:paraId="7B5C74A5" w14:textId="77777777" w:rsid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Los objetivos de la política social son: la promoción del empleo, en particular el empleo juvenil, la mejora de las condiciones de trabajo, la movilidad de los trabajadores, la lucha </w:t>
      </w:r>
      <w:r w:rsidRPr="00514C8D">
        <w:rPr>
          <w:rFonts w:ascii="HelveticaNeue LT 55 Roman" w:eastAsia="Times New Roman" w:hAnsi="HelveticaNeue LT 55 Roman"/>
          <w:sz w:val="22"/>
          <w:szCs w:val="22"/>
          <w:lang w:val="es-ES"/>
        </w:rPr>
        <w:lastRenderedPageBreak/>
        <w:t>contra la pobreza y la exclusión social, la igualdad entre hombres y mujeres y la modernización de los sistemas de protección social.</w:t>
      </w:r>
    </w:p>
    <w:p w14:paraId="48EF0A26" w14:textId="478DC8B5" w:rsidR="0078129D" w:rsidRPr="00514C8D" w:rsidRDefault="00514C8D" w:rsidP="00514C8D">
      <w:pPr>
        <w:spacing w:before="100" w:beforeAutospacing="1" w:after="100" w:afterAutospacing="1"/>
        <w:jc w:val="both"/>
        <w:rPr>
          <w:rFonts w:ascii="HelveticaNeue LT 55 Roman" w:eastAsia="Times New Roman" w:hAnsi="HelveticaNeue LT 55 Roman"/>
          <w:b/>
          <w:sz w:val="22"/>
          <w:szCs w:val="22"/>
          <w:lang w:val="es-ES"/>
        </w:rPr>
      </w:pPr>
      <w:r>
        <w:rPr>
          <w:rFonts w:ascii="HelveticaNeue LT 55 Roman" w:eastAsia="Times New Roman" w:hAnsi="HelveticaNeue LT 55 Roman"/>
          <w:sz w:val="22"/>
          <w:szCs w:val="22"/>
          <w:lang w:val="es-ES"/>
        </w:rPr>
        <w:br/>
      </w:r>
      <w:r w:rsidR="0078129D" w:rsidRPr="00514C8D">
        <w:rPr>
          <w:rFonts w:ascii="HelveticaNeue LT 55 Roman" w:eastAsia="Times New Roman" w:hAnsi="HelveticaNeue LT 55 Roman"/>
          <w:b/>
          <w:sz w:val="22"/>
          <w:szCs w:val="22"/>
          <w:lang w:val="es-ES"/>
        </w:rPr>
        <w:t>3) Cohesión Económica, Social y Territorial</w:t>
      </w:r>
    </w:p>
    <w:p w14:paraId="156523FB"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A fin de promover un desarrollo armonioso general, la Unión Europea busca reducir las disparidades entre los niveles de desarrollo de sus distintas regiones. Se presta especial atención a las zonas rurales, a las zonas afectadas por una transición industrial y a las regiones que padecen desventajas naturales o demográficas graves y permanentes como, por ejemplo, las regiones más septentrionales con escasa densidad de población y las regiones insulares, transfronterizas y de montaña.</w:t>
      </w:r>
    </w:p>
    <w:p w14:paraId="642223AE"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De esta manera, la cohesión económica, social y territorial constituye una expresión de la solidaridad entre los Estados miembros y regiones de la Unión Europea. Favorece el desarrollo equilibrado del territorio comunitario, la reducción de las diferencias estructurales entre las regiones de la Unión y la verdadera igualdad de oportunidades entre las personas.</w:t>
      </w:r>
    </w:p>
    <w:p w14:paraId="0CBFBFB4"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Se materializa a través de diversas intervenciones financieras, en particular, los Fondos Estructurales. Entre ellos, destaca el Fondo Europeo de Desarrollo Regional (FEDER) que tiene como objetivo fortalecer la cohesión socioeconómica dentro de la Unión Europea corrigiendo los desequilibrios entre sus regiones. Centra sus inversiones en varias áreas prioritarias clave, que son la innovación e investigación, la agenda digital, el apoyo a las pymes, y a la economía de bajas emisiones de carbono.</w:t>
      </w:r>
    </w:p>
    <w:p w14:paraId="332A08AD"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Desde 1988, la política de cohesión de la Unión ha visto aumentar su presupuesto y se ha convertido, junto a la política agrícola común, en una de las políticas de la Unión más significativas desde el punto de vista cuantitativo. Según el Marco Financiero Plurianual (2014-2020) se destinarán 351.800 millones de euros a la política de cohesión que posibilite la consecución de los objetivos de Europa 2020, esto es, un crecimiento inteligente, sostenible e integrador.</w:t>
      </w:r>
    </w:p>
    <w:p w14:paraId="0DC77644" w14:textId="3C3A5C0A" w:rsid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España ha sido, en términos absolutos, el mayor beneficiario de la Política de Cohesión desde su adhesión. En 2020, España habrá recibido de la UE casi 190.000 millones de euros desde 1989. Según el Marco Financiero Plurianual (2014-2020), a España le corresponden 28.600 millones de euros.</w:t>
      </w:r>
    </w:p>
    <w:p w14:paraId="6E9B95BC" w14:textId="6FC2586E"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b/>
          <w:sz w:val="22"/>
          <w:szCs w:val="22"/>
          <w:lang w:val="es-ES"/>
        </w:rPr>
        <w:t>4) Agricultura</w:t>
      </w:r>
    </w:p>
    <w:p w14:paraId="61CC32AC"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agricultura ha estado siempre en el centro de las políticas de la Unión Europea desde el inicio del proyecto europeo, siendo una de las primeras políticas que se incluyeron en el Tratado de Roma de 1957.</w:t>
      </w:r>
    </w:p>
    <w:p w14:paraId="71C0E78B"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Los principales objetivos de la Política Agrícola Común (PAC) son mejorar la productividad agrícola, de forma que los consumidores dispongan de un suministro estable de alimentos </w:t>
      </w:r>
      <w:r w:rsidRPr="00514C8D">
        <w:rPr>
          <w:rFonts w:ascii="HelveticaNeue LT 55 Roman" w:eastAsia="Times New Roman" w:hAnsi="HelveticaNeue LT 55 Roman"/>
          <w:sz w:val="22"/>
          <w:szCs w:val="22"/>
          <w:lang w:val="es-ES"/>
        </w:rPr>
        <w:lastRenderedPageBreak/>
        <w:t>a precios asequibles, y garantizar a los agricultores de la UE un nivel de vida razonable. La PAC tiene tres dimensiones: apoyo a la renta, desarrollo rural y apoyo al mercado.</w:t>
      </w:r>
    </w:p>
    <w:p w14:paraId="107FB164"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agricultura se financia principalmente por el presupuesto de la UE en lugar de los presupuestos nacionales, absorbiendo aproximadamente el 40 % del presupuesto de la UE. La última reforma de la PAC, aprobada entre 2013 y 2014 y que ha entrado en vigor en 2015, se caracteriza por una gran flexibilidad en su aplicación por parte de los Estados miembros. El elemento fundamental de esta reforma es el “pago básico” por explotación, al que se suman otra serie de conceptos en función del componente “verde”, es decir, aquellas explotaciones que realicen unas determinadas prácticas agrícolas beneficiosas para el clima y el medio ambiente.</w:t>
      </w:r>
    </w:p>
    <w:p w14:paraId="3810BD62" w14:textId="77777777" w:rsid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t>Con el presupuesto adjudicado a la PAC en el Marco Financiero Plurianual 2014-2020, los agricultores españoles van a seguir recibiendo prácticamente el mismo nivel de ayudas directas que venían percibiendo anteriormente, 35.700 millones de euros. Para el desarrollo rural ocurrirá algo similar ya que dispondrán de 8.290 millones de euros.</w:t>
      </w: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sz w:val="22"/>
          <w:szCs w:val="22"/>
          <w:lang w:val="es-ES"/>
        </w:rPr>
        <w:br/>
      </w:r>
    </w:p>
    <w:p w14:paraId="0DC50067" w14:textId="753E38A8"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b/>
          <w:sz w:val="22"/>
          <w:szCs w:val="22"/>
          <w:lang w:val="es-ES"/>
        </w:rPr>
        <w:t>5) Pesca</w:t>
      </w:r>
    </w:p>
    <w:p w14:paraId="59AD364D"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Política Pesquera Común tiene como finalidad lograr una pesca y acuicultura sostenibles desde un punto de vista económico, medioambiental y social. Para ello, recoge entre sus objetivos recuperar la sostenibilidad de las poblaciones de peces, poner fin a las prácticas pesqueras excesivas y crear nuevas oportunidades de empleo y crecimiento en las zonas pesqueras. Los elementos más importantes para alcanzar estos objetivos son la prohibición de los descartes, la aplicación del Rendimiento Máximo Sostenible y de planes plurianuales en la gestión de las pesquerías, la descentralización de la toma de algunas decisiones, el apoyo a la acuicultura y pesca artesanal y la adopción de acuerdos internacionales de pesca.</w:t>
      </w:r>
    </w:p>
    <w:p w14:paraId="6508FB5E"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Hay que resaltar la importancia del sistema comunitario establecido para prevenir, desalentar y eliminar la pesca ilegal, no declarada y no reglamentada. Este tipo de pesca es una de las mayores amenazas para la explotación sostenible de los recursos pesqueros y socava los cimientos mismos de la política pesquera común y los esfuerzos internacionales para lograr su erradicación.</w:t>
      </w:r>
    </w:p>
    <w:p w14:paraId="6F107FFC" w14:textId="77777777" w:rsid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El instrumento que financia la aplicación de la Política Pesquera Común durante el periodo 2014-2020 es el Fondo Europeo Marítimo y Pesquero, con un monto total de 6.400 millones de euros, de los que 718 millones se destinan a la Política Marítima Integrada y el resto, 5.682 millones a la Política Pesquera Común. España es el primer país receptor de este Fondo con una cantidad asignada de 1.161 millones de euros, un 20 por ciento del total, lo que equivale al peso real del sector pesquero español dentro de la Unión Europea.</w:t>
      </w:r>
      <w:r w:rsidRPr="00514C8D">
        <w:rPr>
          <w:rFonts w:ascii="HelveticaNeue LT 55 Roman" w:eastAsia="Times New Roman" w:hAnsi="HelveticaNeue LT 55 Roman"/>
          <w:sz w:val="22"/>
          <w:szCs w:val="22"/>
          <w:lang w:val="es-ES"/>
        </w:rPr>
        <w:br/>
      </w:r>
    </w:p>
    <w:p w14:paraId="28B06096" w14:textId="77777777" w:rsidR="00514C8D" w:rsidRDefault="00514C8D" w:rsidP="00514C8D">
      <w:pPr>
        <w:spacing w:before="100" w:beforeAutospacing="1" w:after="100" w:afterAutospacing="1"/>
        <w:jc w:val="both"/>
        <w:rPr>
          <w:rFonts w:ascii="HelveticaNeue LT 55 Roman" w:eastAsia="Times New Roman" w:hAnsi="HelveticaNeue LT 55 Roman"/>
          <w:sz w:val="22"/>
          <w:szCs w:val="22"/>
          <w:lang w:val="es-ES"/>
        </w:rPr>
      </w:pPr>
    </w:p>
    <w:p w14:paraId="24A0255C" w14:textId="670AE998"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lastRenderedPageBreak/>
        <w:br/>
      </w:r>
      <w:r w:rsidRPr="00514C8D">
        <w:rPr>
          <w:rFonts w:ascii="HelveticaNeue LT 55 Roman" w:eastAsia="Times New Roman" w:hAnsi="HelveticaNeue LT 55 Roman"/>
          <w:b/>
          <w:sz w:val="22"/>
          <w:szCs w:val="22"/>
          <w:lang w:val="es-ES"/>
        </w:rPr>
        <w:t>6) Medio Ambiente</w:t>
      </w:r>
    </w:p>
    <w:p w14:paraId="2EC5F697"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El Derecho ambiental de la UE constituye un extenso cuerpo normativo de varios centenares de instrumentos legales, principalmente directivas, y siete programas de acción de medio ambiente que ha ido conformando en gran parte la legislación ambiental nacional.</w:t>
      </w:r>
    </w:p>
    <w:p w14:paraId="7B91D339"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Con la aprobación en 1986 del Acta Única Europea, se incluyó, en los tratados comunitarios, por primera vez, un articulado referido al medio ambiente que supuso el nacimiento de una auténtica política ambiental europea.</w:t>
      </w:r>
    </w:p>
    <w:p w14:paraId="24611FC7"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La Conferencia de las Naciones Unidas sobre el Medio Ambiente y el Desarrollo Sostenible, celebrada en Río de Janeiro en 1992, en la que se acuñó el término “desarrollo sostenible” </w:t>
      </w:r>
      <w:proofErr w:type="gramStart"/>
      <w:r w:rsidRPr="00514C8D">
        <w:rPr>
          <w:rFonts w:ascii="HelveticaNeue LT 55 Roman" w:eastAsia="Times New Roman" w:hAnsi="HelveticaNeue LT 55 Roman"/>
          <w:sz w:val="22"/>
          <w:szCs w:val="22"/>
          <w:lang w:val="es-ES"/>
        </w:rPr>
        <w:t>influyó</w:t>
      </w:r>
      <w:proofErr w:type="gramEnd"/>
      <w:r w:rsidRPr="00514C8D">
        <w:rPr>
          <w:rFonts w:ascii="HelveticaNeue LT 55 Roman" w:eastAsia="Times New Roman" w:hAnsi="HelveticaNeue LT 55 Roman"/>
          <w:sz w:val="22"/>
          <w:szCs w:val="22"/>
          <w:lang w:val="es-ES"/>
        </w:rPr>
        <w:t xml:space="preserve"> en las reformas llevadas a cabo con los Tratados de Maastricht (1992) y Ámsterdam (1997). Los principios de Río que pasaron a inspirar la competencia comunitaria son el desarrollo sostenible y la corresponsabilidad e integración de las exigencias ambientales.</w:t>
      </w:r>
    </w:p>
    <w:p w14:paraId="3D0CE8B0"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El art. 4 TFUE establece que el medio ambiente es una de las principales áreas en las que se aplican las competencias compartidas entre la Unión y los Estados miembros. En lo que se refiere a los objetivos de la política ambiental, en el apartado 1 del art. 191 TFUE se recogen los siguientes: la conservación, la protección y la mejora de la calidad del medio ambiente; la protección de la salud de las personas; la utilización prudente y racional de los recursos naturales; y el fomento de medidas a escala internacional destinadas a hacer frente a los problemas regionales o mundiales del medio ambiente.</w:t>
      </w:r>
    </w:p>
    <w:p w14:paraId="33478826"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El Tratado de Lisboa ha incluido un nuevo objetivo a la política de la Unión en el campo del medio ambiente. Se trata de “la promoción, en el plan internacional, de medidas destinadas a hacer frente a los problemas regionales o planetarios del medio ambiente, y en particular la lucha contra el cambio climático”.</w:t>
      </w:r>
    </w:p>
    <w:p w14:paraId="5A3ED5F9"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En relación con el papel de la UE en la lucha contra el cambio climático, cabe destacar el papel de liderazgo que la UE viene desempeñando de cara a la 21ª Conferencia de las Partes de la Convención Marco de Naciones Unidas sobre el Cambio Climático o COP-21, que se celebrará del 30 de noviembre al 11 de diciembre de 2015 en París. Se trata de una fecha crucial, ya que debe desembocar en un nuevo acuerdo internacional global (esto es, aplicable a todos los países) sobre el clima que sustituya al Protocolo de </w:t>
      </w:r>
      <w:proofErr w:type="spellStart"/>
      <w:r w:rsidRPr="00514C8D">
        <w:rPr>
          <w:rFonts w:ascii="HelveticaNeue LT 55 Roman" w:eastAsia="Times New Roman" w:hAnsi="HelveticaNeue LT 55 Roman"/>
          <w:sz w:val="22"/>
          <w:szCs w:val="22"/>
          <w:lang w:val="es-ES"/>
        </w:rPr>
        <w:t>Kyoto</w:t>
      </w:r>
      <w:proofErr w:type="spellEnd"/>
      <w:r w:rsidRPr="00514C8D">
        <w:rPr>
          <w:rFonts w:ascii="HelveticaNeue LT 55 Roman" w:eastAsia="Times New Roman" w:hAnsi="HelveticaNeue LT 55 Roman"/>
          <w:sz w:val="22"/>
          <w:szCs w:val="22"/>
          <w:lang w:val="es-ES"/>
        </w:rPr>
        <w:t xml:space="preserve"> de 1997 de la Convención Marco de las Naciones Unidas sobre Cambio Climático (CMNUCC).</w:t>
      </w:r>
    </w:p>
    <w:p w14:paraId="11761158" w14:textId="77777777" w:rsid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La UE propugna la adopción en París de un tratado jurídicamente vinculante que garantice que la temperatura media mundial no aumente más de 2ºC, compromiso éste adoptado en la Cumbre de Cancún sobre cambio climático de 2010 en la que también se decidió crear un Fondo Verde Climático para financiar la lucha contra el cambio climático. Asimismo, la UE defiende que el tratado contenga una cláusula para revisar cada 5 años los objetivos de reducción de emisiones y que se desarrolle un mecanismo de transparencia y verificación. El objetivo acordado es: una reducción de las emisiones de gases de efecto invernadero del 50% en 2050 sobre el nivel de 1990 (o del 60% si se toma como referencia el año </w:t>
      </w:r>
      <w:r w:rsidRPr="00514C8D">
        <w:rPr>
          <w:rFonts w:ascii="HelveticaNeue LT 55 Roman" w:eastAsia="Times New Roman" w:hAnsi="HelveticaNeue LT 55 Roman"/>
          <w:sz w:val="22"/>
          <w:szCs w:val="22"/>
          <w:lang w:val="es-ES"/>
        </w:rPr>
        <w:lastRenderedPageBreak/>
        <w:t>2010), con la obligación de todas las Partes del acuerdo de París de aproximarse, en 2100, a un nivel de emisiones cero. Este objetivo fue el que planteó la Comisión en su Comunicación de febrero de 2015 sobre el Protocolo de París y está en línea con la Declaración del G-7 de junio de 2015.</w:t>
      </w:r>
    </w:p>
    <w:p w14:paraId="37A385D4" w14:textId="79840EF1"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b/>
          <w:sz w:val="22"/>
          <w:szCs w:val="22"/>
          <w:lang w:val="es-ES"/>
        </w:rPr>
        <w:t>7) Protección de los Consumidores</w:t>
      </w:r>
    </w:p>
    <w:p w14:paraId="1751DDBA"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política europea de protección de los consumidores constituye un elemento indispensable para el buen funcionamiento del mercado interior. Su objetivo es hacer de la Unión Europea una realidad tangible para todos los ciudadanos, velando por sus derechos como consumidores en la vida cotidiana.</w:t>
      </w:r>
    </w:p>
    <w:p w14:paraId="3AB3D587"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Para ello, resulta necesario, además de la capacitación de los consumidores para una adecuada toma de decisiones, la mejora de su bienestar, así como la protección efectiva de su seguridad y de sus intereses comerciales.</w:t>
      </w:r>
    </w:p>
    <w:p w14:paraId="25E9C699" w14:textId="77777777" w:rsidR="0091373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El programa de acción de la UE en materia de política de consumo se basa en dos  grandes ejes: A) la Agenda del Consumidor Europeo, que desarrolla la nueva estrategia de política de consumo de la UE, en consonancia con su estrategia de crecimiento del Programa Europa 2020, ha incluido dos nuevos retos, como el acercamiento a un consumo más sostenible y la respuesta a las necesidades específicas de los consumidores vulnerables; y B) el Programa de Consumidores 2014-2020, que financia acciones en los 28 Estados miembros con un presupuesto de 188,8 millones de euros.</w:t>
      </w:r>
      <w:r w:rsidRPr="00514C8D">
        <w:rPr>
          <w:rFonts w:ascii="HelveticaNeue LT 55 Roman" w:eastAsia="Times New Roman" w:hAnsi="HelveticaNeue LT 55 Roman"/>
          <w:sz w:val="22"/>
          <w:szCs w:val="22"/>
          <w:lang w:val="es-ES"/>
        </w:rPr>
        <w:br/>
      </w:r>
    </w:p>
    <w:p w14:paraId="20137549" w14:textId="1474A2B1"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b/>
          <w:sz w:val="22"/>
          <w:szCs w:val="22"/>
          <w:lang w:val="es-ES"/>
        </w:rPr>
        <w:t>8) Transportes</w:t>
      </w:r>
    </w:p>
    <w:p w14:paraId="258731CF"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El objetivo de las políticas de transporte en la Unión Europea es crear un Espacio Único Europeo del Transporte con políticas que lo hagan competitivo y sostenible. El Espacio Único Europeo del Transporte facilita los movimientos de los ciudadanos y el transporte de mercancías, reduce costes e incrementa la sostenibilidad del transporte europeo. El Cielo Único Europeo se ocupa de la capacidad y la calidad de los aeropuertos. El 4º paquete ferroviario tiene por objeto establecer un Espacio Ferroviario Europeo Único, que suprima los obstáculos técnicos, administrativos y jurídicos que siguen dificultando el acceso a los mercados ferroviarios nacionales. Una mayor integración del mercado del transporte de carga por carretera hará también más eficiente y competitivo este modo de transporte. En cuanto al transporte marítimo, una mayor integración llevará a simplificar los trámites de los buques que viajan de un puerto de la UE a otro, y a mejorar el acceso del mercado a los puertos.</w:t>
      </w:r>
    </w:p>
    <w:p w14:paraId="06A01984" w14:textId="77777777" w:rsid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Estas medidas se completan con condiciones laborales de calidad para los trabajadores del sector, la seguridad y fiabilidad de los servicios de transporte y la cooperación con los interlocutores internacionales en la materia.</w:t>
      </w:r>
    </w:p>
    <w:p w14:paraId="4E8EA631" w14:textId="46FF9A2B"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lastRenderedPageBreak/>
        <w:br/>
      </w: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b/>
          <w:sz w:val="22"/>
          <w:szCs w:val="22"/>
          <w:lang w:val="es-ES"/>
        </w:rPr>
        <w:t xml:space="preserve">9) Redes </w:t>
      </w:r>
      <w:proofErr w:type="spellStart"/>
      <w:r w:rsidRPr="00514C8D">
        <w:rPr>
          <w:rFonts w:ascii="HelveticaNeue LT 55 Roman" w:eastAsia="Times New Roman" w:hAnsi="HelveticaNeue LT 55 Roman"/>
          <w:b/>
          <w:sz w:val="22"/>
          <w:szCs w:val="22"/>
          <w:lang w:val="es-ES"/>
        </w:rPr>
        <w:t>Transeuropeas</w:t>
      </w:r>
      <w:proofErr w:type="spellEnd"/>
    </w:p>
    <w:p w14:paraId="518A9764"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Las redes </w:t>
      </w:r>
      <w:proofErr w:type="spellStart"/>
      <w:r w:rsidRPr="00514C8D">
        <w:rPr>
          <w:rFonts w:ascii="HelveticaNeue LT 55 Roman" w:eastAsia="Times New Roman" w:hAnsi="HelveticaNeue LT 55 Roman"/>
          <w:sz w:val="22"/>
          <w:szCs w:val="22"/>
          <w:lang w:val="es-ES"/>
        </w:rPr>
        <w:t>transeuropeas</w:t>
      </w:r>
      <w:proofErr w:type="spellEnd"/>
      <w:r w:rsidRPr="00514C8D">
        <w:rPr>
          <w:rFonts w:ascii="HelveticaNeue LT 55 Roman" w:eastAsia="Times New Roman" w:hAnsi="HelveticaNeue LT 55 Roman"/>
          <w:sz w:val="22"/>
          <w:szCs w:val="22"/>
          <w:lang w:val="es-ES"/>
        </w:rPr>
        <w:t xml:space="preserve"> en los sectores del transporte, las telecomunicaciones y la energía contribuyen al desarrollo del Mercado Interior, refuerzan la cohesión económica y social, conectan las regiones insulares y la Unión Europea con los países vecinos.</w:t>
      </w:r>
    </w:p>
    <w:p w14:paraId="4CDEBF41"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Las redes </w:t>
      </w:r>
      <w:proofErr w:type="spellStart"/>
      <w:r w:rsidRPr="00514C8D">
        <w:rPr>
          <w:rFonts w:ascii="HelveticaNeue LT 55 Roman" w:eastAsia="Times New Roman" w:hAnsi="HelveticaNeue LT 55 Roman"/>
          <w:sz w:val="22"/>
          <w:szCs w:val="22"/>
          <w:lang w:val="es-ES"/>
        </w:rPr>
        <w:t>transeuropeas</w:t>
      </w:r>
      <w:proofErr w:type="spellEnd"/>
      <w:r w:rsidRPr="00514C8D">
        <w:rPr>
          <w:rFonts w:ascii="HelveticaNeue LT 55 Roman" w:eastAsia="Times New Roman" w:hAnsi="HelveticaNeue LT 55 Roman"/>
          <w:sz w:val="22"/>
          <w:szCs w:val="22"/>
          <w:lang w:val="es-ES"/>
        </w:rPr>
        <w:t xml:space="preserve"> conforman las infraestructuras básicas de la UE en los sectores de la energía, las comunicaciones y el transporte. Las redes </w:t>
      </w:r>
      <w:proofErr w:type="spellStart"/>
      <w:r w:rsidRPr="00514C8D">
        <w:rPr>
          <w:rFonts w:ascii="HelveticaNeue LT 55 Roman" w:eastAsia="Times New Roman" w:hAnsi="HelveticaNeue LT 55 Roman"/>
          <w:sz w:val="22"/>
          <w:szCs w:val="22"/>
          <w:lang w:val="es-ES"/>
        </w:rPr>
        <w:t>transeuropeas</w:t>
      </w:r>
      <w:proofErr w:type="spellEnd"/>
      <w:r w:rsidRPr="00514C8D">
        <w:rPr>
          <w:rFonts w:ascii="HelveticaNeue LT 55 Roman" w:eastAsia="Times New Roman" w:hAnsi="HelveticaNeue LT 55 Roman"/>
          <w:sz w:val="22"/>
          <w:szCs w:val="22"/>
          <w:lang w:val="es-ES"/>
        </w:rPr>
        <w:t xml:space="preserve"> facilitan el uso de las energías renovables y la seguridad del suministro,  el transporte sostenible e intermodal, y las telecomunicaciones de banda ancha a alta velocidad, todo ello en favor del Mercado Interior.</w:t>
      </w:r>
    </w:p>
    <w:p w14:paraId="5992223D" w14:textId="77777777" w:rsidR="0091373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El Instrumento “Conectar Europa” (CEF) destinará a financiar las redes </w:t>
      </w:r>
      <w:proofErr w:type="spellStart"/>
      <w:r w:rsidRPr="00514C8D">
        <w:rPr>
          <w:rFonts w:ascii="HelveticaNeue LT 55 Roman" w:eastAsia="Times New Roman" w:hAnsi="HelveticaNeue LT 55 Roman"/>
          <w:sz w:val="22"/>
          <w:szCs w:val="22"/>
          <w:lang w:val="es-ES"/>
        </w:rPr>
        <w:t>transeuropeas</w:t>
      </w:r>
      <w:proofErr w:type="spellEnd"/>
      <w:r w:rsidRPr="00514C8D">
        <w:rPr>
          <w:rFonts w:ascii="HelveticaNeue LT 55 Roman" w:eastAsia="Times New Roman" w:hAnsi="HelveticaNeue LT 55 Roman"/>
          <w:sz w:val="22"/>
          <w:szCs w:val="22"/>
          <w:lang w:val="es-ES"/>
        </w:rPr>
        <w:t xml:space="preserve"> 33.240 millones de euros en el periodo 2014-2020, distribuido entre los sectores del transporte con 26.250 millones de euros, incluyendo la aportación del Fondo de Cohesión, las telecomunicaciones con 1.140 millones de euros y la energía con 5.850 millones de euros.</w:t>
      </w:r>
      <w:r w:rsidRPr="00514C8D">
        <w:rPr>
          <w:rFonts w:ascii="HelveticaNeue LT 55 Roman" w:eastAsia="Times New Roman" w:hAnsi="HelveticaNeue LT 55 Roman"/>
          <w:sz w:val="22"/>
          <w:szCs w:val="22"/>
          <w:lang w:val="es-ES"/>
        </w:rPr>
        <w:br/>
      </w:r>
    </w:p>
    <w:p w14:paraId="185BF7FB" w14:textId="56385201"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b/>
          <w:sz w:val="22"/>
          <w:szCs w:val="22"/>
          <w:lang w:val="es-ES"/>
        </w:rPr>
        <w:t>10) Energía</w:t>
      </w:r>
    </w:p>
    <w:p w14:paraId="1B452A15"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El Tratado de Lisboa sitúa la energía en el centro de la actividad europea, dotándole de una nueva base jurídica, el artículo 194 del Tratado de Funcionamiento de la Unión Europea.</w:t>
      </w:r>
    </w:p>
    <w:p w14:paraId="476C2F8F"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política de energía de la Unión Europea se basa en tres pilares: crear un mercado interior de la energía con precios competitivos, asegurar el suministro energético y garantizar la solidaridad ante situaciones de crisis, y producir la energía de forma sostenible ya que ello supone una parte considerable de las emisiones de efecto invernadero.</w:t>
      </w:r>
    </w:p>
    <w:p w14:paraId="1C69692D"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Dentro de la Estrategia Europa 2020 destacan objetivos relacionados con la energía como reducir un 20% las emisiones de efecto invernadero respecto a los niveles de 1990, conseguir que las energías renovables tengan una participación del 20% en el consumo final de la energía y aumentar en un 20% la eficiencia energética. La Estrategia reconoce también la importancia de desarrollar unas infraestructuras de energía inteligentes e interconectadas, que son básicas para conseguir un Mercado Interior de gas y electricidad. Precisamente, las interconexiones son el elemento fundamental para la consecución de un verdadero mercado interior de la energía.</w:t>
      </w:r>
    </w:p>
    <w:p w14:paraId="12F4B03A"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El 25 de febrero de 2015, la Comisión presentó una Comunicación relativa a la Unión de la Energía junto con otras dos Comunicaciones sobre el objetivo de interconexiones del 10% para la electricidad, en línea con las conclusiones del Consejo Europeo de 23 y 24 de octubre de 2014 (que fijaban un objetivo mínimo de interconexión eléctrica del 10% a más tardar en 2020, y del 15% en 2030).</w:t>
      </w:r>
    </w:p>
    <w:p w14:paraId="5019627B"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lastRenderedPageBreak/>
        <w:t xml:space="preserve">La estrategia de la Unión de la Energía se basa en cinco pilares interrelacionados: la seguridad energética, la integración del mercado de la energía </w:t>
      </w:r>
      <w:proofErr w:type="gramStart"/>
      <w:r w:rsidRPr="00514C8D">
        <w:rPr>
          <w:rFonts w:ascii="HelveticaNeue LT 55 Roman" w:eastAsia="Times New Roman" w:hAnsi="HelveticaNeue LT 55 Roman"/>
          <w:sz w:val="22"/>
          <w:szCs w:val="22"/>
          <w:lang w:val="es-ES"/>
        </w:rPr>
        <w:t>europeo</w:t>
      </w:r>
      <w:proofErr w:type="gramEnd"/>
      <w:r w:rsidRPr="00514C8D">
        <w:rPr>
          <w:rFonts w:ascii="HelveticaNeue LT 55 Roman" w:eastAsia="Times New Roman" w:hAnsi="HelveticaNeue LT 55 Roman"/>
          <w:sz w:val="22"/>
          <w:szCs w:val="22"/>
          <w:lang w:val="es-ES"/>
        </w:rPr>
        <w:t xml:space="preserve">, la eficiencia energética, la </w:t>
      </w:r>
      <w:proofErr w:type="spellStart"/>
      <w:r w:rsidRPr="00514C8D">
        <w:rPr>
          <w:rFonts w:ascii="HelveticaNeue LT 55 Roman" w:eastAsia="Times New Roman" w:hAnsi="HelveticaNeue LT 55 Roman"/>
          <w:sz w:val="22"/>
          <w:szCs w:val="22"/>
          <w:lang w:val="es-ES"/>
        </w:rPr>
        <w:t>descarbonización</w:t>
      </w:r>
      <w:proofErr w:type="spellEnd"/>
      <w:r w:rsidRPr="00514C8D">
        <w:rPr>
          <w:rFonts w:ascii="HelveticaNeue LT 55 Roman" w:eastAsia="Times New Roman" w:hAnsi="HelveticaNeue LT 55 Roman"/>
          <w:sz w:val="22"/>
          <w:szCs w:val="22"/>
          <w:lang w:val="es-ES"/>
        </w:rPr>
        <w:t xml:space="preserve"> de la economía y la investigación y la innovación.</w:t>
      </w:r>
    </w:p>
    <w:p w14:paraId="56CA4CD2" w14:textId="77777777" w:rsid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Por otra parte, el 15 de julio de 2015, el Colegio de Comisarios adoptó el llamado “Paquete de verano de 2015 de la Unión de la Energía”, consistente en una serie de propuestas legislativas e iniciativas en torno al sistema de comercio de emisiones, el etiquetado de eficiencia energética, un nuevo marco para los consumidores de la energía y el diseño de los mercados de electricidad.</w:t>
      </w:r>
    </w:p>
    <w:p w14:paraId="78E3F879" w14:textId="29F1EF07"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b/>
          <w:sz w:val="22"/>
          <w:szCs w:val="22"/>
          <w:lang w:val="es-ES"/>
        </w:rPr>
        <w:t>11) Espacio de Libertad, Seguridad y Justicia</w:t>
      </w:r>
    </w:p>
    <w:p w14:paraId="398ABCA1" w14:textId="2CA266DC" w:rsidR="00514C8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cooperación en asuntos de Justicia e Interior en la Unión Europea es, en la actualidad, el resultado de un proceso progresivo de integración que tuvo en sus inicios un carácter estrictamente intergubernamental. Tras la entrada en vigor del Tratado de Lisboa, el nuevo Título V supone la consolidación de un Espacio de Libertad, Seguridad y Justicia que comprende cuatro á</w:t>
      </w:r>
      <w:r w:rsidR="00514C8D">
        <w:rPr>
          <w:rFonts w:ascii="HelveticaNeue LT 55 Roman" w:eastAsia="Times New Roman" w:hAnsi="HelveticaNeue LT 55 Roman"/>
          <w:sz w:val="22"/>
          <w:szCs w:val="22"/>
          <w:lang w:val="es-ES"/>
        </w:rPr>
        <w:t>mbitos de acción bien definidos:</w:t>
      </w:r>
    </w:p>
    <w:p w14:paraId="31AC1B15" w14:textId="14F4C087" w:rsidR="00514C8D" w:rsidRDefault="0078129D" w:rsidP="00514C8D">
      <w:pPr>
        <w:pStyle w:val="Prrafodelista"/>
        <w:numPr>
          <w:ilvl w:val="0"/>
          <w:numId w:val="4"/>
        </w:num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b/>
          <w:sz w:val="22"/>
          <w:szCs w:val="22"/>
          <w:lang w:val="es-ES"/>
        </w:rPr>
        <w:t>Políticas sobre controles en las fronteras, asilo e inmigración</w:t>
      </w:r>
      <w:r w:rsidR="00514C8D">
        <w:rPr>
          <w:rFonts w:ascii="HelveticaNeue LT 55 Roman" w:eastAsia="Times New Roman" w:hAnsi="HelveticaNeue LT 55 Roman"/>
          <w:b/>
          <w:sz w:val="22"/>
          <w:szCs w:val="22"/>
          <w:lang w:val="es-ES"/>
        </w:rPr>
        <w:t>.</w:t>
      </w:r>
    </w:p>
    <w:p w14:paraId="558F881F" w14:textId="3297D271" w:rsidR="0078129D" w:rsidRPr="00514C8D" w:rsidRDefault="0078129D" w:rsidP="00514C8D">
      <w:pPr>
        <w:pStyle w:val="Prrafodelista"/>
        <w:spacing w:before="100" w:beforeAutospacing="1" w:after="100" w:afterAutospacing="1"/>
        <w:ind w:left="1428"/>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Políticas que garanticen la ausencia de controles de las personas, sea cual sea su nacionalidad, cuando crucen las fronteras interiores, se trata de aplicar el “acervo </w:t>
      </w:r>
      <w:proofErr w:type="spellStart"/>
      <w:r w:rsidRPr="00514C8D">
        <w:rPr>
          <w:rFonts w:ascii="HelveticaNeue LT 55 Roman" w:eastAsia="Times New Roman" w:hAnsi="HelveticaNeue LT 55 Roman"/>
          <w:sz w:val="22"/>
          <w:szCs w:val="22"/>
          <w:lang w:val="es-ES"/>
        </w:rPr>
        <w:t>Schengen</w:t>
      </w:r>
      <w:proofErr w:type="spellEnd"/>
      <w:r w:rsidRPr="00514C8D">
        <w:rPr>
          <w:rFonts w:ascii="HelveticaNeue LT 55 Roman" w:eastAsia="Times New Roman" w:hAnsi="HelveticaNeue LT 55 Roman"/>
          <w:sz w:val="22"/>
          <w:szCs w:val="22"/>
          <w:lang w:val="es-ES"/>
        </w:rPr>
        <w:t xml:space="preserve">”. También incluye políticas de gestión de las fronteras exteriores, regidas por el Código de Fronteras </w:t>
      </w:r>
      <w:proofErr w:type="spellStart"/>
      <w:r w:rsidRPr="00514C8D">
        <w:rPr>
          <w:rFonts w:ascii="HelveticaNeue LT 55 Roman" w:eastAsia="Times New Roman" w:hAnsi="HelveticaNeue LT 55 Roman"/>
          <w:sz w:val="22"/>
          <w:szCs w:val="22"/>
          <w:lang w:val="es-ES"/>
        </w:rPr>
        <w:t>Schengen</w:t>
      </w:r>
      <w:proofErr w:type="spellEnd"/>
      <w:r w:rsidRPr="00514C8D">
        <w:rPr>
          <w:rFonts w:ascii="HelveticaNeue LT 55 Roman" w:eastAsia="Times New Roman" w:hAnsi="HelveticaNeue LT 55 Roman"/>
          <w:sz w:val="22"/>
          <w:szCs w:val="22"/>
          <w:lang w:val="es-ES"/>
        </w:rPr>
        <w:t>; la política común de visados y otros permisos de residencia de corta duración, regulada por el Código comunitario de Visados que agrupa disposiciones específicas; la política común de asilo, protección subsidiaria y protección temporal, establecida por el Sistema Europeo Común de Asilo (SECA); la política común de inmigración que recoge medidas sobre inmigración legal, irregular, lucha contra la trata de seres humanos y readmisión de nacionales de países terceros.</w:t>
      </w:r>
    </w:p>
    <w:p w14:paraId="6A7F830F" w14:textId="77777777" w:rsidR="00514C8D" w:rsidRDefault="0078129D" w:rsidP="00514C8D">
      <w:pPr>
        <w:pStyle w:val="Prrafodelista"/>
        <w:spacing w:before="100" w:beforeAutospacing="1" w:after="100" w:afterAutospacing="1"/>
        <w:ind w:left="1428"/>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crisis migratoria nos ha hecho avanzar hacia una verdadera Política Migratoria Común que, con un enfoque global, aborde a escala europea la cooperación con los países de origen y tránsito, el control de fronteras, la protección internacional, la lucha contra la inmigración irregular y la gestión regulada de la migración legal.</w:t>
      </w:r>
    </w:p>
    <w:p w14:paraId="7E66037F" w14:textId="2EF8F7B5" w:rsidR="0078129D" w:rsidRPr="00514C8D" w:rsidRDefault="0078129D" w:rsidP="00514C8D">
      <w:pPr>
        <w:pStyle w:val="Prrafodelista"/>
        <w:spacing w:before="100" w:beforeAutospacing="1" w:after="100" w:afterAutospacing="1"/>
        <w:ind w:left="1428"/>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br/>
      </w:r>
      <w:r w:rsidR="00514C8D" w:rsidRPr="00514C8D">
        <w:rPr>
          <w:rFonts w:ascii="HelveticaNeue LT 55 Roman" w:eastAsia="Times New Roman" w:hAnsi="HelveticaNeue LT 55 Roman"/>
          <w:b/>
          <w:sz w:val="22"/>
          <w:szCs w:val="22"/>
          <w:lang w:val="es-ES"/>
        </w:rPr>
        <w:t xml:space="preserve">2. </w:t>
      </w:r>
      <w:r w:rsidRPr="00514C8D">
        <w:rPr>
          <w:rFonts w:ascii="HelveticaNeue LT 55 Roman" w:eastAsia="Times New Roman" w:hAnsi="HelveticaNeue LT 55 Roman"/>
          <w:b/>
          <w:sz w:val="22"/>
          <w:szCs w:val="22"/>
          <w:lang w:val="es-ES"/>
        </w:rPr>
        <w:t>Cooperación judicial en materia civil</w:t>
      </w:r>
    </w:p>
    <w:p w14:paraId="2AA1111B" w14:textId="3194B6CB" w:rsidR="0078129D" w:rsidRPr="00514C8D" w:rsidRDefault="0078129D" w:rsidP="00514C8D">
      <w:pPr>
        <w:pStyle w:val="Prrafodelista"/>
        <w:spacing w:before="100" w:beforeAutospacing="1" w:after="100" w:afterAutospacing="1"/>
        <w:ind w:left="1428"/>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t>Se basa en el reconocimiento mutuo de resoluciones judiciales y extrajudiciales y en medidas de aproximación de las disposiciones legales y reglamentarias de los Estados miembros. Se incluyen normas sobre derecho de familia y protección de los intereses financieros de la Unión.</w:t>
      </w: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sz w:val="22"/>
          <w:szCs w:val="22"/>
          <w:lang w:val="es-ES"/>
        </w:rPr>
        <w:br/>
      </w:r>
      <w:r w:rsidR="00514C8D">
        <w:rPr>
          <w:rFonts w:ascii="HelveticaNeue LT 55 Roman" w:eastAsia="Times New Roman" w:hAnsi="HelveticaNeue LT 55 Roman"/>
          <w:b/>
          <w:sz w:val="22"/>
          <w:szCs w:val="22"/>
          <w:lang w:val="es-ES"/>
        </w:rPr>
        <w:t xml:space="preserve">3. </w:t>
      </w:r>
      <w:r w:rsidRPr="00514C8D">
        <w:rPr>
          <w:rFonts w:ascii="HelveticaNeue LT 55 Roman" w:eastAsia="Times New Roman" w:hAnsi="HelveticaNeue LT 55 Roman"/>
          <w:b/>
          <w:sz w:val="22"/>
          <w:szCs w:val="22"/>
          <w:lang w:val="es-ES"/>
        </w:rPr>
        <w:t>Cooperación judicial en materia penal</w:t>
      </w:r>
    </w:p>
    <w:p w14:paraId="0019F6EE" w14:textId="482180DD" w:rsidR="0078129D" w:rsidRPr="00514C8D" w:rsidRDefault="0078129D" w:rsidP="00514C8D">
      <w:pPr>
        <w:pStyle w:val="Prrafodelista"/>
        <w:spacing w:before="100" w:beforeAutospacing="1" w:after="100" w:afterAutospacing="1"/>
        <w:ind w:left="1428"/>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t xml:space="preserve">Incluye normas sobre los derechos de las personas durante el procedimiento penal, derechos de las víctimas de los delitos y lucha contra el terrorismo, la </w:t>
      </w:r>
      <w:r w:rsidRPr="00514C8D">
        <w:rPr>
          <w:rFonts w:ascii="HelveticaNeue LT 55 Roman" w:eastAsia="Times New Roman" w:hAnsi="HelveticaNeue LT 55 Roman"/>
          <w:sz w:val="22"/>
          <w:szCs w:val="22"/>
          <w:lang w:val="es-ES"/>
        </w:rPr>
        <w:lastRenderedPageBreak/>
        <w:t xml:space="preserve">trata de seres humanos, el tráfico ilícito de drogas, de armas, el blanqueo de capitales, la corrupción, la delincuencia organizada y la </w:t>
      </w:r>
      <w:proofErr w:type="spellStart"/>
      <w:r w:rsidRPr="00514C8D">
        <w:rPr>
          <w:rFonts w:ascii="HelveticaNeue LT 55 Roman" w:eastAsia="Times New Roman" w:hAnsi="HelveticaNeue LT 55 Roman"/>
          <w:sz w:val="22"/>
          <w:szCs w:val="22"/>
          <w:lang w:val="es-ES"/>
        </w:rPr>
        <w:t>ciberdelincuencia</w:t>
      </w:r>
      <w:proofErr w:type="spellEnd"/>
      <w:r w:rsidRPr="00514C8D">
        <w:rPr>
          <w:rFonts w:ascii="HelveticaNeue LT 55 Roman" w:eastAsia="Times New Roman" w:hAnsi="HelveticaNeue LT 55 Roman"/>
          <w:sz w:val="22"/>
          <w:szCs w:val="22"/>
          <w:lang w:val="es-ES"/>
        </w:rPr>
        <w:t>. Entre ellas destaca la Orden Europea de detención y entrega (</w:t>
      </w:r>
      <w:proofErr w:type="spellStart"/>
      <w:r w:rsidRPr="00514C8D">
        <w:rPr>
          <w:rFonts w:ascii="HelveticaNeue LT 55 Roman" w:eastAsia="Times New Roman" w:hAnsi="HelveticaNeue LT 55 Roman"/>
          <w:sz w:val="22"/>
          <w:szCs w:val="22"/>
          <w:lang w:val="es-ES"/>
        </w:rPr>
        <w:t>Euroorden</w:t>
      </w:r>
      <w:proofErr w:type="spellEnd"/>
      <w:r w:rsidRPr="00514C8D">
        <w:rPr>
          <w:rFonts w:ascii="HelveticaNeue LT 55 Roman" w:eastAsia="Times New Roman" w:hAnsi="HelveticaNeue LT 55 Roman"/>
          <w:sz w:val="22"/>
          <w:szCs w:val="22"/>
          <w:lang w:val="es-ES"/>
        </w:rPr>
        <w:t>).</w:t>
      </w: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sz w:val="22"/>
          <w:szCs w:val="22"/>
          <w:lang w:val="es-ES"/>
        </w:rPr>
        <w:br/>
      </w:r>
      <w:r w:rsidR="00514C8D">
        <w:rPr>
          <w:rFonts w:ascii="HelveticaNeue LT 55 Roman" w:eastAsia="Times New Roman" w:hAnsi="HelveticaNeue LT 55 Roman"/>
          <w:b/>
          <w:sz w:val="22"/>
          <w:szCs w:val="22"/>
          <w:lang w:val="es-ES"/>
        </w:rPr>
        <w:t xml:space="preserve">4. </w:t>
      </w:r>
      <w:r w:rsidRPr="00514C8D">
        <w:rPr>
          <w:rFonts w:ascii="HelveticaNeue LT 55 Roman" w:eastAsia="Times New Roman" w:hAnsi="HelveticaNeue LT 55 Roman"/>
          <w:b/>
          <w:sz w:val="22"/>
          <w:szCs w:val="22"/>
          <w:lang w:val="es-ES"/>
        </w:rPr>
        <w:t>Cooperación policial</w:t>
      </w:r>
    </w:p>
    <w:p w14:paraId="481E4E45" w14:textId="77777777" w:rsidR="00514C8D" w:rsidRDefault="0078129D" w:rsidP="00514C8D">
      <w:pPr>
        <w:pStyle w:val="Prrafodelista"/>
        <w:spacing w:before="100" w:beforeAutospacing="1" w:after="100" w:afterAutospacing="1"/>
        <w:ind w:left="1428"/>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Se articula alrededor de la prevención, detección e investigación de infracciones penales. Se aprueban disposiciones legales, estrategias y planes de acción en diversos ámbitos de actuació</w:t>
      </w:r>
      <w:r w:rsidR="00514C8D">
        <w:rPr>
          <w:rFonts w:ascii="HelveticaNeue LT 55 Roman" w:eastAsia="Times New Roman" w:hAnsi="HelveticaNeue LT 55 Roman"/>
          <w:sz w:val="22"/>
          <w:szCs w:val="22"/>
          <w:lang w:val="es-ES"/>
        </w:rPr>
        <w:t>n de las fuerzas de seguridad.</w:t>
      </w:r>
      <w:r w:rsidR="00514C8D">
        <w:rPr>
          <w:rFonts w:ascii="HelveticaNeue LT 55 Roman" w:eastAsia="Times New Roman" w:hAnsi="HelveticaNeue LT 55 Roman"/>
          <w:sz w:val="22"/>
          <w:szCs w:val="22"/>
          <w:lang w:val="es-ES"/>
        </w:rPr>
        <w:br/>
      </w:r>
    </w:p>
    <w:p w14:paraId="7F22ABD3" w14:textId="4DAD7645" w:rsidR="0078129D" w:rsidRPr="00514C8D" w:rsidRDefault="0078129D" w:rsidP="00514C8D">
      <w:pPr>
        <w:spacing w:before="100" w:beforeAutospacing="1" w:after="100" w:afterAutospacing="1"/>
        <w:rPr>
          <w:rFonts w:ascii="HelveticaNeue LT 55 Roman" w:eastAsia="Times New Roman" w:hAnsi="HelveticaNeue LT 55 Roman"/>
          <w:b/>
          <w:sz w:val="22"/>
          <w:szCs w:val="22"/>
          <w:lang w:val="es-ES"/>
        </w:rPr>
      </w:pPr>
      <w:r w:rsidRPr="00514C8D">
        <w:rPr>
          <w:rFonts w:ascii="HelveticaNeue LT 55 Roman" w:eastAsia="Times New Roman" w:hAnsi="HelveticaNeue LT 55 Roman"/>
          <w:b/>
          <w:sz w:val="22"/>
          <w:szCs w:val="22"/>
          <w:lang w:val="es-ES"/>
        </w:rPr>
        <w:t>16) Protección y mejora de la Salud Humana</w:t>
      </w:r>
    </w:p>
    <w:p w14:paraId="7026B3AA"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salud de los ciudadanos es una de las grandes prioridades de la Unión Europea. El artículo 168 del TFUE establece que al definirse y ejecutarse las políticas y acciones de la Unión se garantizará un alto nivel de protección de la salud humana. Aunque la organización y la prestación de la asistencia sanitaria son competencia de cada Estado miembro, la política sanitaria europea complementa, coordina y apoya las políticas nacionales para garantizar que todas las personas que viven en la UE tengan acceso a una asistencia sanitaria de calidad.</w:t>
      </w:r>
    </w:p>
    <w:p w14:paraId="5677E665" w14:textId="77777777" w:rsid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El programa de salud pública para el período 2014-2020 incide en el papel esencial de la buena salud para fomentar la productividad en el trabajo, la competitividad económica y una mejor calidad de vida durante más tiempo. La UE apoya y complementa los esfuerzos nacionales en cuatro ámbitos fundamentales: la promoción de la salud y prevención de la enfermedad; la protección de los ciudadanos frente a las amenazas sanitarias transfronterizas; sistemas de salud sostenibles e innovadores; y una atención sanitaria mejor y más segura para los ciudadanos.</w:t>
      </w:r>
    </w:p>
    <w:p w14:paraId="17C76B89" w14:textId="50CE81EA"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b/>
          <w:sz w:val="22"/>
          <w:szCs w:val="22"/>
          <w:lang w:val="es-ES"/>
        </w:rPr>
        <w:t>17) Industria</w:t>
      </w:r>
    </w:p>
    <w:p w14:paraId="5875141A"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política industrial de la UE tiene por objeto aumentar la competitividad de la industria europea para que ésta pueda mantener su papel impulsor del crecimiento sostenible y del empleo en Europa. A fin de asegurar unas mejores condiciones marco para la industria de la UE se han adoptado distintas estrategias, la más reciente de las cuales se describe en la Comunicación titulada “Por un renacimiento industrial europeo”, de enero de 2014.</w:t>
      </w:r>
    </w:p>
    <w:p w14:paraId="1D5AC3F4" w14:textId="77777777" w:rsid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 xml:space="preserve">La política industrial es de carácter horizontal y tiene como objetivo instaurar unas condiciones marco que favorezcan la competitividad industrial. Asimismo, está integrada en otras políticas de la UE, como las relacionadas con el comercio, el mercado interior, la investigación y la innovación, el empleo, la protección del medio ambiente y la salud pública. La política industrial de la UE está específicamente encaminada a: 1) acelerar la adaptación de la industria a los cambios estructurales; 2) fomentar un entorno favorable a la iniciativa y al desarrollo de las empresas en el conjunto de la Unión y, en particular, de las pequeñas y medianas empresas; 3) promover un entorno favorable a la cooperación </w:t>
      </w:r>
      <w:r w:rsidRPr="00514C8D">
        <w:rPr>
          <w:rFonts w:ascii="HelveticaNeue LT 55 Roman" w:eastAsia="Times New Roman" w:hAnsi="HelveticaNeue LT 55 Roman"/>
          <w:sz w:val="22"/>
          <w:szCs w:val="22"/>
          <w:lang w:val="es-ES"/>
        </w:rPr>
        <w:lastRenderedPageBreak/>
        <w:t>entre empresas, y 4) favorecer un mejor aprovechamiento del potencial industrial de las políticas de innovación, de investigación y de desarrollo tecnológico.</w:t>
      </w:r>
    </w:p>
    <w:p w14:paraId="1E90FF2A" w14:textId="3E1C283B"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b/>
          <w:sz w:val="22"/>
          <w:szCs w:val="22"/>
          <w:lang w:val="es-ES"/>
        </w:rPr>
        <w:t>18) Turismo</w:t>
      </w:r>
    </w:p>
    <w:p w14:paraId="594028F0" w14:textId="77777777" w:rsid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Europa demanda de los Estados Miembros de la Unión un enfoque cooperativo para la industria turística. La entrada en vigor del Tratado de Lisboa ha sentado las bases de una verdadera política europea del turismo, consistente en: promover la competitividad de las empresas del sector turístico y crear un entorno favorable a su desarrollo; propiciar la cooperación entre los Estados miembros, en particular mediante el intercambio de buenas prácticas, y desarrollar un enfoque integrado del turismo garantizando la toma en consideración de este sector en sus demás políticas.</w:t>
      </w:r>
    </w:p>
    <w:p w14:paraId="3B99C04E" w14:textId="0D6F604C" w:rsidR="0078129D" w:rsidRPr="00514C8D" w:rsidRDefault="0078129D" w:rsidP="00514C8D">
      <w:pPr>
        <w:spacing w:before="100" w:beforeAutospacing="1" w:after="100" w:afterAutospacing="1"/>
        <w:jc w:val="both"/>
        <w:rPr>
          <w:rFonts w:ascii="HelveticaNeue LT 55 Roman" w:eastAsia="Times New Roman" w:hAnsi="HelveticaNeue LT 55 Roman"/>
          <w:b/>
          <w:sz w:val="22"/>
          <w:szCs w:val="22"/>
          <w:lang w:val="es-ES"/>
        </w:rPr>
      </w:pP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sz w:val="22"/>
          <w:szCs w:val="22"/>
          <w:lang w:val="es-ES"/>
        </w:rPr>
        <w:br/>
      </w:r>
      <w:r w:rsidRPr="00514C8D">
        <w:rPr>
          <w:rFonts w:ascii="HelveticaNeue LT 55 Roman" w:eastAsia="Times New Roman" w:hAnsi="HelveticaNeue LT 55 Roman"/>
          <w:b/>
          <w:sz w:val="22"/>
          <w:szCs w:val="22"/>
          <w:lang w:val="es-ES"/>
        </w:rPr>
        <w:t>19) Cultura</w:t>
      </w:r>
    </w:p>
    <w:p w14:paraId="14734635" w14:textId="77777777" w:rsidR="0078129D" w:rsidRPr="00514C8D" w:rsidRDefault="0078129D" w:rsidP="0091373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Con la entrada en vigor del Tratado de Maastricht (1993) se empezaron a  llevar a cabo acciones culturales para la salvaguardia, la difusión y el desarrollo de la cultura en Europa. Desde entonces, el papel de la UE se centra fundamentalmente en fomentar las acciones de cooperación entre los operadores culturales de los distintos Estados miembros o a completar sus iniciativas, a fin de contribuir al desarrollo de las culturas de los Estados miembros, respetando su diversidad nacional o regional, con objeto de poner de relieve su herencia cultural común.</w:t>
      </w:r>
    </w:p>
    <w:p w14:paraId="4030847D" w14:textId="77777777" w:rsidR="0091373D" w:rsidRDefault="0078129D" w:rsidP="0091373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A tal fin, la UE ha venido creando instrumentos que respaldan acciones culturales, en la actualidad a través del Programa Europa Creativa, que engloba acciones en el ámbito de la cultura, entre otras la Capital Europea de la Cultura y acciones en el ámbito audiovisual (antiguos Programa Media y Media Plus).</w:t>
      </w:r>
    </w:p>
    <w:p w14:paraId="04CE06AD" w14:textId="627FE7B7" w:rsidR="00514C8D" w:rsidRPr="0091373D" w:rsidRDefault="00514C8D" w:rsidP="0091373D">
      <w:pPr>
        <w:spacing w:before="100" w:beforeAutospacing="1" w:after="100" w:afterAutospacing="1"/>
        <w:jc w:val="both"/>
        <w:rPr>
          <w:rFonts w:ascii="HelveticaNeue LT 55 Roman" w:eastAsia="Times New Roman" w:hAnsi="HelveticaNeue LT 55 Roman"/>
          <w:sz w:val="22"/>
          <w:szCs w:val="22"/>
          <w:lang w:val="es-ES"/>
        </w:rPr>
      </w:pPr>
      <w:bookmarkStart w:id="6" w:name="_GoBack"/>
      <w:bookmarkEnd w:id="6"/>
    </w:p>
    <w:p w14:paraId="255918E0" w14:textId="6EE2BDC3" w:rsidR="0078129D" w:rsidRPr="00514C8D" w:rsidRDefault="0078129D" w:rsidP="0078129D">
      <w:pPr>
        <w:spacing w:before="100" w:beforeAutospacing="1" w:after="100" w:afterAutospacing="1"/>
        <w:rPr>
          <w:rFonts w:ascii="HelveticaNeue LT 55 Roman" w:eastAsia="Times New Roman" w:hAnsi="HelveticaNeue LT 55 Roman"/>
          <w:b/>
          <w:sz w:val="22"/>
          <w:szCs w:val="22"/>
          <w:lang w:val="es-ES"/>
        </w:rPr>
      </w:pPr>
      <w:r w:rsidRPr="00514C8D">
        <w:rPr>
          <w:rFonts w:ascii="HelveticaNeue LT 55 Roman" w:eastAsia="Times New Roman" w:hAnsi="HelveticaNeue LT 55 Roman"/>
          <w:b/>
          <w:sz w:val="22"/>
          <w:szCs w:val="22"/>
          <w:lang w:val="es-ES"/>
        </w:rPr>
        <w:t>20) Educación, Formación Profesional, Juventud y Deporte</w:t>
      </w:r>
    </w:p>
    <w:p w14:paraId="661C1700" w14:textId="77777777" w:rsidR="0078129D" w:rsidRPr="00514C8D" w:rsidRDefault="0078129D" w:rsidP="00514C8D">
      <w:pPr>
        <w:spacing w:before="100" w:beforeAutospacing="1" w:after="100" w:afterAutospacing="1"/>
        <w:jc w:val="both"/>
        <w:rPr>
          <w:rFonts w:ascii="HelveticaNeue LT 55 Roman" w:eastAsia="Times New Roman" w:hAnsi="HelveticaNeue LT 55 Roman"/>
          <w:sz w:val="22"/>
          <w:szCs w:val="22"/>
          <w:lang w:val="es-ES"/>
        </w:rPr>
      </w:pPr>
      <w:r w:rsidRPr="00514C8D">
        <w:rPr>
          <w:rFonts w:ascii="HelveticaNeue LT 55 Roman" w:eastAsia="Times New Roman" w:hAnsi="HelveticaNeue LT 55 Roman"/>
          <w:sz w:val="22"/>
          <w:szCs w:val="22"/>
          <w:lang w:val="es-ES"/>
        </w:rPr>
        <w:t>La política europea en estos ámbitos desempeña un papel fundamental en una economía basada en el conocimiento, proporcionando una mayor cualificación de la población y su mejor adaptación al mercado de trabajo, favoreciendo el crecimiento, el empleo, así como la cohesión social. A través del Programa Erasmus +, en favor de la educación, la formación, la juventud y el deporte, la Unión Europea facilita la movilidad de sus jóvenes, apostando por su formación e invirtiendo en su futuro.</w:t>
      </w:r>
    </w:p>
    <w:p w14:paraId="19BE72EB" w14:textId="3E393659" w:rsidR="000C6789" w:rsidRPr="0078129D" w:rsidRDefault="000C6789" w:rsidP="007450DC">
      <w:pPr>
        <w:rPr>
          <w:rFonts w:ascii="Arial" w:hAnsi="Arial" w:cs="Arial"/>
          <w:lang w:val="es-ES"/>
        </w:rPr>
      </w:pPr>
    </w:p>
    <w:sectPr w:rsidR="000C6789" w:rsidRPr="0078129D" w:rsidSect="009F52DE">
      <w:headerReference w:type="default" r:id="rId18"/>
      <w:footerReference w:type="default" r:id="rId19"/>
      <w:pgSz w:w="11900" w:h="16840"/>
      <w:pgMar w:top="120" w:right="1701" w:bottom="1418" w:left="1162"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9A994" w14:textId="77777777" w:rsidR="0093106A" w:rsidRDefault="0093106A" w:rsidP="008D5DF5">
      <w:r>
        <w:separator/>
      </w:r>
    </w:p>
  </w:endnote>
  <w:endnote w:type="continuationSeparator" w:id="0">
    <w:p w14:paraId="0AFD4F57" w14:textId="77777777" w:rsidR="0093106A" w:rsidRDefault="0093106A" w:rsidP="008D5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HelveticaNeue LT 55 Roman">
    <w:altName w:val="Corbel"/>
    <w:panose1 w:val="02000503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945508"/>
      <w:docPartObj>
        <w:docPartGallery w:val="Page Numbers (Bottom of Page)"/>
        <w:docPartUnique/>
      </w:docPartObj>
    </w:sdtPr>
    <w:sdtEndPr/>
    <w:sdtContent>
      <w:p w14:paraId="0866BAD4" w14:textId="4D1692A8" w:rsidR="00F24F2E" w:rsidRDefault="00F24F2E">
        <w:pPr>
          <w:pStyle w:val="Piedepgina"/>
          <w:jc w:val="right"/>
        </w:pPr>
        <w:r>
          <w:fldChar w:fldCharType="begin"/>
        </w:r>
        <w:r>
          <w:instrText>PAGE   \* MERGEFORMAT</w:instrText>
        </w:r>
        <w:r>
          <w:fldChar w:fldCharType="separate"/>
        </w:r>
        <w:r w:rsidR="00386E49" w:rsidRPr="00386E49">
          <w:rPr>
            <w:noProof/>
            <w:lang w:val="es-ES"/>
          </w:rPr>
          <w:t>14</w:t>
        </w:r>
        <w:r>
          <w:fldChar w:fldCharType="end"/>
        </w:r>
      </w:p>
    </w:sdtContent>
  </w:sdt>
  <w:p w14:paraId="52D00701" w14:textId="77777777" w:rsidR="007C1E41" w:rsidRDefault="007C1E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61F5B" w14:textId="77777777" w:rsidR="0093106A" w:rsidRDefault="0093106A" w:rsidP="008D5DF5">
      <w:r>
        <w:separator/>
      </w:r>
    </w:p>
  </w:footnote>
  <w:footnote w:type="continuationSeparator" w:id="0">
    <w:p w14:paraId="61432FF5" w14:textId="77777777" w:rsidR="0093106A" w:rsidRDefault="0093106A" w:rsidP="008D5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C5801" w14:textId="77777777" w:rsidR="004B5704" w:rsidRDefault="004B5704" w:rsidP="009F52DE">
    <w:pPr>
      <w:pStyle w:val="Encabezado"/>
      <w:tabs>
        <w:tab w:val="left" w:pos="7230"/>
      </w:tabs>
      <w:ind w:left="-1134" w:right="-1595"/>
      <w:jc w:val="center"/>
    </w:pPr>
    <w:r>
      <w:rPr>
        <w:noProof/>
        <w:lang w:val="es-ES"/>
      </w:rPr>
      <w:drawing>
        <wp:inline distT="0" distB="0" distL="0" distR="0" wp14:anchorId="5598869A" wp14:editId="69DED22B">
          <wp:extent cx="7557165" cy="1983756"/>
          <wp:effectExtent l="0" t="0" r="1206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lo:Desktop:UNIDAD DE IMAGEN INSTITUCIONAL:ENCABEZADOS_DOC_UNIDAD DE IMAGEN INSTITUCIONAL:ENCABEZADO CONVOCATORIA UNIDAD DE IMAGEN INSTITUCIONAL DOC.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165" cy="19837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D4A18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61A6307"/>
    <w:multiLevelType w:val="hybridMultilevel"/>
    <w:tmpl w:val="E256B05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9A64F26"/>
    <w:multiLevelType w:val="hybridMultilevel"/>
    <w:tmpl w:val="DBEC9D4A"/>
    <w:lvl w:ilvl="0" w:tplc="5CD28118">
      <w:start w:val="30"/>
      <w:numFmt w:val="bullet"/>
      <w:lvlText w:val="-"/>
      <w:lvlJc w:val="left"/>
      <w:pPr>
        <w:ind w:left="720" w:hanging="360"/>
      </w:pPr>
      <w:rPr>
        <w:rFonts w:ascii="HelveticaNeue LT 55 Roman" w:eastAsia="Times New Roman" w:hAnsi="HelveticaNeue LT 55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8252CA2"/>
    <w:multiLevelType w:val="hybridMultilevel"/>
    <w:tmpl w:val="7E1672B8"/>
    <w:lvl w:ilvl="0" w:tplc="AEB26162">
      <w:start w:val="1"/>
      <w:numFmt w:val="decimal"/>
      <w:lvlText w:val="%1."/>
      <w:lvlJc w:val="left"/>
      <w:pPr>
        <w:ind w:left="1788" w:hanging="360"/>
      </w:pPr>
      <w:rPr>
        <w:rFonts w:hint="default"/>
      </w:rPr>
    </w:lvl>
    <w:lvl w:ilvl="1" w:tplc="0C0A0019" w:tentative="1">
      <w:start w:val="1"/>
      <w:numFmt w:val="lowerLetter"/>
      <w:lvlText w:val="%2."/>
      <w:lvlJc w:val="left"/>
      <w:pPr>
        <w:ind w:left="2508" w:hanging="360"/>
      </w:pPr>
    </w:lvl>
    <w:lvl w:ilvl="2" w:tplc="0C0A001B" w:tentative="1">
      <w:start w:val="1"/>
      <w:numFmt w:val="lowerRoman"/>
      <w:lvlText w:val="%3."/>
      <w:lvlJc w:val="right"/>
      <w:pPr>
        <w:ind w:left="3228" w:hanging="180"/>
      </w:pPr>
    </w:lvl>
    <w:lvl w:ilvl="3" w:tplc="0C0A000F" w:tentative="1">
      <w:start w:val="1"/>
      <w:numFmt w:val="decimal"/>
      <w:lvlText w:val="%4."/>
      <w:lvlJc w:val="left"/>
      <w:pPr>
        <w:ind w:left="3948" w:hanging="360"/>
      </w:pPr>
    </w:lvl>
    <w:lvl w:ilvl="4" w:tplc="0C0A0019" w:tentative="1">
      <w:start w:val="1"/>
      <w:numFmt w:val="lowerLetter"/>
      <w:lvlText w:val="%5."/>
      <w:lvlJc w:val="left"/>
      <w:pPr>
        <w:ind w:left="4668" w:hanging="360"/>
      </w:pPr>
    </w:lvl>
    <w:lvl w:ilvl="5" w:tplc="0C0A001B" w:tentative="1">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4">
    <w:nsid w:val="7D6D1E0B"/>
    <w:multiLevelType w:val="hybridMultilevel"/>
    <w:tmpl w:val="A30C730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D50"/>
    <w:rsid w:val="00025E64"/>
    <w:rsid w:val="00040DC9"/>
    <w:rsid w:val="00043197"/>
    <w:rsid w:val="0006669D"/>
    <w:rsid w:val="00080E9B"/>
    <w:rsid w:val="000C6789"/>
    <w:rsid w:val="001108AC"/>
    <w:rsid w:val="0012312E"/>
    <w:rsid w:val="00177F74"/>
    <w:rsid w:val="002276A4"/>
    <w:rsid w:val="002B1A6F"/>
    <w:rsid w:val="002C0EAC"/>
    <w:rsid w:val="002E3CB0"/>
    <w:rsid w:val="002F4F2E"/>
    <w:rsid w:val="0030353B"/>
    <w:rsid w:val="00305557"/>
    <w:rsid w:val="00386E49"/>
    <w:rsid w:val="00393E5D"/>
    <w:rsid w:val="003E7D36"/>
    <w:rsid w:val="004130E3"/>
    <w:rsid w:val="00480002"/>
    <w:rsid w:val="004B5704"/>
    <w:rsid w:val="004D406D"/>
    <w:rsid w:val="00502386"/>
    <w:rsid w:val="00514C8D"/>
    <w:rsid w:val="00523DAB"/>
    <w:rsid w:val="005A3724"/>
    <w:rsid w:val="005C6662"/>
    <w:rsid w:val="005D63C2"/>
    <w:rsid w:val="00661D02"/>
    <w:rsid w:val="00667704"/>
    <w:rsid w:val="00697731"/>
    <w:rsid w:val="006A6D50"/>
    <w:rsid w:val="006D0774"/>
    <w:rsid w:val="007027DB"/>
    <w:rsid w:val="007450DC"/>
    <w:rsid w:val="0078129D"/>
    <w:rsid w:val="007A7021"/>
    <w:rsid w:val="007C1E41"/>
    <w:rsid w:val="007E365A"/>
    <w:rsid w:val="007E4AD9"/>
    <w:rsid w:val="007E5A8A"/>
    <w:rsid w:val="008320B1"/>
    <w:rsid w:val="00892C0E"/>
    <w:rsid w:val="008D5DF5"/>
    <w:rsid w:val="0090276D"/>
    <w:rsid w:val="0091373D"/>
    <w:rsid w:val="0093106A"/>
    <w:rsid w:val="00942B61"/>
    <w:rsid w:val="00974F94"/>
    <w:rsid w:val="00975C0A"/>
    <w:rsid w:val="009F52DE"/>
    <w:rsid w:val="00A110EC"/>
    <w:rsid w:val="00A6771E"/>
    <w:rsid w:val="00AA602F"/>
    <w:rsid w:val="00AB2881"/>
    <w:rsid w:val="00AB5038"/>
    <w:rsid w:val="00B23074"/>
    <w:rsid w:val="00B56CED"/>
    <w:rsid w:val="00BA63B4"/>
    <w:rsid w:val="00C33C0E"/>
    <w:rsid w:val="00C9670E"/>
    <w:rsid w:val="00CF69BF"/>
    <w:rsid w:val="00D11EAE"/>
    <w:rsid w:val="00E071E5"/>
    <w:rsid w:val="00E132AA"/>
    <w:rsid w:val="00E56408"/>
    <w:rsid w:val="00E71491"/>
    <w:rsid w:val="00ED67A6"/>
    <w:rsid w:val="00EE514C"/>
    <w:rsid w:val="00F03CD4"/>
    <w:rsid w:val="00F24F2E"/>
    <w:rsid w:val="00F638C7"/>
    <w:rsid w:val="00F639CF"/>
    <w:rsid w:val="00FA4BDC"/>
    <w:rsid w:val="00FC5107"/>
    <w:rsid w:val="00FE48C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391AE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31"/>
    <w:rPr>
      <w:rFonts w:ascii="Times" w:eastAsia="Times" w:hAnsi="Times"/>
      <w:sz w:val="24"/>
    </w:rPr>
  </w:style>
  <w:style w:type="paragraph" w:styleId="Ttulo1">
    <w:name w:val="heading 1"/>
    <w:basedOn w:val="Normal"/>
    <w:next w:val="Normal"/>
    <w:link w:val="Ttulo1Car"/>
    <w:uiPriority w:val="9"/>
    <w:qFormat/>
    <w:rsid w:val="00A110EC"/>
    <w:pPr>
      <w:keepNext/>
      <w:keepLines/>
      <w:spacing w:after="240"/>
      <w:outlineLvl w:val="0"/>
    </w:pPr>
    <w:rPr>
      <w:rFonts w:eastAsia="MS Gothic"/>
      <w:b/>
      <w:bCs/>
      <w:color w:val="B01C2E"/>
      <w:sz w:val="28"/>
      <w:szCs w:val="32"/>
    </w:rPr>
  </w:style>
  <w:style w:type="paragraph" w:styleId="Ttulo2">
    <w:name w:val="heading 2"/>
    <w:basedOn w:val="Normal"/>
    <w:next w:val="Normal"/>
    <w:link w:val="Ttulo2Car"/>
    <w:uiPriority w:val="9"/>
    <w:qFormat/>
    <w:rsid w:val="00A110EC"/>
    <w:pPr>
      <w:keepNext/>
      <w:keepLines/>
      <w:spacing w:before="200" w:after="120"/>
      <w:outlineLvl w:val="1"/>
    </w:pPr>
    <w:rPr>
      <w:rFonts w:eastAsia="MS Gothic"/>
      <w:b/>
      <w:bCs/>
      <w:color w:val="00000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110EC"/>
    <w:rPr>
      <w:rFonts w:ascii="Arial" w:eastAsia="MS Gothic" w:hAnsi="Arial" w:cs="Times New Roman"/>
      <w:b/>
      <w:bCs/>
      <w:color w:val="B01C2E"/>
      <w:sz w:val="28"/>
      <w:szCs w:val="32"/>
    </w:rPr>
  </w:style>
  <w:style w:type="character" w:customStyle="1" w:styleId="Ttulo2Car">
    <w:name w:val="Título 2 Car"/>
    <w:link w:val="Ttulo2"/>
    <w:uiPriority w:val="9"/>
    <w:semiHidden/>
    <w:rsid w:val="00A110EC"/>
    <w:rPr>
      <w:rFonts w:ascii="Arial" w:eastAsia="MS Gothic" w:hAnsi="Arial" w:cs="Times New Roman"/>
      <w:b/>
      <w:bCs/>
      <w:color w:val="000000"/>
      <w:sz w:val="22"/>
      <w:szCs w:val="26"/>
    </w:rPr>
  </w:style>
  <w:style w:type="paragraph" w:styleId="Encabezado">
    <w:name w:val="header"/>
    <w:basedOn w:val="Normal"/>
    <w:link w:val="EncabezadoCar"/>
    <w:uiPriority w:val="99"/>
    <w:unhideWhenUsed/>
    <w:rsid w:val="008D5DF5"/>
    <w:pPr>
      <w:tabs>
        <w:tab w:val="center" w:pos="4252"/>
        <w:tab w:val="right" w:pos="8504"/>
      </w:tabs>
    </w:pPr>
  </w:style>
  <w:style w:type="character" w:customStyle="1" w:styleId="EncabezadoCar">
    <w:name w:val="Encabezado Car"/>
    <w:link w:val="Encabezado"/>
    <w:uiPriority w:val="99"/>
    <w:rsid w:val="008D5DF5"/>
    <w:rPr>
      <w:rFonts w:ascii="Arial" w:hAnsi="Arial"/>
      <w:sz w:val="22"/>
    </w:rPr>
  </w:style>
  <w:style w:type="paragraph" w:styleId="Piedepgina">
    <w:name w:val="footer"/>
    <w:basedOn w:val="Normal"/>
    <w:link w:val="PiedepginaCar"/>
    <w:uiPriority w:val="99"/>
    <w:unhideWhenUsed/>
    <w:rsid w:val="008D5DF5"/>
    <w:pPr>
      <w:tabs>
        <w:tab w:val="center" w:pos="4252"/>
        <w:tab w:val="right" w:pos="8504"/>
      </w:tabs>
    </w:pPr>
  </w:style>
  <w:style w:type="character" w:customStyle="1" w:styleId="PiedepginaCar">
    <w:name w:val="Pie de página Car"/>
    <w:link w:val="Piedepgina"/>
    <w:uiPriority w:val="99"/>
    <w:rsid w:val="008D5DF5"/>
    <w:rPr>
      <w:rFonts w:ascii="Arial" w:hAnsi="Arial"/>
      <w:sz w:val="22"/>
    </w:rPr>
  </w:style>
  <w:style w:type="paragraph" w:styleId="Textodeglobo">
    <w:name w:val="Balloon Text"/>
    <w:basedOn w:val="Normal"/>
    <w:link w:val="TextodegloboCar"/>
    <w:uiPriority w:val="99"/>
    <w:semiHidden/>
    <w:unhideWhenUsed/>
    <w:rsid w:val="008D5DF5"/>
    <w:rPr>
      <w:rFonts w:ascii="Lucida Grande" w:hAnsi="Lucida Grande" w:cs="Lucida Grande"/>
      <w:sz w:val="18"/>
      <w:szCs w:val="18"/>
    </w:rPr>
  </w:style>
  <w:style w:type="character" w:customStyle="1" w:styleId="TextodegloboCar">
    <w:name w:val="Texto de globo Car"/>
    <w:link w:val="Textodeglobo"/>
    <w:uiPriority w:val="99"/>
    <w:semiHidden/>
    <w:rsid w:val="008D5DF5"/>
    <w:rPr>
      <w:rFonts w:ascii="Lucida Grande" w:hAnsi="Lucida Grande" w:cs="Lucida Grande"/>
      <w:sz w:val="18"/>
      <w:szCs w:val="18"/>
    </w:rPr>
  </w:style>
  <w:style w:type="paragraph" w:styleId="NormalWeb">
    <w:name w:val="Normal (Web)"/>
    <w:basedOn w:val="Normal"/>
    <w:uiPriority w:val="99"/>
    <w:rsid w:val="008D5DF5"/>
    <w:pPr>
      <w:spacing w:before="100" w:beforeAutospacing="1" w:after="100" w:afterAutospacing="1"/>
    </w:pPr>
    <w:rPr>
      <w:rFonts w:ascii="Times New Roman" w:eastAsia="Times New Roman" w:hAnsi="Times New Roman"/>
      <w:szCs w:val="24"/>
      <w:lang w:val="es-ES"/>
    </w:rPr>
  </w:style>
  <w:style w:type="paragraph" w:styleId="Sangra3detindependiente">
    <w:name w:val="Body Text Indent 3"/>
    <w:basedOn w:val="Normal"/>
    <w:link w:val="Sangra3detindependienteCar"/>
    <w:rsid w:val="008D5DF5"/>
    <w:pPr>
      <w:spacing w:after="120"/>
      <w:ind w:left="283"/>
    </w:pPr>
    <w:rPr>
      <w:sz w:val="16"/>
      <w:szCs w:val="16"/>
    </w:rPr>
  </w:style>
  <w:style w:type="character" w:customStyle="1" w:styleId="Sangra3detindependienteCar">
    <w:name w:val="Sangría 3 de t. independiente Car"/>
    <w:link w:val="Sangra3detindependiente"/>
    <w:rsid w:val="008D5DF5"/>
    <w:rPr>
      <w:rFonts w:ascii="Times" w:eastAsia="Times" w:hAnsi="Times" w:cs="Times New Roman"/>
      <w:sz w:val="16"/>
      <w:szCs w:val="16"/>
    </w:rPr>
  </w:style>
  <w:style w:type="paragraph" w:customStyle="1" w:styleId="CharCarCar">
    <w:name w:val="Char Car Car"/>
    <w:basedOn w:val="Normal"/>
    <w:rsid w:val="008D5DF5"/>
    <w:pPr>
      <w:spacing w:after="160" w:line="240" w:lineRule="exact"/>
    </w:pPr>
    <w:rPr>
      <w:rFonts w:ascii="Tahoma" w:eastAsia="Times New Roman" w:hAnsi="Tahoma"/>
      <w:snapToGrid w:val="0"/>
      <w:sz w:val="20"/>
      <w:lang w:val="en-US" w:eastAsia="en-GB"/>
    </w:rPr>
  </w:style>
  <w:style w:type="character" w:customStyle="1" w:styleId="small">
    <w:name w:val="small"/>
    <w:rsid w:val="008D5DF5"/>
  </w:style>
  <w:style w:type="table" w:styleId="Tablaconcuadrcula">
    <w:name w:val="Table Grid"/>
    <w:basedOn w:val="Tablanormal"/>
    <w:uiPriority w:val="59"/>
    <w:rsid w:val="004B57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276A4"/>
    <w:rPr>
      <w:color w:val="0000FF" w:themeColor="hyperlink"/>
      <w:u w:val="single"/>
    </w:rPr>
  </w:style>
  <w:style w:type="character" w:styleId="Textoennegrita">
    <w:name w:val="Strong"/>
    <w:basedOn w:val="Fuentedeprrafopredeter"/>
    <w:uiPriority w:val="22"/>
    <w:qFormat/>
    <w:rsid w:val="002276A4"/>
    <w:rPr>
      <w:b/>
      <w:bCs/>
    </w:rPr>
  </w:style>
  <w:style w:type="character" w:customStyle="1" w:styleId="foto-firma">
    <w:name w:val="foto-firma"/>
    <w:basedOn w:val="Fuentedeprrafopredeter"/>
    <w:rsid w:val="002276A4"/>
  </w:style>
  <w:style w:type="character" w:customStyle="1" w:styleId="foto-autor">
    <w:name w:val="foto-autor"/>
    <w:basedOn w:val="Fuentedeprrafopredeter"/>
    <w:rsid w:val="002276A4"/>
  </w:style>
  <w:style w:type="character" w:styleId="nfasis">
    <w:name w:val="Emphasis"/>
    <w:basedOn w:val="Fuentedeprrafopredeter"/>
    <w:uiPriority w:val="20"/>
    <w:qFormat/>
    <w:rsid w:val="002276A4"/>
    <w:rPr>
      <w:i/>
      <w:iCs/>
    </w:rPr>
  </w:style>
  <w:style w:type="character" w:customStyle="1" w:styleId="sinenlace">
    <w:name w:val="sin_enlace"/>
    <w:basedOn w:val="Fuentedeprrafopredeter"/>
    <w:rsid w:val="002276A4"/>
  </w:style>
  <w:style w:type="paragraph" w:styleId="Prrafodelista">
    <w:name w:val="List Paragraph"/>
    <w:basedOn w:val="Normal"/>
    <w:uiPriority w:val="34"/>
    <w:qFormat/>
    <w:rsid w:val="0078129D"/>
    <w:pPr>
      <w:ind w:left="720"/>
      <w:contextualSpacing/>
    </w:pPr>
  </w:style>
  <w:style w:type="character" w:styleId="Hipervnculovisitado">
    <w:name w:val="FollowedHyperlink"/>
    <w:basedOn w:val="Fuentedeprrafopredeter"/>
    <w:uiPriority w:val="99"/>
    <w:semiHidden/>
    <w:unhideWhenUsed/>
    <w:rsid w:val="002E3C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31"/>
    <w:rPr>
      <w:rFonts w:ascii="Times" w:eastAsia="Times" w:hAnsi="Times"/>
      <w:sz w:val="24"/>
    </w:rPr>
  </w:style>
  <w:style w:type="paragraph" w:styleId="Ttulo1">
    <w:name w:val="heading 1"/>
    <w:basedOn w:val="Normal"/>
    <w:next w:val="Normal"/>
    <w:link w:val="Ttulo1Car"/>
    <w:uiPriority w:val="9"/>
    <w:qFormat/>
    <w:rsid w:val="00A110EC"/>
    <w:pPr>
      <w:keepNext/>
      <w:keepLines/>
      <w:spacing w:after="240"/>
      <w:outlineLvl w:val="0"/>
    </w:pPr>
    <w:rPr>
      <w:rFonts w:eastAsia="MS Gothic"/>
      <w:b/>
      <w:bCs/>
      <w:color w:val="B01C2E"/>
      <w:sz w:val="28"/>
      <w:szCs w:val="32"/>
    </w:rPr>
  </w:style>
  <w:style w:type="paragraph" w:styleId="Ttulo2">
    <w:name w:val="heading 2"/>
    <w:basedOn w:val="Normal"/>
    <w:next w:val="Normal"/>
    <w:link w:val="Ttulo2Car"/>
    <w:uiPriority w:val="9"/>
    <w:qFormat/>
    <w:rsid w:val="00A110EC"/>
    <w:pPr>
      <w:keepNext/>
      <w:keepLines/>
      <w:spacing w:before="200" w:after="120"/>
      <w:outlineLvl w:val="1"/>
    </w:pPr>
    <w:rPr>
      <w:rFonts w:eastAsia="MS Gothic"/>
      <w:b/>
      <w:bCs/>
      <w:color w:val="00000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110EC"/>
    <w:rPr>
      <w:rFonts w:ascii="Arial" w:eastAsia="MS Gothic" w:hAnsi="Arial" w:cs="Times New Roman"/>
      <w:b/>
      <w:bCs/>
      <w:color w:val="B01C2E"/>
      <w:sz w:val="28"/>
      <w:szCs w:val="32"/>
    </w:rPr>
  </w:style>
  <w:style w:type="character" w:customStyle="1" w:styleId="Ttulo2Car">
    <w:name w:val="Título 2 Car"/>
    <w:link w:val="Ttulo2"/>
    <w:uiPriority w:val="9"/>
    <w:semiHidden/>
    <w:rsid w:val="00A110EC"/>
    <w:rPr>
      <w:rFonts w:ascii="Arial" w:eastAsia="MS Gothic" w:hAnsi="Arial" w:cs="Times New Roman"/>
      <w:b/>
      <w:bCs/>
      <w:color w:val="000000"/>
      <w:sz w:val="22"/>
      <w:szCs w:val="26"/>
    </w:rPr>
  </w:style>
  <w:style w:type="paragraph" w:styleId="Encabezado">
    <w:name w:val="header"/>
    <w:basedOn w:val="Normal"/>
    <w:link w:val="EncabezadoCar"/>
    <w:uiPriority w:val="99"/>
    <w:unhideWhenUsed/>
    <w:rsid w:val="008D5DF5"/>
    <w:pPr>
      <w:tabs>
        <w:tab w:val="center" w:pos="4252"/>
        <w:tab w:val="right" w:pos="8504"/>
      </w:tabs>
    </w:pPr>
  </w:style>
  <w:style w:type="character" w:customStyle="1" w:styleId="EncabezadoCar">
    <w:name w:val="Encabezado Car"/>
    <w:link w:val="Encabezado"/>
    <w:uiPriority w:val="99"/>
    <w:rsid w:val="008D5DF5"/>
    <w:rPr>
      <w:rFonts w:ascii="Arial" w:hAnsi="Arial"/>
      <w:sz w:val="22"/>
    </w:rPr>
  </w:style>
  <w:style w:type="paragraph" w:styleId="Piedepgina">
    <w:name w:val="footer"/>
    <w:basedOn w:val="Normal"/>
    <w:link w:val="PiedepginaCar"/>
    <w:uiPriority w:val="99"/>
    <w:unhideWhenUsed/>
    <w:rsid w:val="008D5DF5"/>
    <w:pPr>
      <w:tabs>
        <w:tab w:val="center" w:pos="4252"/>
        <w:tab w:val="right" w:pos="8504"/>
      </w:tabs>
    </w:pPr>
  </w:style>
  <w:style w:type="character" w:customStyle="1" w:styleId="PiedepginaCar">
    <w:name w:val="Pie de página Car"/>
    <w:link w:val="Piedepgina"/>
    <w:uiPriority w:val="99"/>
    <w:rsid w:val="008D5DF5"/>
    <w:rPr>
      <w:rFonts w:ascii="Arial" w:hAnsi="Arial"/>
      <w:sz w:val="22"/>
    </w:rPr>
  </w:style>
  <w:style w:type="paragraph" w:styleId="Textodeglobo">
    <w:name w:val="Balloon Text"/>
    <w:basedOn w:val="Normal"/>
    <w:link w:val="TextodegloboCar"/>
    <w:uiPriority w:val="99"/>
    <w:semiHidden/>
    <w:unhideWhenUsed/>
    <w:rsid w:val="008D5DF5"/>
    <w:rPr>
      <w:rFonts w:ascii="Lucida Grande" w:hAnsi="Lucida Grande" w:cs="Lucida Grande"/>
      <w:sz w:val="18"/>
      <w:szCs w:val="18"/>
    </w:rPr>
  </w:style>
  <w:style w:type="character" w:customStyle="1" w:styleId="TextodegloboCar">
    <w:name w:val="Texto de globo Car"/>
    <w:link w:val="Textodeglobo"/>
    <w:uiPriority w:val="99"/>
    <w:semiHidden/>
    <w:rsid w:val="008D5DF5"/>
    <w:rPr>
      <w:rFonts w:ascii="Lucida Grande" w:hAnsi="Lucida Grande" w:cs="Lucida Grande"/>
      <w:sz w:val="18"/>
      <w:szCs w:val="18"/>
    </w:rPr>
  </w:style>
  <w:style w:type="paragraph" w:styleId="NormalWeb">
    <w:name w:val="Normal (Web)"/>
    <w:basedOn w:val="Normal"/>
    <w:uiPriority w:val="99"/>
    <w:rsid w:val="008D5DF5"/>
    <w:pPr>
      <w:spacing w:before="100" w:beforeAutospacing="1" w:after="100" w:afterAutospacing="1"/>
    </w:pPr>
    <w:rPr>
      <w:rFonts w:ascii="Times New Roman" w:eastAsia="Times New Roman" w:hAnsi="Times New Roman"/>
      <w:szCs w:val="24"/>
      <w:lang w:val="es-ES"/>
    </w:rPr>
  </w:style>
  <w:style w:type="paragraph" w:styleId="Sangra3detindependiente">
    <w:name w:val="Body Text Indent 3"/>
    <w:basedOn w:val="Normal"/>
    <w:link w:val="Sangra3detindependienteCar"/>
    <w:rsid w:val="008D5DF5"/>
    <w:pPr>
      <w:spacing w:after="120"/>
      <w:ind w:left="283"/>
    </w:pPr>
    <w:rPr>
      <w:sz w:val="16"/>
      <w:szCs w:val="16"/>
    </w:rPr>
  </w:style>
  <w:style w:type="character" w:customStyle="1" w:styleId="Sangra3detindependienteCar">
    <w:name w:val="Sangría 3 de t. independiente Car"/>
    <w:link w:val="Sangra3detindependiente"/>
    <w:rsid w:val="008D5DF5"/>
    <w:rPr>
      <w:rFonts w:ascii="Times" w:eastAsia="Times" w:hAnsi="Times" w:cs="Times New Roman"/>
      <w:sz w:val="16"/>
      <w:szCs w:val="16"/>
    </w:rPr>
  </w:style>
  <w:style w:type="paragraph" w:customStyle="1" w:styleId="CharCarCar">
    <w:name w:val="Char Car Car"/>
    <w:basedOn w:val="Normal"/>
    <w:rsid w:val="008D5DF5"/>
    <w:pPr>
      <w:spacing w:after="160" w:line="240" w:lineRule="exact"/>
    </w:pPr>
    <w:rPr>
      <w:rFonts w:ascii="Tahoma" w:eastAsia="Times New Roman" w:hAnsi="Tahoma"/>
      <w:snapToGrid w:val="0"/>
      <w:sz w:val="20"/>
      <w:lang w:val="en-US" w:eastAsia="en-GB"/>
    </w:rPr>
  </w:style>
  <w:style w:type="character" w:customStyle="1" w:styleId="small">
    <w:name w:val="small"/>
    <w:rsid w:val="008D5DF5"/>
  </w:style>
  <w:style w:type="table" w:styleId="Tablaconcuadrcula">
    <w:name w:val="Table Grid"/>
    <w:basedOn w:val="Tablanormal"/>
    <w:uiPriority w:val="59"/>
    <w:rsid w:val="004B57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276A4"/>
    <w:rPr>
      <w:color w:val="0000FF" w:themeColor="hyperlink"/>
      <w:u w:val="single"/>
    </w:rPr>
  </w:style>
  <w:style w:type="character" w:styleId="Textoennegrita">
    <w:name w:val="Strong"/>
    <w:basedOn w:val="Fuentedeprrafopredeter"/>
    <w:uiPriority w:val="22"/>
    <w:qFormat/>
    <w:rsid w:val="002276A4"/>
    <w:rPr>
      <w:b/>
      <w:bCs/>
    </w:rPr>
  </w:style>
  <w:style w:type="character" w:customStyle="1" w:styleId="foto-firma">
    <w:name w:val="foto-firma"/>
    <w:basedOn w:val="Fuentedeprrafopredeter"/>
    <w:rsid w:val="002276A4"/>
  </w:style>
  <w:style w:type="character" w:customStyle="1" w:styleId="foto-autor">
    <w:name w:val="foto-autor"/>
    <w:basedOn w:val="Fuentedeprrafopredeter"/>
    <w:rsid w:val="002276A4"/>
  </w:style>
  <w:style w:type="character" w:styleId="nfasis">
    <w:name w:val="Emphasis"/>
    <w:basedOn w:val="Fuentedeprrafopredeter"/>
    <w:uiPriority w:val="20"/>
    <w:qFormat/>
    <w:rsid w:val="002276A4"/>
    <w:rPr>
      <w:i/>
      <w:iCs/>
    </w:rPr>
  </w:style>
  <w:style w:type="character" w:customStyle="1" w:styleId="sinenlace">
    <w:name w:val="sin_enlace"/>
    <w:basedOn w:val="Fuentedeprrafopredeter"/>
    <w:rsid w:val="002276A4"/>
  </w:style>
  <w:style w:type="paragraph" w:styleId="Prrafodelista">
    <w:name w:val="List Paragraph"/>
    <w:basedOn w:val="Normal"/>
    <w:uiPriority w:val="34"/>
    <w:qFormat/>
    <w:rsid w:val="0078129D"/>
    <w:pPr>
      <w:ind w:left="720"/>
      <w:contextualSpacing/>
    </w:pPr>
  </w:style>
  <w:style w:type="character" w:styleId="Hipervnculovisitado">
    <w:name w:val="FollowedHyperlink"/>
    <w:basedOn w:val="Fuentedeprrafopredeter"/>
    <w:uiPriority w:val="99"/>
    <w:semiHidden/>
    <w:unhideWhenUsed/>
    <w:rsid w:val="002E3C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2556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rioja.org/larioja-client/cm/accion-exterior/images?idMmedia=72798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youtube.com/watch?v=G8tXRG77JHQ&amp;list=PLSlpFfsTYJCmmI8vAuT9FRjTh9kVXQtHs&amp;index=1"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parl.es/resource/static/files/30_Aniversario_Espa%C3%B1a_UE/30_razones_octubre_2015.pdf"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exteriores.gob.es/Portal/es/PoliticaExteriorCooperacion/UnionEuropea/Paginas/Pol%C3%ADticas-comunes-de-la-Uni%C3%B3n-Europea.asp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politica.elpais.com/politica/2015/06/11/actualidad/1434049790_197630.html"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A34F5-26DB-4015-BDE7-62BA5838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5630</Words>
  <Characters>30965</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pepe perez</dc:creator>
  <cp:lastModifiedBy>Virginia Garcia Navas</cp:lastModifiedBy>
  <cp:revision>5</cp:revision>
  <dcterms:created xsi:type="dcterms:W3CDTF">2016-04-19T07:03:00Z</dcterms:created>
  <dcterms:modified xsi:type="dcterms:W3CDTF">2016-04-19T11:32:00Z</dcterms:modified>
</cp:coreProperties>
</file>