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2F" w:rsidRPr="0038063B" w:rsidRDefault="0082412F">
      <w:pPr>
        <w:rPr>
          <w:sz w:val="20"/>
          <w:szCs w:val="20"/>
        </w:rPr>
      </w:pPr>
      <w:bookmarkStart w:id="0" w:name="_GoBack"/>
      <w:bookmarkEnd w:id="0"/>
    </w:p>
    <w:tbl>
      <w:tblPr>
        <w:tblW w:w="14074" w:type="dxa"/>
        <w:tblLayout w:type="fixed"/>
        <w:tblCellMar>
          <w:left w:w="70" w:type="dxa"/>
          <w:right w:w="70" w:type="dxa"/>
        </w:tblCellMar>
        <w:tblLook w:val="04A0" w:firstRow="1" w:lastRow="0" w:firstColumn="1" w:lastColumn="0" w:noHBand="0" w:noVBand="1"/>
      </w:tblPr>
      <w:tblGrid>
        <w:gridCol w:w="3402"/>
        <w:gridCol w:w="1134"/>
        <w:gridCol w:w="1701"/>
        <w:gridCol w:w="1843"/>
        <w:gridCol w:w="3402"/>
        <w:gridCol w:w="2592"/>
      </w:tblGrid>
      <w:tr w:rsidR="00D30F86" w:rsidRPr="0038063B" w:rsidTr="003E58E1">
        <w:trPr>
          <w:trHeight w:val="980"/>
        </w:trPr>
        <w:tc>
          <w:tcPr>
            <w:tcW w:w="14074" w:type="dxa"/>
            <w:gridSpan w:val="6"/>
            <w:tcBorders>
              <w:top w:val="nil"/>
              <w:left w:val="nil"/>
              <w:bottom w:val="single" w:sz="12" w:space="0" w:color="FFFFFF"/>
              <w:right w:val="single" w:sz="4" w:space="0" w:color="FFFFFF"/>
            </w:tcBorders>
            <w:shd w:val="clear" w:color="000000" w:fill="002060"/>
            <w:vAlign w:val="center"/>
          </w:tcPr>
          <w:p w:rsidR="00B878AD" w:rsidRPr="0038063B" w:rsidRDefault="00D30F86" w:rsidP="00BF42CB">
            <w:pPr>
              <w:jc w:val="center"/>
              <w:rPr>
                <w:rFonts w:ascii="Calibri" w:eastAsia="Times New Roman" w:hAnsi="Calibri" w:cs="Calibri"/>
                <w:b/>
                <w:bCs/>
                <w:color w:val="FFFFFF"/>
                <w:sz w:val="20"/>
                <w:szCs w:val="20"/>
                <w:lang w:eastAsia="es-ES_tradnl"/>
              </w:rPr>
            </w:pPr>
            <w:r w:rsidRPr="0038063B">
              <w:rPr>
                <w:rFonts w:ascii="Calibri" w:eastAsia="Times New Roman" w:hAnsi="Calibri" w:cs="Calibri"/>
                <w:b/>
                <w:bCs/>
                <w:color w:val="FFFFFF"/>
                <w:sz w:val="20"/>
                <w:szCs w:val="20"/>
                <w:lang w:eastAsia="es-ES_tradnl"/>
              </w:rPr>
              <w:t>CONVOCATORIAS</w:t>
            </w:r>
            <w:r w:rsidR="005B40C3" w:rsidRPr="0038063B">
              <w:rPr>
                <w:rFonts w:ascii="Calibri" w:eastAsia="Times New Roman" w:hAnsi="Calibri" w:cs="Calibri"/>
                <w:b/>
                <w:bCs/>
                <w:color w:val="FFFFFF"/>
                <w:sz w:val="20"/>
                <w:szCs w:val="20"/>
                <w:lang w:eastAsia="es-ES_tradnl"/>
              </w:rPr>
              <w:t xml:space="preserve"> Y LICITACIONES</w:t>
            </w:r>
            <w:r w:rsidRPr="0038063B">
              <w:rPr>
                <w:rFonts w:ascii="Calibri" w:eastAsia="Times New Roman" w:hAnsi="Calibri" w:cs="Calibri"/>
                <w:b/>
                <w:bCs/>
                <w:color w:val="FFFFFF"/>
                <w:sz w:val="20"/>
                <w:szCs w:val="20"/>
                <w:lang w:eastAsia="es-ES_tradnl"/>
              </w:rPr>
              <w:t xml:space="preserve"> DE LA COMUNID</w:t>
            </w:r>
            <w:r w:rsidR="005B40C3" w:rsidRPr="0038063B">
              <w:rPr>
                <w:rFonts w:ascii="Calibri" w:eastAsia="Times New Roman" w:hAnsi="Calibri" w:cs="Calibri"/>
                <w:b/>
                <w:bCs/>
                <w:color w:val="FFFFFF"/>
                <w:sz w:val="20"/>
                <w:szCs w:val="20"/>
                <w:lang w:eastAsia="es-ES_tradnl"/>
              </w:rPr>
              <w:t>A</w:t>
            </w:r>
            <w:r w:rsidRPr="0038063B">
              <w:rPr>
                <w:rFonts w:ascii="Calibri" w:eastAsia="Times New Roman" w:hAnsi="Calibri" w:cs="Calibri"/>
                <w:b/>
                <w:bCs/>
                <w:color w:val="FFFFFF"/>
                <w:sz w:val="20"/>
                <w:szCs w:val="20"/>
                <w:lang w:eastAsia="es-ES_tradnl"/>
              </w:rPr>
              <w:t>D AUTÓNOMA DE LA RIOJA FINANCIADAS POR EL PLAN DE RECUPERACIÓN,</w:t>
            </w:r>
            <w:r w:rsidR="00745BE7" w:rsidRPr="0038063B">
              <w:rPr>
                <w:rFonts w:ascii="Calibri" w:eastAsia="Times New Roman" w:hAnsi="Calibri" w:cs="Calibri"/>
                <w:b/>
                <w:bCs/>
                <w:color w:val="FFFFFF"/>
                <w:sz w:val="20"/>
                <w:szCs w:val="20"/>
                <w:lang w:eastAsia="es-ES_tradnl"/>
              </w:rPr>
              <w:t xml:space="preserve"> TRANSFORMACIÓN Y RESILIENCIA.</w:t>
            </w:r>
          </w:p>
          <w:p w:rsidR="00D30F86" w:rsidRPr="0038063B" w:rsidRDefault="00745BE7" w:rsidP="00BF42CB">
            <w:pPr>
              <w:jc w:val="center"/>
              <w:rPr>
                <w:rFonts w:ascii="Calibri" w:eastAsia="Times New Roman" w:hAnsi="Calibri" w:cs="Calibri"/>
                <w:b/>
                <w:bCs/>
                <w:color w:val="FFFFFF"/>
                <w:sz w:val="20"/>
                <w:szCs w:val="20"/>
                <w:lang w:eastAsia="es-ES_tradnl"/>
              </w:rPr>
            </w:pPr>
            <w:r w:rsidRPr="0038063B">
              <w:rPr>
                <w:rFonts w:ascii="Calibri" w:eastAsia="Times New Roman" w:hAnsi="Calibri" w:cs="Calibri"/>
                <w:b/>
                <w:bCs/>
                <w:color w:val="FFFFFF"/>
                <w:sz w:val="20"/>
                <w:szCs w:val="20"/>
                <w:lang w:eastAsia="es-ES_tradnl"/>
              </w:rPr>
              <w:t xml:space="preserve"> 1º SEMESTRE 2024</w:t>
            </w:r>
          </w:p>
        </w:tc>
      </w:tr>
      <w:tr w:rsidR="00D30F86" w:rsidRPr="0038063B" w:rsidTr="003E58E1">
        <w:trPr>
          <w:trHeight w:val="980"/>
        </w:trPr>
        <w:tc>
          <w:tcPr>
            <w:tcW w:w="3402" w:type="dxa"/>
            <w:tcBorders>
              <w:top w:val="nil"/>
              <w:left w:val="nil"/>
              <w:bottom w:val="single" w:sz="12" w:space="0" w:color="FFFFFF"/>
              <w:right w:val="single" w:sz="4" w:space="0" w:color="FFFFFF"/>
            </w:tcBorders>
            <w:shd w:val="clear" w:color="000000" w:fill="002060"/>
            <w:vAlign w:val="center"/>
            <w:hideMark/>
          </w:tcPr>
          <w:p w:rsidR="00D30F86" w:rsidRPr="0038063B" w:rsidRDefault="00D30F86" w:rsidP="00061F4B">
            <w:pPr>
              <w:jc w:val="center"/>
              <w:rPr>
                <w:rFonts w:ascii="Calibri" w:eastAsia="Times New Roman" w:hAnsi="Calibri" w:cs="Calibri"/>
                <w:b/>
                <w:bCs/>
                <w:color w:val="FFFFFF"/>
                <w:sz w:val="20"/>
                <w:szCs w:val="20"/>
                <w:lang w:eastAsia="es-ES_tradnl"/>
              </w:rPr>
            </w:pPr>
            <w:r w:rsidRPr="0038063B">
              <w:rPr>
                <w:rFonts w:ascii="Calibri" w:eastAsia="Times New Roman" w:hAnsi="Calibri" w:cs="Calibri"/>
                <w:b/>
                <w:bCs/>
                <w:color w:val="FFFFFF"/>
                <w:sz w:val="20"/>
                <w:szCs w:val="20"/>
                <w:lang w:eastAsia="es-ES_tradnl"/>
              </w:rPr>
              <w:t>Actuación</w:t>
            </w:r>
          </w:p>
        </w:tc>
        <w:tc>
          <w:tcPr>
            <w:tcW w:w="1134" w:type="dxa"/>
            <w:tcBorders>
              <w:top w:val="nil"/>
              <w:left w:val="nil"/>
              <w:bottom w:val="single" w:sz="12" w:space="0" w:color="FFFFFF"/>
              <w:right w:val="single" w:sz="4" w:space="0" w:color="FFFFFF"/>
            </w:tcBorders>
            <w:shd w:val="clear" w:color="000000" w:fill="002060"/>
            <w:vAlign w:val="center"/>
            <w:hideMark/>
          </w:tcPr>
          <w:p w:rsidR="00D30F86" w:rsidRPr="0038063B" w:rsidRDefault="00D30F86" w:rsidP="00061F4B">
            <w:pPr>
              <w:jc w:val="center"/>
              <w:rPr>
                <w:rFonts w:ascii="Calibri" w:eastAsia="Times New Roman" w:hAnsi="Calibri" w:cs="Calibri"/>
                <w:b/>
                <w:bCs/>
                <w:color w:val="FFFFFF"/>
                <w:sz w:val="20"/>
                <w:szCs w:val="20"/>
                <w:lang w:eastAsia="es-ES_tradnl"/>
              </w:rPr>
            </w:pPr>
            <w:r w:rsidRPr="0038063B">
              <w:rPr>
                <w:rFonts w:ascii="Calibri" w:eastAsia="Times New Roman" w:hAnsi="Calibri" w:cs="Calibri"/>
                <w:b/>
                <w:bCs/>
                <w:color w:val="FFFFFF"/>
                <w:sz w:val="20"/>
                <w:szCs w:val="20"/>
                <w:lang w:eastAsia="es-ES_tradnl"/>
              </w:rPr>
              <w:t>Semestre</w:t>
            </w:r>
          </w:p>
        </w:tc>
        <w:tc>
          <w:tcPr>
            <w:tcW w:w="1701" w:type="dxa"/>
            <w:tcBorders>
              <w:top w:val="nil"/>
              <w:left w:val="nil"/>
              <w:bottom w:val="single" w:sz="12" w:space="0" w:color="FFFFFF"/>
              <w:right w:val="single" w:sz="4" w:space="0" w:color="FFFFFF"/>
            </w:tcBorders>
            <w:shd w:val="clear" w:color="000000" w:fill="002060"/>
            <w:vAlign w:val="center"/>
            <w:hideMark/>
          </w:tcPr>
          <w:p w:rsidR="00D30F86" w:rsidRPr="0038063B" w:rsidRDefault="00D30F86" w:rsidP="00061F4B">
            <w:pPr>
              <w:jc w:val="center"/>
              <w:rPr>
                <w:rFonts w:ascii="Calibri" w:eastAsia="Times New Roman" w:hAnsi="Calibri" w:cs="Calibri"/>
                <w:b/>
                <w:bCs/>
                <w:color w:val="FFFFFF"/>
                <w:sz w:val="20"/>
                <w:szCs w:val="20"/>
                <w:lang w:eastAsia="es-ES_tradnl"/>
              </w:rPr>
            </w:pPr>
            <w:r w:rsidRPr="0038063B">
              <w:rPr>
                <w:rFonts w:ascii="Calibri" w:eastAsia="Times New Roman" w:hAnsi="Calibri" w:cs="Calibri"/>
                <w:b/>
                <w:bCs/>
                <w:color w:val="FFFFFF"/>
                <w:sz w:val="20"/>
                <w:szCs w:val="20"/>
                <w:lang w:eastAsia="es-ES_tradnl"/>
              </w:rPr>
              <w:t>Consejería Responsable</w:t>
            </w:r>
          </w:p>
        </w:tc>
        <w:tc>
          <w:tcPr>
            <w:tcW w:w="1843" w:type="dxa"/>
            <w:tcBorders>
              <w:top w:val="nil"/>
              <w:left w:val="nil"/>
              <w:bottom w:val="single" w:sz="12" w:space="0" w:color="FFFFFF"/>
              <w:right w:val="single" w:sz="4" w:space="0" w:color="FFFFFF"/>
            </w:tcBorders>
            <w:shd w:val="clear" w:color="000000" w:fill="002060"/>
            <w:vAlign w:val="center"/>
            <w:hideMark/>
          </w:tcPr>
          <w:p w:rsidR="00D30F86" w:rsidRPr="0038063B" w:rsidRDefault="00D30F86" w:rsidP="00061F4B">
            <w:pPr>
              <w:jc w:val="center"/>
              <w:rPr>
                <w:rFonts w:ascii="Calibri" w:eastAsia="Times New Roman" w:hAnsi="Calibri" w:cs="Calibri"/>
                <w:b/>
                <w:bCs/>
                <w:color w:val="FFFFFF"/>
                <w:sz w:val="20"/>
                <w:szCs w:val="20"/>
                <w:lang w:eastAsia="es-ES_tradnl"/>
              </w:rPr>
            </w:pPr>
            <w:r w:rsidRPr="0038063B">
              <w:rPr>
                <w:rFonts w:ascii="Calibri" w:eastAsia="Times New Roman" w:hAnsi="Calibri" w:cs="Calibri"/>
                <w:b/>
                <w:bCs/>
                <w:color w:val="FFFFFF"/>
                <w:sz w:val="20"/>
                <w:szCs w:val="20"/>
                <w:lang w:eastAsia="es-ES_tradnl"/>
              </w:rPr>
              <w:t>Destinatarios finales</w:t>
            </w:r>
          </w:p>
        </w:tc>
        <w:tc>
          <w:tcPr>
            <w:tcW w:w="3402" w:type="dxa"/>
            <w:tcBorders>
              <w:top w:val="nil"/>
              <w:left w:val="nil"/>
              <w:bottom w:val="single" w:sz="12" w:space="0" w:color="FFFFFF"/>
              <w:right w:val="single" w:sz="4" w:space="0" w:color="FFFFFF"/>
            </w:tcBorders>
            <w:shd w:val="clear" w:color="000000" w:fill="002060"/>
            <w:vAlign w:val="center"/>
            <w:hideMark/>
          </w:tcPr>
          <w:p w:rsidR="00D30F86" w:rsidRPr="0038063B" w:rsidRDefault="00D30F86" w:rsidP="00061F4B">
            <w:pPr>
              <w:jc w:val="center"/>
              <w:rPr>
                <w:rFonts w:ascii="Calibri" w:eastAsia="Times New Roman" w:hAnsi="Calibri" w:cs="Calibri"/>
                <w:b/>
                <w:bCs/>
                <w:color w:val="FFFFFF"/>
                <w:sz w:val="20"/>
                <w:szCs w:val="20"/>
                <w:lang w:eastAsia="es-ES_tradnl"/>
              </w:rPr>
            </w:pPr>
            <w:r w:rsidRPr="0038063B">
              <w:rPr>
                <w:rFonts w:ascii="Calibri" w:eastAsia="Times New Roman" w:hAnsi="Calibri" w:cs="Calibri"/>
                <w:b/>
                <w:bCs/>
                <w:color w:val="FFFFFF"/>
                <w:sz w:val="20"/>
                <w:szCs w:val="20"/>
                <w:lang w:eastAsia="es-ES_tradnl"/>
              </w:rPr>
              <w:t>Descripción</w:t>
            </w:r>
          </w:p>
        </w:tc>
        <w:tc>
          <w:tcPr>
            <w:tcW w:w="2592" w:type="dxa"/>
            <w:tcBorders>
              <w:top w:val="nil"/>
              <w:left w:val="nil"/>
              <w:bottom w:val="single" w:sz="12" w:space="0" w:color="FFFFFF"/>
              <w:right w:val="single" w:sz="4" w:space="0" w:color="FFFFFF"/>
            </w:tcBorders>
            <w:shd w:val="clear" w:color="000000" w:fill="002060"/>
            <w:vAlign w:val="center"/>
            <w:hideMark/>
          </w:tcPr>
          <w:p w:rsidR="00D30F86" w:rsidRPr="0038063B" w:rsidRDefault="00D30F86" w:rsidP="00BF42CB">
            <w:pPr>
              <w:jc w:val="center"/>
              <w:rPr>
                <w:rFonts w:ascii="Calibri" w:eastAsia="Times New Roman" w:hAnsi="Calibri" w:cs="Calibri"/>
                <w:b/>
                <w:bCs/>
                <w:color w:val="FFFFFF"/>
                <w:sz w:val="20"/>
                <w:szCs w:val="20"/>
                <w:lang w:eastAsia="es-ES_tradnl"/>
              </w:rPr>
            </w:pPr>
            <w:r w:rsidRPr="0038063B">
              <w:rPr>
                <w:rFonts w:ascii="Calibri" w:eastAsia="Times New Roman" w:hAnsi="Calibri" w:cs="Calibri"/>
                <w:b/>
                <w:bCs/>
                <w:color w:val="FFFFFF"/>
                <w:sz w:val="20"/>
                <w:szCs w:val="20"/>
                <w:lang w:eastAsia="es-ES_tradnl"/>
              </w:rPr>
              <w:t xml:space="preserve">Presupuesto estimado </w:t>
            </w:r>
          </w:p>
        </w:tc>
      </w:tr>
      <w:tr w:rsidR="00DA477C" w:rsidRPr="0038063B" w:rsidTr="003E58E1">
        <w:trPr>
          <w:trHeight w:val="837"/>
        </w:trPr>
        <w:tc>
          <w:tcPr>
            <w:tcW w:w="3402" w:type="dxa"/>
            <w:tcBorders>
              <w:top w:val="nil"/>
              <w:left w:val="nil"/>
              <w:bottom w:val="single" w:sz="4" w:space="0" w:color="FFFFFF"/>
              <w:right w:val="single" w:sz="4" w:space="0" w:color="FFFFFF"/>
            </w:tcBorders>
            <w:shd w:val="clear" w:color="B4C6E7" w:fill="B4C6E7"/>
            <w:vAlign w:val="center"/>
          </w:tcPr>
          <w:p w:rsidR="00DA477C" w:rsidRPr="0038063B" w:rsidRDefault="003E58E1"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color w:val="000000"/>
                <w:sz w:val="20"/>
                <w:szCs w:val="20"/>
                <w:lang w:eastAsia="es-ES_tradnl"/>
              </w:rPr>
              <w:t>Contrato</w:t>
            </w:r>
            <w:r w:rsidR="006634E6" w:rsidRPr="0038063B">
              <w:rPr>
                <w:rFonts w:ascii="Calibri" w:eastAsia="Times New Roman" w:hAnsi="Calibri" w:cs="Calibri"/>
                <w:b/>
                <w:color w:val="000000"/>
                <w:sz w:val="20"/>
                <w:szCs w:val="20"/>
                <w:lang w:eastAsia="es-ES_tradnl"/>
              </w:rPr>
              <w:t xml:space="preserve"> para el desarrollo y puesta en marcha de la Plataforma Agroalimentaria en Red  (Fondos </w:t>
            </w:r>
            <w:proofErr w:type="spellStart"/>
            <w:r w:rsidR="006634E6" w:rsidRPr="0038063B">
              <w:rPr>
                <w:rFonts w:ascii="Calibri" w:eastAsia="Times New Roman" w:hAnsi="Calibri" w:cs="Calibri"/>
                <w:b/>
                <w:color w:val="000000"/>
                <w:sz w:val="20"/>
                <w:szCs w:val="20"/>
                <w:lang w:eastAsia="es-ES_tradnl"/>
              </w:rPr>
              <w:t>Retech</w:t>
            </w:r>
            <w:proofErr w:type="spellEnd"/>
            <w:r w:rsidR="006634E6" w:rsidRPr="0038063B">
              <w:rPr>
                <w:rFonts w:ascii="Calibri" w:eastAsia="Times New Roman" w:hAnsi="Calibri" w:cs="Calibri"/>
                <w:b/>
                <w:color w:val="000000"/>
                <w:sz w:val="20"/>
                <w:szCs w:val="20"/>
                <w:lang w:eastAsia="es-ES_tradnl"/>
              </w:rPr>
              <w:t>)</w:t>
            </w:r>
          </w:p>
        </w:tc>
        <w:tc>
          <w:tcPr>
            <w:tcW w:w="1134" w:type="dxa"/>
            <w:tcBorders>
              <w:top w:val="nil"/>
              <w:left w:val="nil"/>
              <w:bottom w:val="single" w:sz="4" w:space="0" w:color="FFFFFF"/>
              <w:right w:val="single" w:sz="4" w:space="0" w:color="FFFFFF"/>
            </w:tcBorders>
            <w:shd w:val="clear" w:color="B4C6E7" w:fill="B4C6E7"/>
            <w:vAlign w:val="center"/>
          </w:tcPr>
          <w:p w:rsidR="00DA477C" w:rsidRPr="0038063B" w:rsidRDefault="0038063B" w:rsidP="00C003CF">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DA477C" w:rsidRPr="0038063B" w:rsidRDefault="00B878AD" w:rsidP="003A7105">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Agricultura, Ganadería, Mundo Rural y Medio Ambiente</w:t>
            </w:r>
          </w:p>
        </w:tc>
        <w:tc>
          <w:tcPr>
            <w:tcW w:w="1843" w:type="dxa"/>
            <w:tcBorders>
              <w:top w:val="nil"/>
              <w:left w:val="nil"/>
              <w:bottom w:val="single" w:sz="4" w:space="0" w:color="FFFFFF"/>
              <w:right w:val="single" w:sz="4" w:space="0" w:color="FFFFFF"/>
            </w:tcBorders>
            <w:shd w:val="clear" w:color="B4C6E7" w:fill="B4C6E7"/>
            <w:vAlign w:val="center"/>
          </w:tcPr>
          <w:p w:rsidR="00DA477C" w:rsidRPr="0038063B" w:rsidRDefault="006634E6" w:rsidP="00C003CF">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 xml:space="preserve">Privados </w:t>
            </w:r>
          </w:p>
          <w:p w:rsidR="006634E6" w:rsidRPr="0038063B" w:rsidRDefault="006634E6" w:rsidP="00C003CF">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Empresas (incluidas Pymes)</w:t>
            </w:r>
          </w:p>
        </w:tc>
        <w:tc>
          <w:tcPr>
            <w:tcW w:w="3402" w:type="dxa"/>
            <w:tcBorders>
              <w:top w:val="nil"/>
              <w:left w:val="nil"/>
              <w:bottom w:val="single" w:sz="4" w:space="0" w:color="FFFFFF"/>
              <w:right w:val="single" w:sz="4" w:space="0" w:color="FFFFFF"/>
            </w:tcBorders>
            <w:shd w:val="clear" w:color="B4C6E7" w:fill="B4C6E7"/>
            <w:vAlign w:val="center"/>
          </w:tcPr>
          <w:p w:rsidR="00DA477C" w:rsidRPr="0038063B" w:rsidRDefault="003E58E1" w:rsidP="005E5BC5">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El</w:t>
            </w:r>
            <w:r w:rsidR="005E5BC5" w:rsidRPr="0038063B">
              <w:rPr>
                <w:rFonts w:ascii="Calibri" w:eastAsia="Times New Roman" w:hAnsi="Calibri" w:cs="Calibri"/>
                <w:sz w:val="20"/>
                <w:szCs w:val="20"/>
                <w:lang w:eastAsia="es-ES_tradnl"/>
              </w:rPr>
              <w:t xml:space="preserve"> objeto de este contrato es ejecutar la parte correspondiente a La Rioja en el la Plataforma Agroalimentaria en Red, iniciativa compartida con Castilla la Mancha, Castilla y León y Extremadura.  El  </w:t>
            </w:r>
            <w:r w:rsidRPr="0038063B">
              <w:rPr>
                <w:rFonts w:ascii="Calibri" w:eastAsia="Times New Roman" w:hAnsi="Calibri" w:cs="Calibri"/>
                <w:sz w:val="20"/>
                <w:szCs w:val="20"/>
                <w:lang w:eastAsia="es-ES_tradnl"/>
              </w:rPr>
              <w:t xml:space="preserve"> proyecto</w:t>
            </w:r>
            <w:r w:rsidR="005E5BC5" w:rsidRPr="0038063B">
              <w:rPr>
                <w:rFonts w:ascii="Calibri" w:eastAsia="Times New Roman" w:hAnsi="Calibri" w:cs="Calibri"/>
                <w:sz w:val="20"/>
                <w:szCs w:val="20"/>
                <w:lang w:eastAsia="es-ES_tradnl"/>
              </w:rPr>
              <w:t xml:space="preserve"> está</w:t>
            </w:r>
            <w:r w:rsidRPr="0038063B">
              <w:rPr>
                <w:rFonts w:ascii="Calibri" w:eastAsia="Times New Roman" w:hAnsi="Calibri" w:cs="Calibri"/>
                <w:sz w:val="20"/>
                <w:szCs w:val="20"/>
                <w:lang w:eastAsia="es-ES_tradnl"/>
              </w:rPr>
              <w:t xml:space="preserve"> enmarca</w:t>
            </w:r>
            <w:r w:rsidR="005E5BC5" w:rsidRPr="0038063B">
              <w:rPr>
                <w:rFonts w:ascii="Calibri" w:eastAsia="Times New Roman" w:hAnsi="Calibri" w:cs="Calibri"/>
                <w:sz w:val="20"/>
                <w:szCs w:val="20"/>
                <w:lang w:eastAsia="es-ES_tradnl"/>
              </w:rPr>
              <w:t>do</w:t>
            </w:r>
            <w:r w:rsidRPr="0038063B">
              <w:rPr>
                <w:rFonts w:ascii="Calibri" w:eastAsia="Times New Roman" w:hAnsi="Calibri" w:cs="Calibri"/>
                <w:sz w:val="20"/>
                <w:szCs w:val="20"/>
                <w:lang w:eastAsia="es-ES_tradnl"/>
              </w:rPr>
              <w:t xml:space="preserve"> en la actuación Inteligencia artificial y otras tecnologías digitales habilitadoras aplicadas a las industrias propuesta en el programa </w:t>
            </w:r>
            <w:proofErr w:type="spellStart"/>
            <w:r w:rsidRPr="0038063B">
              <w:rPr>
                <w:rFonts w:ascii="Calibri" w:eastAsia="Times New Roman" w:hAnsi="Calibri" w:cs="Calibri"/>
                <w:sz w:val="20"/>
                <w:szCs w:val="20"/>
                <w:lang w:eastAsia="es-ES_tradnl"/>
              </w:rPr>
              <w:t>Retech</w:t>
            </w:r>
            <w:proofErr w:type="spellEnd"/>
            <w:r w:rsidRPr="0038063B">
              <w:rPr>
                <w:rFonts w:ascii="Calibri" w:eastAsia="Times New Roman" w:hAnsi="Calibri" w:cs="Calibri"/>
                <w:sz w:val="20"/>
                <w:szCs w:val="20"/>
                <w:lang w:eastAsia="es-ES_tradnl"/>
              </w:rPr>
              <w:t xml:space="preserve"> y tiene por meta principal aprovechar el potencial de las tecnologías disruptivas para fortalecer el sector agroalimentario español mediante una intervención eficiente por medio de una plataforma transversal de aplicación de IA y otras tecnologías al sector agroalimentario.  </w:t>
            </w:r>
          </w:p>
        </w:tc>
        <w:tc>
          <w:tcPr>
            <w:tcW w:w="2592" w:type="dxa"/>
            <w:tcBorders>
              <w:top w:val="nil"/>
              <w:left w:val="nil"/>
              <w:bottom w:val="single" w:sz="4" w:space="0" w:color="FFFFFF"/>
              <w:right w:val="single" w:sz="4" w:space="0" w:color="FFFFFF"/>
            </w:tcBorders>
            <w:shd w:val="clear" w:color="B4C6E7" w:fill="B4C6E7"/>
            <w:vAlign w:val="center"/>
          </w:tcPr>
          <w:p w:rsidR="00DA477C" w:rsidRPr="0038063B" w:rsidRDefault="00B53DCE"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4.500.000</w:t>
            </w:r>
            <w:r w:rsidR="006E1FEF" w:rsidRPr="0038063B">
              <w:rPr>
                <w:rFonts w:ascii="Calibri" w:eastAsia="Times New Roman" w:hAnsi="Calibri" w:cs="Calibri"/>
                <w:sz w:val="20"/>
                <w:szCs w:val="20"/>
                <w:lang w:eastAsia="es-ES_tradnl"/>
              </w:rPr>
              <w:t xml:space="preserve"> </w:t>
            </w:r>
            <w:r w:rsidRPr="0038063B">
              <w:rPr>
                <w:rFonts w:ascii="Calibri" w:eastAsia="Times New Roman" w:hAnsi="Calibri" w:cs="Calibri"/>
                <w:sz w:val="20"/>
                <w:szCs w:val="20"/>
                <w:lang w:eastAsia="es-ES_tradnl"/>
              </w:rPr>
              <w:t>€</w:t>
            </w:r>
          </w:p>
        </w:tc>
      </w:tr>
      <w:tr w:rsidR="00093AA0" w:rsidRPr="0038063B" w:rsidTr="00093AA0">
        <w:trPr>
          <w:trHeight w:val="1285"/>
        </w:trPr>
        <w:tc>
          <w:tcPr>
            <w:tcW w:w="3402" w:type="dxa"/>
            <w:tcBorders>
              <w:top w:val="nil"/>
              <w:left w:val="nil"/>
              <w:bottom w:val="nil"/>
              <w:right w:val="single" w:sz="4" w:space="0" w:color="FFFFFF"/>
            </w:tcBorders>
            <w:shd w:val="clear" w:color="B4C6E7" w:fill="B4C6E7"/>
            <w:vAlign w:val="center"/>
          </w:tcPr>
          <w:p w:rsidR="00093AA0" w:rsidRPr="0038063B" w:rsidRDefault="00093AA0"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Licitación</w:t>
            </w:r>
          </w:p>
        </w:tc>
        <w:tc>
          <w:tcPr>
            <w:tcW w:w="1134" w:type="dxa"/>
            <w:tcBorders>
              <w:top w:val="nil"/>
              <w:left w:val="nil"/>
              <w:bottom w:val="nil"/>
              <w:right w:val="single" w:sz="4" w:space="0" w:color="FFFFFF"/>
            </w:tcBorders>
            <w:shd w:val="clear" w:color="B4C6E7" w:fill="B4C6E7"/>
            <w:vAlign w:val="center"/>
          </w:tcPr>
          <w:p w:rsidR="00093AA0" w:rsidRPr="0038063B" w:rsidRDefault="0038063B" w:rsidP="00C003CF">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nil"/>
              <w:right w:val="single" w:sz="4" w:space="0" w:color="FFFFFF"/>
            </w:tcBorders>
            <w:shd w:val="clear" w:color="B4C6E7" w:fill="B4C6E7"/>
            <w:vAlign w:val="center"/>
          </w:tcPr>
          <w:p w:rsidR="00093AA0" w:rsidRPr="0038063B" w:rsidRDefault="00DF5BBA" w:rsidP="00E65FAF">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Agricultura, Ganadería, Mundo Rural y Medio Ambiente</w:t>
            </w:r>
          </w:p>
          <w:p w:rsidR="00DF5BBA" w:rsidRPr="0038063B" w:rsidRDefault="00DF5BBA" w:rsidP="00E65FAF">
            <w:pPr>
              <w:rPr>
                <w:rFonts w:ascii="Calibri" w:eastAsia="Times New Roman" w:hAnsi="Calibri" w:cs="Calibri"/>
                <w:b/>
                <w:color w:val="000000"/>
                <w:sz w:val="20"/>
                <w:szCs w:val="20"/>
                <w:lang w:eastAsia="es-ES_tradnl"/>
              </w:rPr>
            </w:pPr>
          </w:p>
        </w:tc>
        <w:tc>
          <w:tcPr>
            <w:tcW w:w="1843" w:type="dxa"/>
            <w:tcBorders>
              <w:top w:val="nil"/>
              <w:left w:val="nil"/>
              <w:bottom w:val="nil"/>
              <w:right w:val="single" w:sz="4" w:space="0" w:color="FFFFFF"/>
            </w:tcBorders>
            <w:shd w:val="clear" w:color="B4C6E7" w:fill="B4C6E7"/>
            <w:vAlign w:val="center"/>
          </w:tcPr>
          <w:p w:rsidR="00093AA0" w:rsidRPr="0038063B" w:rsidRDefault="00C003CF" w:rsidP="00C003CF">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w:t>
            </w:r>
            <w:r w:rsidR="00093AA0" w:rsidRPr="0038063B">
              <w:rPr>
                <w:rFonts w:ascii="Calibri" w:eastAsia="Times New Roman" w:hAnsi="Calibri" w:cs="Calibri"/>
                <w:sz w:val="20"/>
                <w:szCs w:val="20"/>
                <w:lang w:eastAsia="es-ES_tradnl"/>
              </w:rPr>
              <w:t>mpresas (incluidas PYMES).</w:t>
            </w:r>
          </w:p>
        </w:tc>
        <w:tc>
          <w:tcPr>
            <w:tcW w:w="3402" w:type="dxa"/>
            <w:tcBorders>
              <w:top w:val="nil"/>
              <w:left w:val="nil"/>
              <w:bottom w:val="nil"/>
              <w:right w:val="single" w:sz="4" w:space="0" w:color="FFFFFF"/>
            </w:tcBorders>
            <w:shd w:val="clear" w:color="B4C6E7" w:fill="B4C6E7"/>
            <w:vAlign w:val="center"/>
          </w:tcPr>
          <w:p w:rsidR="00093AA0" w:rsidRPr="0038063B" w:rsidRDefault="00093AA0" w:rsidP="00C003CF">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Redacción del proyecto “PLADIAGUA”</w:t>
            </w:r>
          </w:p>
        </w:tc>
        <w:tc>
          <w:tcPr>
            <w:tcW w:w="2592" w:type="dxa"/>
            <w:tcBorders>
              <w:top w:val="nil"/>
              <w:left w:val="nil"/>
              <w:bottom w:val="nil"/>
              <w:right w:val="single" w:sz="4" w:space="0" w:color="FFFFFF"/>
            </w:tcBorders>
            <w:shd w:val="clear" w:color="B4C6E7" w:fill="B4C6E7"/>
            <w:vAlign w:val="center"/>
          </w:tcPr>
          <w:p w:rsidR="00093AA0" w:rsidRPr="0038063B" w:rsidRDefault="00093AA0"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50.000</w:t>
            </w:r>
            <w:r w:rsidR="006E1FEF" w:rsidRPr="0038063B">
              <w:rPr>
                <w:rFonts w:ascii="Calibri" w:eastAsia="Times New Roman" w:hAnsi="Calibri" w:cs="Calibri"/>
                <w:sz w:val="20"/>
                <w:szCs w:val="20"/>
                <w:lang w:eastAsia="es-ES_tradnl"/>
              </w:rPr>
              <w:t xml:space="preserve"> </w:t>
            </w:r>
            <w:r w:rsidRPr="0038063B">
              <w:rPr>
                <w:rFonts w:ascii="Calibri" w:eastAsia="Times New Roman" w:hAnsi="Calibri" w:cs="Calibri"/>
                <w:sz w:val="20"/>
                <w:szCs w:val="20"/>
                <w:lang w:eastAsia="es-ES_tradnl"/>
              </w:rPr>
              <w:t>€</w:t>
            </w:r>
          </w:p>
        </w:tc>
      </w:tr>
      <w:tr w:rsidR="00093AA0" w:rsidRPr="0038063B" w:rsidTr="003E58E1">
        <w:trPr>
          <w:trHeight w:val="1285"/>
        </w:trPr>
        <w:tc>
          <w:tcPr>
            <w:tcW w:w="3402" w:type="dxa"/>
            <w:tcBorders>
              <w:top w:val="nil"/>
              <w:left w:val="nil"/>
              <w:bottom w:val="single" w:sz="4" w:space="0" w:color="FFFFFF"/>
              <w:right w:val="single" w:sz="4" w:space="0" w:color="FFFFFF"/>
            </w:tcBorders>
            <w:shd w:val="clear" w:color="B4C6E7" w:fill="B4C6E7"/>
            <w:vAlign w:val="center"/>
          </w:tcPr>
          <w:p w:rsidR="00093AA0" w:rsidRPr="0038063B" w:rsidRDefault="00093AA0"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lastRenderedPageBreak/>
              <w:t>Licitación</w:t>
            </w:r>
          </w:p>
        </w:tc>
        <w:tc>
          <w:tcPr>
            <w:tcW w:w="1134" w:type="dxa"/>
            <w:tcBorders>
              <w:top w:val="nil"/>
              <w:left w:val="nil"/>
              <w:bottom w:val="single" w:sz="4" w:space="0" w:color="FFFFFF"/>
              <w:right w:val="single" w:sz="4" w:space="0" w:color="FFFFFF"/>
            </w:tcBorders>
            <w:shd w:val="clear" w:color="B4C6E7" w:fill="B4C6E7"/>
            <w:vAlign w:val="center"/>
          </w:tcPr>
          <w:p w:rsidR="00093AA0" w:rsidRPr="0038063B" w:rsidRDefault="0038063B" w:rsidP="00C003CF">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093AA0" w:rsidRPr="0038063B" w:rsidRDefault="00DF5BBA" w:rsidP="00E65FAF">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Agricultura, Ganadería, Mundo Rural y Medio Ambiente</w:t>
            </w:r>
          </w:p>
        </w:tc>
        <w:tc>
          <w:tcPr>
            <w:tcW w:w="1843" w:type="dxa"/>
            <w:tcBorders>
              <w:top w:val="nil"/>
              <w:left w:val="nil"/>
              <w:bottom w:val="single" w:sz="4" w:space="0" w:color="FFFFFF"/>
              <w:right w:val="single" w:sz="4" w:space="0" w:color="FFFFFF"/>
            </w:tcBorders>
            <w:shd w:val="clear" w:color="B4C6E7" w:fill="B4C6E7"/>
            <w:vAlign w:val="center"/>
          </w:tcPr>
          <w:p w:rsidR="00093AA0" w:rsidRPr="0038063B" w:rsidRDefault="00C003CF" w:rsidP="00C003CF">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w:t>
            </w:r>
            <w:r w:rsidR="00093AA0" w:rsidRPr="0038063B">
              <w:rPr>
                <w:rFonts w:ascii="Calibri" w:eastAsia="Times New Roman" w:hAnsi="Calibri" w:cs="Calibri"/>
                <w:sz w:val="20"/>
                <w:szCs w:val="20"/>
                <w:lang w:eastAsia="es-ES_tradnl"/>
              </w:rPr>
              <w:t>mpresas (incluidas PYMES).</w:t>
            </w:r>
          </w:p>
        </w:tc>
        <w:tc>
          <w:tcPr>
            <w:tcW w:w="3402" w:type="dxa"/>
            <w:tcBorders>
              <w:top w:val="nil"/>
              <w:left w:val="nil"/>
              <w:bottom w:val="single" w:sz="4" w:space="0" w:color="FFFFFF"/>
              <w:right w:val="single" w:sz="4" w:space="0" w:color="FFFFFF"/>
            </w:tcBorders>
            <w:shd w:val="clear" w:color="B4C6E7" w:fill="B4C6E7"/>
            <w:vAlign w:val="center"/>
          </w:tcPr>
          <w:p w:rsidR="00093AA0" w:rsidRPr="0038063B" w:rsidRDefault="00093AA0" w:rsidP="00C003CF">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Plan de apoyo a la normativa de residuos (TRANSFORMACIÓN DIGITAL)</w:t>
            </w:r>
          </w:p>
        </w:tc>
        <w:tc>
          <w:tcPr>
            <w:tcW w:w="2592" w:type="dxa"/>
            <w:tcBorders>
              <w:top w:val="nil"/>
              <w:left w:val="nil"/>
              <w:bottom w:val="single" w:sz="4" w:space="0" w:color="FFFFFF"/>
              <w:right w:val="single" w:sz="4" w:space="0" w:color="FFFFFF"/>
            </w:tcBorders>
            <w:shd w:val="clear" w:color="B4C6E7" w:fill="B4C6E7"/>
            <w:vAlign w:val="center"/>
          </w:tcPr>
          <w:p w:rsidR="00093AA0" w:rsidRPr="0038063B" w:rsidRDefault="00093AA0"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1.740.000</w:t>
            </w:r>
            <w:r w:rsidR="006E1FEF" w:rsidRPr="0038063B">
              <w:rPr>
                <w:rFonts w:ascii="Calibri" w:eastAsia="Times New Roman" w:hAnsi="Calibri" w:cs="Calibri"/>
                <w:sz w:val="20"/>
                <w:szCs w:val="20"/>
                <w:lang w:eastAsia="es-ES_tradnl"/>
              </w:rPr>
              <w:t xml:space="preserve"> </w:t>
            </w:r>
            <w:r w:rsidRPr="0038063B">
              <w:rPr>
                <w:rFonts w:ascii="Calibri" w:eastAsia="Times New Roman" w:hAnsi="Calibri" w:cs="Calibri"/>
                <w:sz w:val="20"/>
                <w:szCs w:val="20"/>
                <w:lang w:eastAsia="es-ES_tradnl"/>
              </w:rPr>
              <w:t>€</w:t>
            </w:r>
          </w:p>
        </w:tc>
      </w:tr>
      <w:tr w:rsidR="00093AA0"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093AA0" w:rsidRPr="0038063B" w:rsidRDefault="00093AA0"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Red de senderos del Parque Natural del Alto Najerilla</w:t>
            </w:r>
          </w:p>
          <w:p w:rsidR="00093AA0" w:rsidRPr="0038063B" w:rsidRDefault="00093AA0" w:rsidP="0038063B">
            <w:pPr>
              <w:ind w:firstLineChars="100" w:firstLine="200"/>
              <w:jc w:val="both"/>
              <w:rPr>
                <w:rFonts w:ascii="Calibri" w:eastAsia="Times New Roman" w:hAnsi="Calibri" w:cs="Calibri"/>
                <w:b/>
                <w:bCs/>
                <w:sz w:val="20"/>
                <w:szCs w:val="20"/>
                <w:lang w:eastAsia="es-ES_tradnl"/>
              </w:rPr>
            </w:pPr>
          </w:p>
        </w:tc>
        <w:tc>
          <w:tcPr>
            <w:tcW w:w="1134" w:type="dxa"/>
            <w:tcBorders>
              <w:top w:val="nil"/>
              <w:left w:val="nil"/>
              <w:bottom w:val="single" w:sz="4" w:space="0" w:color="FFFFFF"/>
              <w:right w:val="single" w:sz="4" w:space="0" w:color="FFFFFF"/>
            </w:tcBorders>
            <w:shd w:val="clear" w:color="B4C6E7" w:fill="B4C6E7"/>
            <w:vAlign w:val="center"/>
          </w:tcPr>
          <w:p w:rsidR="00093AA0" w:rsidRPr="0038063B" w:rsidRDefault="00093AA0" w:rsidP="00C003CF">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 T</w:t>
            </w:r>
          </w:p>
        </w:tc>
        <w:tc>
          <w:tcPr>
            <w:tcW w:w="1701" w:type="dxa"/>
            <w:tcBorders>
              <w:top w:val="nil"/>
              <w:left w:val="nil"/>
              <w:bottom w:val="single" w:sz="4" w:space="0" w:color="FFFFFF"/>
              <w:right w:val="single" w:sz="4" w:space="0" w:color="FFFFFF"/>
            </w:tcBorders>
            <w:shd w:val="clear" w:color="B4C6E7" w:fill="B4C6E7"/>
            <w:vAlign w:val="center"/>
          </w:tcPr>
          <w:p w:rsidR="00093AA0" w:rsidRPr="0038063B" w:rsidRDefault="00DF5BBA" w:rsidP="00E65FAF">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 xml:space="preserve">Consejería de  </w:t>
            </w:r>
            <w:r w:rsidR="00093AA0" w:rsidRPr="0038063B">
              <w:rPr>
                <w:rFonts w:ascii="Calibri" w:eastAsia="Times New Roman" w:hAnsi="Calibri" w:cs="Calibri"/>
                <w:b/>
                <w:color w:val="000000"/>
                <w:sz w:val="20"/>
                <w:szCs w:val="20"/>
                <w:lang w:eastAsia="es-ES_tradnl"/>
              </w:rPr>
              <w:t>Agricultura, Ganadería, Mundo Rural y Medio Ambiente (</w:t>
            </w:r>
            <w:proofErr w:type="spellStart"/>
            <w:r w:rsidR="00093AA0" w:rsidRPr="0038063B">
              <w:rPr>
                <w:rFonts w:ascii="Calibri" w:eastAsia="Times New Roman" w:hAnsi="Calibri" w:cs="Calibri"/>
                <w:b/>
                <w:color w:val="000000"/>
                <w:sz w:val="20"/>
                <w:szCs w:val="20"/>
                <w:lang w:eastAsia="es-ES_tradnl"/>
              </w:rPr>
              <w:t>DGMNyP</w:t>
            </w:r>
            <w:proofErr w:type="spellEnd"/>
            <w:r w:rsidR="00093AA0" w:rsidRPr="0038063B">
              <w:rPr>
                <w:rFonts w:ascii="Calibri" w:eastAsia="Times New Roman" w:hAnsi="Calibri" w:cs="Calibri"/>
                <w:b/>
                <w:color w:val="000000"/>
                <w:sz w:val="20"/>
                <w:szCs w:val="20"/>
                <w:lang w:eastAsia="es-ES_tradnl"/>
              </w:rPr>
              <w:t>)</w:t>
            </w:r>
          </w:p>
        </w:tc>
        <w:tc>
          <w:tcPr>
            <w:tcW w:w="1843" w:type="dxa"/>
            <w:tcBorders>
              <w:top w:val="nil"/>
              <w:left w:val="nil"/>
              <w:bottom w:val="single" w:sz="4" w:space="0" w:color="FFFFFF"/>
              <w:right w:val="single" w:sz="4" w:space="0" w:color="FFFFFF"/>
            </w:tcBorders>
            <w:shd w:val="clear" w:color="B4C6E7" w:fill="B4C6E7"/>
            <w:vAlign w:val="center"/>
          </w:tcPr>
          <w:p w:rsidR="00093AA0" w:rsidRPr="0038063B" w:rsidRDefault="00C003CF" w:rsidP="00C003CF">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w:t>
            </w:r>
            <w:r w:rsidR="00093AA0" w:rsidRPr="0038063B">
              <w:rPr>
                <w:rFonts w:ascii="Calibri" w:eastAsia="Times New Roman" w:hAnsi="Calibri" w:cs="Calibri"/>
                <w:sz w:val="20"/>
                <w:szCs w:val="20"/>
                <w:lang w:eastAsia="es-ES_tradnl"/>
              </w:rPr>
              <w:t>mpresas (incluidas PYMES)</w:t>
            </w:r>
          </w:p>
        </w:tc>
        <w:tc>
          <w:tcPr>
            <w:tcW w:w="3402" w:type="dxa"/>
            <w:tcBorders>
              <w:top w:val="nil"/>
              <w:left w:val="nil"/>
              <w:bottom w:val="single" w:sz="4" w:space="0" w:color="FFFFFF"/>
              <w:right w:val="single" w:sz="4" w:space="0" w:color="FFFFFF"/>
            </w:tcBorders>
            <w:shd w:val="clear" w:color="B4C6E7" w:fill="B4C6E7"/>
            <w:vAlign w:val="center"/>
          </w:tcPr>
          <w:p w:rsidR="00093AA0" w:rsidRPr="0038063B" w:rsidRDefault="00093AA0" w:rsidP="00C003CF">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Ejecución de nuevos senderos de uso público dentro del Parque Natural del Alto Najerilla</w:t>
            </w:r>
          </w:p>
        </w:tc>
        <w:tc>
          <w:tcPr>
            <w:tcW w:w="2592" w:type="dxa"/>
            <w:tcBorders>
              <w:top w:val="nil"/>
              <w:left w:val="nil"/>
              <w:bottom w:val="single" w:sz="4" w:space="0" w:color="FFFFFF"/>
              <w:right w:val="single" w:sz="4" w:space="0" w:color="FFFFFF"/>
            </w:tcBorders>
            <w:shd w:val="clear" w:color="B4C6E7" w:fill="B4C6E7"/>
            <w:vAlign w:val="center"/>
          </w:tcPr>
          <w:p w:rsidR="00093AA0" w:rsidRPr="0038063B" w:rsidRDefault="00093AA0"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600.000</w:t>
            </w:r>
            <w:r w:rsidR="006E1FEF" w:rsidRPr="0038063B">
              <w:rPr>
                <w:rFonts w:ascii="Calibri" w:eastAsia="Times New Roman" w:hAnsi="Calibri" w:cs="Calibri"/>
                <w:sz w:val="20"/>
                <w:szCs w:val="20"/>
                <w:lang w:eastAsia="es-ES_tradnl"/>
              </w:rPr>
              <w:t xml:space="preserve"> </w:t>
            </w:r>
            <w:r w:rsidR="006E1FEF" w:rsidRPr="0038063B">
              <w:rPr>
                <w:rFonts w:ascii="Calibri" w:hAnsi="Calibri" w:cs="Calibri"/>
                <w:bCs/>
                <w:color w:val="000000"/>
                <w:sz w:val="20"/>
                <w:szCs w:val="20"/>
              </w:rPr>
              <w:t>€</w:t>
            </w:r>
          </w:p>
        </w:tc>
      </w:tr>
      <w:tr w:rsidR="00093AA0"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093AA0" w:rsidRPr="0038063B" w:rsidRDefault="00093AA0"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 xml:space="preserve">Obras de acondicionamiento de distintos yacimientos de </w:t>
            </w:r>
            <w:proofErr w:type="spellStart"/>
            <w:r w:rsidRPr="0038063B">
              <w:rPr>
                <w:rFonts w:ascii="Calibri" w:eastAsia="Times New Roman" w:hAnsi="Calibri" w:cs="Calibri"/>
                <w:b/>
                <w:bCs/>
                <w:sz w:val="20"/>
                <w:szCs w:val="20"/>
                <w:lang w:eastAsia="es-ES_tradnl"/>
              </w:rPr>
              <w:t>icnitas</w:t>
            </w:r>
            <w:proofErr w:type="spellEnd"/>
            <w:r w:rsidRPr="0038063B">
              <w:rPr>
                <w:rFonts w:ascii="Calibri" w:eastAsia="Times New Roman" w:hAnsi="Calibri" w:cs="Calibri"/>
                <w:b/>
                <w:bCs/>
                <w:sz w:val="20"/>
                <w:szCs w:val="20"/>
                <w:lang w:eastAsia="es-ES_tradnl"/>
              </w:rPr>
              <w:t xml:space="preserve"> en la Reserva de la Biosfera de los valles del </w:t>
            </w:r>
            <w:proofErr w:type="spellStart"/>
            <w:r w:rsidRPr="0038063B">
              <w:rPr>
                <w:rFonts w:ascii="Calibri" w:eastAsia="Times New Roman" w:hAnsi="Calibri" w:cs="Calibri"/>
                <w:b/>
                <w:bCs/>
                <w:sz w:val="20"/>
                <w:szCs w:val="20"/>
                <w:lang w:eastAsia="es-ES_tradnl"/>
              </w:rPr>
              <w:t>Leza</w:t>
            </w:r>
            <w:proofErr w:type="spellEnd"/>
            <w:r w:rsidRPr="0038063B">
              <w:rPr>
                <w:rFonts w:ascii="Calibri" w:eastAsia="Times New Roman" w:hAnsi="Calibri" w:cs="Calibri"/>
                <w:b/>
                <w:bCs/>
                <w:sz w:val="20"/>
                <w:szCs w:val="20"/>
                <w:lang w:eastAsia="es-ES_tradnl"/>
              </w:rPr>
              <w:t xml:space="preserve">, </w:t>
            </w:r>
            <w:proofErr w:type="spellStart"/>
            <w:r w:rsidRPr="0038063B">
              <w:rPr>
                <w:rFonts w:ascii="Calibri" w:eastAsia="Times New Roman" w:hAnsi="Calibri" w:cs="Calibri"/>
                <w:b/>
                <w:bCs/>
                <w:sz w:val="20"/>
                <w:szCs w:val="20"/>
                <w:lang w:eastAsia="es-ES_tradnl"/>
              </w:rPr>
              <w:t>Jubera</w:t>
            </w:r>
            <w:proofErr w:type="spellEnd"/>
            <w:r w:rsidRPr="0038063B">
              <w:rPr>
                <w:rFonts w:ascii="Calibri" w:eastAsia="Times New Roman" w:hAnsi="Calibri" w:cs="Calibri"/>
                <w:b/>
                <w:bCs/>
                <w:sz w:val="20"/>
                <w:szCs w:val="20"/>
                <w:lang w:eastAsia="es-ES_tradnl"/>
              </w:rPr>
              <w:t xml:space="preserve">, Cidacos y Alhama en el marco del Plan de Recuperación, Transformación y Resiliencia financiado por la UE a través de </w:t>
            </w:r>
            <w:proofErr w:type="spellStart"/>
            <w:r w:rsidRPr="0038063B">
              <w:rPr>
                <w:rFonts w:ascii="Calibri" w:eastAsia="Times New Roman" w:hAnsi="Calibri" w:cs="Calibri"/>
                <w:b/>
                <w:bCs/>
                <w:sz w:val="20"/>
                <w:szCs w:val="20"/>
                <w:lang w:eastAsia="es-ES_tradnl"/>
              </w:rPr>
              <w:t>Next</w:t>
            </w:r>
            <w:proofErr w:type="spellEnd"/>
            <w:r w:rsidRPr="0038063B">
              <w:rPr>
                <w:rFonts w:ascii="Calibri" w:eastAsia="Times New Roman" w:hAnsi="Calibri" w:cs="Calibri"/>
                <w:b/>
                <w:bCs/>
                <w:sz w:val="20"/>
                <w:szCs w:val="20"/>
                <w:lang w:eastAsia="es-ES_tradnl"/>
              </w:rPr>
              <w:t xml:space="preserve"> </w:t>
            </w:r>
            <w:proofErr w:type="spellStart"/>
            <w:r w:rsidRPr="0038063B">
              <w:rPr>
                <w:rFonts w:ascii="Calibri" w:eastAsia="Times New Roman" w:hAnsi="Calibri" w:cs="Calibri"/>
                <w:b/>
                <w:bCs/>
                <w:sz w:val="20"/>
                <w:szCs w:val="20"/>
                <w:lang w:eastAsia="es-ES_tradnl"/>
              </w:rPr>
              <w:t>generation</w:t>
            </w:r>
            <w:proofErr w:type="spellEnd"/>
          </w:p>
        </w:tc>
        <w:tc>
          <w:tcPr>
            <w:tcW w:w="1134" w:type="dxa"/>
            <w:tcBorders>
              <w:top w:val="nil"/>
              <w:left w:val="nil"/>
              <w:bottom w:val="single" w:sz="4" w:space="0" w:color="FFFFFF"/>
              <w:right w:val="single" w:sz="4" w:space="0" w:color="FFFFFF"/>
            </w:tcBorders>
            <w:shd w:val="clear" w:color="B4C6E7" w:fill="B4C6E7"/>
            <w:vAlign w:val="center"/>
          </w:tcPr>
          <w:p w:rsidR="00093AA0" w:rsidRPr="0038063B" w:rsidRDefault="00093AA0" w:rsidP="00C003CF">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 T</w:t>
            </w:r>
          </w:p>
        </w:tc>
        <w:tc>
          <w:tcPr>
            <w:tcW w:w="1701" w:type="dxa"/>
            <w:tcBorders>
              <w:top w:val="nil"/>
              <w:left w:val="nil"/>
              <w:bottom w:val="single" w:sz="4" w:space="0" w:color="FFFFFF"/>
              <w:right w:val="single" w:sz="4" w:space="0" w:color="FFFFFF"/>
            </w:tcBorders>
            <w:shd w:val="clear" w:color="B4C6E7" w:fill="B4C6E7"/>
            <w:vAlign w:val="center"/>
          </w:tcPr>
          <w:p w:rsidR="00093AA0" w:rsidRPr="0038063B" w:rsidRDefault="00DF5BBA" w:rsidP="00E65FAF">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 xml:space="preserve">Consejería de  </w:t>
            </w:r>
            <w:r w:rsidR="00093AA0" w:rsidRPr="0038063B">
              <w:rPr>
                <w:rFonts w:ascii="Calibri" w:eastAsia="Times New Roman" w:hAnsi="Calibri" w:cs="Calibri"/>
                <w:b/>
                <w:color w:val="000000"/>
                <w:sz w:val="20"/>
                <w:szCs w:val="20"/>
                <w:lang w:eastAsia="es-ES_tradnl"/>
              </w:rPr>
              <w:t>Agricultura, Ganadería, Mundo Rural y Medio Ambiente (</w:t>
            </w:r>
            <w:proofErr w:type="spellStart"/>
            <w:r w:rsidR="00093AA0" w:rsidRPr="0038063B">
              <w:rPr>
                <w:rFonts w:ascii="Calibri" w:eastAsia="Times New Roman" w:hAnsi="Calibri" w:cs="Calibri"/>
                <w:b/>
                <w:color w:val="000000"/>
                <w:sz w:val="20"/>
                <w:szCs w:val="20"/>
                <w:lang w:eastAsia="es-ES_tradnl"/>
              </w:rPr>
              <w:t>DGMNyP</w:t>
            </w:r>
            <w:proofErr w:type="spellEnd"/>
            <w:r w:rsidR="00093AA0" w:rsidRPr="0038063B">
              <w:rPr>
                <w:rFonts w:ascii="Calibri" w:eastAsia="Times New Roman" w:hAnsi="Calibri" w:cs="Calibri"/>
                <w:b/>
                <w:color w:val="000000"/>
                <w:sz w:val="20"/>
                <w:szCs w:val="20"/>
                <w:lang w:eastAsia="es-ES_tradnl"/>
              </w:rPr>
              <w:t>)</w:t>
            </w:r>
          </w:p>
        </w:tc>
        <w:tc>
          <w:tcPr>
            <w:tcW w:w="1843" w:type="dxa"/>
            <w:tcBorders>
              <w:top w:val="nil"/>
              <w:left w:val="nil"/>
              <w:bottom w:val="single" w:sz="4" w:space="0" w:color="FFFFFF"/>
              <w:right w:val="single" w:sz="4" w:space="0" w:color="FFFFFF"/>
            </w:tcBorders>
            <w:shd w:val="clear" w:color="B4C6E7" w:fill="B4C6E7"/>
            <w:vAlign w:val="center"/>
          </w:tcPr>
          <w:p w:rsidR="00093AA0" w:rsidRPr="0038063B" w:rsidRDefault="00C003CF" w:rsidP="00C003CF">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w:t>
            </w:r>
            <w:r w:rsidR="00093AA0" w:rsidRPr="0038063B">
              <w:rPr>
                <w:rFonts w:ascii="Calibri" w:eastAsia="Times New Roman" w:hAnsi="Calibri" w:cs="Calibri"/>
                <w:sz w:val="20"/>
                <w:szCs w:val="20"/>
                <w:lang w:eastAsia="es-ES_tradnl"/>
              </w:rPr>
              <w:t>mpresas (incluidas PYMES)</w:t>
            </w:r>
          </w:p>
        </w:tc>
        <w:tc>
          <w:tcPr>
            <w:tcW w:w="3402" w:type="dxa"/>
            <w:tcBorders>
              <w:top w:val="nil"/>
              <w:left w:val="nil"/>
              <w:bottom w:val="single" w:sz="4" w:space="0" w:color="FFFFFF"/>
              <w:right w:val="single" w:sz="4" w:space="0" w:color="FFFFFF"/>
            </w:tcBorders>
            <w:shd w:val="clear" w:color="B4C6E7" w:fill="B4C6E7"/>
            <w:vAlign w:val="center"/>
          </w:tcPr>
          <w:p w:rsidR="00093AA0" w:rsidRPr="0038063B" w:rsidRDefault="00093AA0" w:rsidP="00C003CF">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 xml:space="preserve">Acondicionamiento de los yacimientos de </w:t>
            </w:r>
            <w:proofErr w:type="spellStart"/>
            <w:r w:rsidRPr="0038063B">
              <w:rPr>
                <w:rFonts w:ascii="Calibri" w:eastAsia="Times New Roman" w:hAnsi="Calibri" w:cs="Calibri"/>
                <w:color w:val="000000"/>
                <w:sz w:val="20"/>
                <w:szCs w:val="20"/>
                <w:lang w:eastAsia="es-ES_tradnl"/>
              </w:rPr>
              <w:t>incnitas</w:t>
            </w:r>
            <w:proofErr w:type="spellEnd"/>
            <w:r w:rsidRPr="0038063B">
              <w:rPr>
                <w:rFonts w:ascii="Calibri" w:eastAsia="Times New Roman" w:hAnsi="Calibri" w:cs="Calibri"/>
                <w:color w:val="000000"/>
                <w:sz w:val="20"/>
                <w:szCs w:val="20"/>
                <w:lang w:eastAsia="es-ES_tradnl"/>
              </w:rPr>
              <w:t xml:space="preserve"> con el fin de su puesta en valor y uso público de los mismos</w:t>
            </w:r>
          </w:p>
        </w:tc>
        <w:tc>
          <w:tcPr>
            <w:tcW w:w="2592" w:type="dxa"/>
            <w:tcBorders>
              <w:top w:val="nil"/>
              <w:left w:val="nil"/>
              <w:bottom w:val="single" w:sz="4" w:space="0" w:color="FFFFFF"/>
              <w:right w:val="single" w:sz="4" w:space="0" w:color="FFFFFF"/>
            </w:tcBorders>
            <w:shd w:val="clear" w:color="B4C6E7" w:fill="B4C6E7"/>
            <w:vAlign w:val="center"/>
          </w:tcPr>
          <w:p w:rsidR="00093AA0" w:rsidRPr="0038063B" w:rsidRDefault="00093AA0"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450.000</w:t>
            </w:r>
            <w:r w:rsidR="006E1FEF" w:rsidRPr="0038063B">
              <w:rPr>
                <w:rFonts w:ascii="Calibri" w:eastAsia="Times New Roman" w:hAnsi="Calibri" w:cs="Calibri"/>
                <w:sz w:val="20"/>
                <w:szCs w:val="20"/>
                <w:lang w:eastAsia="es-ES_tradnl"/>
              </w:rPr>
              <w:t xml:space="preserve"> </w:t>
            </w:r>
            <w:r w:rsidR="006E1FEF" w:rsidRPr="0038063B">
              <w:rPr>
                <w:rFonts w:ascii="Calibri" w:hAnsi="Calibri" w:cs="Calibri"/>
                <w:bCs/>
                <w:color w:val="000000"/>
                <w:sz w:val="20"/>
                <w:szCs w:val="20"/>
              </w:rPr>
              <w:t>€</w:t>
            </w:r>
          </w:p>
        </w:tc>
      </w:tr>
      <w:tr w:rsidR="00093AA0"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093AA0" w:rsidRPr="0038063B" w:rsidRDefault="00093AA0"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 xml:space="preserve">Mejora de las infraestructuras de uso público destinadas al conocimiento de la fauna vinculada a los distintos yacimientos de </w:t>
            </w:r>
            <w:proofErr w:type="spellStart"/>
            <w:r w:rsidRPr="0038063B">
              <w:rPr>
                <w:rFonts w:ascii="Calibri" w:eastAsia="Times New Roman" w:hAnsi="Calibri" w:cs="Calibri"/>
                <w:b/>
                <w:bCs/>
                <w:sz w:val="20"/>
                <w:szCs w:val="20"/>
                <w:lang w:eastAsia="es-ES_tradnl"/>
              </w:rPr>
              <w:t>icnitas</w:t>
            </w:r>
            <w:proofErr w:type="spellEnd"/>
            <w:r w:rsidRPr="0038063B">
              <w:rPr>
                <w:rFonts w:ascii="Calibri" w:eastAsia="Times New Roman" w:hAnsi="Calibri" w:cs="Calibri"/>
                <w:b/>
                <w:bCs/>
                <w:sz w:val="20"/>
                <w:szCs w:val="20"/>
                <w:lang w:eastAsia="es-ES_tradnl"/>
              </w:rPr>
              <w:t xml:space="preserve"> de la Reserva de la Biosfera de los valles del </w:t>
            </w:r>
            <w:proofErr w:type="spellStart"/>
            <w:r w:rsidRPr="0038063B">
              <w:rPr>
                <w:rFonts w:ascii="Calibri" w:eastAsia="Times New Roman" w:hAnsi="Calibri" w:cs="Calibri"/>
                <w:b/>
                <w:bCs/>
                <w:sz w:val="20"/>
                <w:szCs w:val="20"/>
                <w:lang w:eastAsia="es-ES_tradnl"/>
              </w:rPr>
              <w:t>Leza</w:t>
            </w:r>
            <w:proofErr w:type="spellEnd"/>
            <w:r w:rsidRPr="0038063B">
              <w:rPr>
                <w:rFonts w:ascii="Calibri" w:eastAsia="Times New Roman" w:hAnsi="Calibri" w:cs="Calibri"/>
                <w:b/>
                <w:bCs/>
                <w:sz w:val="20"/>
                <w:szCs w:val="20"/>
                <w:lang w:eastAsia="es-ES_tradnl"/>
              </w:rPr>
              <w:t xml:space="preserve">, </w:t>
            </w:r>
            <w:proofErr w:type="spellStart"/>
            <w:r w:rsidRPr="0038063B">
              <w:rPr>
                <w:rFonts w:ascii="Calibri" w:eastAsia="Times New Roman" w:hAnsi="Calibri" w:cs="Calibri"/>
                <w:b/>
                <w:bCs/>
                <w:sz w:val="20"/>
                <w:szCs w:val="20"/>
                <w:lang w:eastAsia="es-ES_tradnl"/>
              </w:rPr>
              <w:t>Jubera</w:t>
            </w:r>
            <w:proofErr w:type="spellEnd"/>
            <w:r w:rsidRPr="0038063B">
              <w:rPr>
                <w:rFonts w:ascii="Calibri" w:eastAsia="Times New Roman" w:hAnsi="Calibri" w:cs="Calibri"/>
                <w:b/>
                <w:bCs/>
                <w:sz w:val="20"/>
                <w:szCs w:val="20"/>
                <w:lang w:eastAsia="es-ES_tradnl"/>
              </w:rPr>
              <w:t xml:space="preserve">, Cidacos y Alhama en el marco del Plan de Recuperación, Transformación y Resiliencia financiado por la UE a través de </w:t>
            </w:r>
            <w:proofErr w:type="spellStart"/>
            <w:r w:rsidRPr="0038063B">
              <w:rPr>
                <w:rFonts w:ascii="Calibri" w:eastAsia="Times New Roman" w:hAnsi="Calibri" w:cs="Calibri"/>
                <w:b/>
                <w:bCs/>
                <w:sz w:val="20"/>
                <w:szCs w:val="20"/>
                <w:lang w:eastAsia="es-ES_tradnl"/>
              </w:rPr>
              <w:t>Next</w:t>
            </w:r>
            <w:proofErr w:type="spellEnd"/>
            <w:r w:rsidRPr="0038063B">
              <w:rPr>
                <w:rFonts w:ascii="Calibri" w:eastAsia="Times New Roman" w:hAnsi="Calibri" w:cs="Calibri"/>
                <w:b/>
                <w:bCs/>
                <w:sz w:val="20"/>
                <w:szCs w:val="20"/>
                <w:lang w:eastAsia="es-ES_tradnl"/>
              </w:rPr>
              <w:t xml:space="preserve"> </w:t>
            </w:r>
            <w:proofErr w:type="spellStart"/>
            <w:r w:rsidRPr="0038063B">
              <w:rPr>
                <w:rFonts w:ascii="Calibri" w:eastAsia="Times New Roman" w:hAnsi="Calibri" w:cs="Calibri"/>
                <w:b/>
                <w:bCs/>
                <w:sz w:val="20"/>
                <w:szCs w:val="20"/>
                <w:lang w:eastAsia="es-ES_tradnl"/>
              </w:rPr>
              <w:t>generation</w:t>
            </w:r>
            <w:proofErr w:type="spellEnd"/>
          </w:p>
        </w:tc>
        <w:tc>
          <w:tcPr>
            <w:tcW w:w="1134" w:type="dxa"/>
            <w:tcBorders>
              <w:top w:val="nil"/>
              <w:left w:val="nil"/>
              <w:bottom w:val="single" w:sz="4" w:space="0" w:color="FFFFFF"/>
              <w:right w:val="single" w:sz="4" w:space="0" w:color="FFFFFF"/>
            </w:tcBorders>
            <w:shd w:val="clear" w:color="B4C6E7" w:fill="B4C6E7"/>
            <w:vAlign w:val="center"/>
          </w:tcPr>
          <w:p w:rsidR="00093AA0" w:rsidRPr="0038063B" w:rsidRDefault="00093AA0" w:rsidP="00C003CF">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 T</w:t>
            </w:r>
          </w:p>
        </w:tc>
        <w:tc>
          <w:tcPr>
            <w:tcW w:w="1701" w:type="dxa"/>
            <w:tcBorders>
              <w:top w:val="nil"/>
              <w:left w:val="nil"/>
              <w:bottom w:val="single" w:sz="4" w:space="0" w:color="FFFFFF"/>
              <w:right w:val="single" w:sz="4" w:space="0" w:color="FFFFFF"/>
            </w:tcBorders>
            <w:shd w:val="clear" w:color="B4C6E7" w:fill="B4C6E7"/>
            <w:vAlign w:val="center"/>
          </w:tcPr>
          <w:p w:rsidR="00093AA0" w:rsidRPr="0038063B" w:rsidRDefault="00DF5BBA" w:rsidP="00E65FAF">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 xml:space="preserve">Consejería de  </w:t>
            </w:r>
            <w:r w:rsidR="00093AA0" w:rsidRPr="0038063B">
              <w:rPr>
                <w:rFonts w:ascii="Calibri" w:eastAsia="Times New Roman" w:hAnsi="Calibri" w:cs="Calibri"/>
                <w:b/>
                <w:color w:val="000000"/>
                <w:sz w:val="20"/>
                <w:szCs w:val="20"/>
                <w:lang w:eastAsia="es-ES_tradnl"/>
              </w:rPr>
              <w:t>Agricultura, Ganadería, Mundo Rural y Medio Ambiente (</w:t>
            </w:r>
            <w:proofErr w:type="spellStart"/>
            <w:r w:rsidR="00093AA0" w:rsidRPr="0038063B">
              <w:rPr>
                <w:rFonts w:ascii="Calibri" w:eastAsia="Times New Roman" w:hAnsi="Calibri" w:cs="Calibri"/>
                <w:b/>
                <w:color w:val="000000"/>
                <w:sz w:val="20"/>
                <w:szCs w:val="20"/>
                <w:lang w:eastAsia="es-ES_tradnl"/>
              </w:rPr>
              <w:t>DGMNyP</w:t>
            </w:r>
            <w:proofErr w:type="spellEnd"/>
            <w:r w:rsidR="00093AA0" w:rsidRPr="0038063B">
              <w:rPr>
                <w:rFonts w:ascii="Calibri" w:eastAsia="Times New Roman" w:hAnsi="Calibri" w:cs="Calibri"/>
                <w:b/>
                <w:color w:val="000000"/>
                <w:sz w:val="20"/>
                <w:szCs w:val="20"/>
                <w:lang w:eastAsia="es-ES_tradnl"/>
              </w:rPr>
              <w:t>)</w:t>
            </w:r>
          </w:p>
        </w:tc>
        <w:tc>
          <w:tcPr>
            <w:tcW w:w="1843" w:type="dxa"/>
            <w:tcBorders>
              <w:top w:val="nil"/>
              <w:left w:val="nil"/>
              <w:bottom w:val="single" w:sz="4" w:space="0" w:color="FFFFFF"/>
              <w:right w:val="single" w:sz="4" w:space="0" w:color="FFFFFF"/>
            </w:tcBorders>
            <w:shd w:val="clear" w:color="B4C6E7" w:fill="B4C6E7"/>
            <w:vAlign w:val="center"/>
          </w:tcPr>
          <w:p w:rsidR="00093AA0" w:rsidRPr="0038063B" w:rsidRDefault="00C003CF" w:rsidP="00C003CF">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w:t>
            </w:r>
            <w:r w:rsidR="00093AA0" w:rsidRPr="0038063B">
              <w:rPr>
                <w:rFonts w:ascii="Calibri" w:eastAsia="Times New Roman" w:hAnsi="Calibri" w:cs="Calibri"/>
                <w:sz w:val="20"/>
                <w:szCs w:val="20"/>
                <w:lang w:eastAsia="es-ES_tradnl"/>
              </w:rPr>
              <w:t>mpresas (incluidas PYMES)</w:t>
            </w:r>
          </w:p>
        </w:tc>
        <w:tc>
          <w:tcPr>
            <w:tcW w:w="3402" w:type="dxa"/>
            <w:tcBorders>
              <w:top w:val="nil"/>
              <w:left w:val="nil"/>
              <w:bottom w:val="single" w:sz="4" w:space="0" w:color="FFFFFF"/>
              <w:right w:val="single" w:sz="4" w:space="0" w:color="FFFFFF"/>
            </w:tcBorders>
            <w:shd w:val="clear" w:color="B4C6E7" w:fill="B4C6E7"/>
            <w:vAlign w:val="center"/>
          </w:tcPr>
          <w:p w:rsidR="00093AA0" w:rsidRPr="0038063B" w:rsidRDefault="00093AA0" w:rsidP="00C003CF">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Mejora de las infraestructuras tanto para su uso público como para el apoyo a las actividades de educación ambiental de los espacios de los yacimientos</w:t>
            </w:r>
          </w:p>
        </w:tc>
        <w:tc>
          <w:tcPr>
            <w:tcW w:w="2592" w:type="dxa"/>
            <w:tcBorders>
              <w:top w:val="nil"/>
              <w:left w:val="nil"/>
              <w:bottom w:val="single" w:sz="4" w:space="0" w:color="FFFFFF"/>
              <w:right w:val="single" w:sz="4" w:space="0" w:color="FFFFFF"/>
            </w:tcBorders>
            <w:shd w:val="clear" w:color="B4C6E7" w:fill="B4C6E7"/>
            <w:vAlign w:val="center"/>
          </w:tcPr>
          <w:p w:rsidR="00093AA0" w:rsidRPr="0038063B" w:rsidRDefault="00093AA0"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350.000</w:t>
            </w:r>
            <w:r w:rsidR="006E1FEF" w:rsidRPr="0038063B">
              <w:rPr>
                <w:rFonts w:ascii="Calibri" w:eastAsia="Times New Roman" w:hAnsi="Calibri" w:cs="Calibri"/>
                <w:sz w:val="20"/>
                <w:szCs w:val="20"/>
                <w:lang w:eastAsia="es-ES_tradnl"/>
              </w:rPr>
              <w:t xml:space="preserve"> </w:t>
            </w:r>
            <w:r w:rsidR="006E1FEF" w:rsidRPr="0038063B">
              <w:rPr>
                <w:rFonts w:ascii="Calibri" w:hAnsi="Calibri" w:cs="Calibri"/>
                <w:bCs/>
                <w:color w:val="000000"/>
                <w:sz w:val="20"/>
                <w:szCs w:val="20"/>
              </w:rPr>
              <w:t>€</w:t>
            </w:r>
          </w:p>
        </w:tc>
      </w:tr>
      <w:tr w:rsidR="00093AA0"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093AA0" w:rsidRPr="0038063B" w:rsidRDefault="00093AA0"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lastRenderedPageBreak/>
              <w:t xml:space="preserve">Proyecto Red de Senderos de </w:t>
            </w:r>
            <w:proofErr w:type="spellStart"/>
            <w:r w:rsidRPr="0038063B">
              <w:rPr>
                <w:rFonts w:ascii="Calibri" w:eastAsia="Times New Roman" w:hAnsi="Calibri" w:cs="Calibri"/>
                <w:b/>
                <w:bCs/>
                <w:sz w:val="20"/>
                <w:szCs w:val="20"/>
                <w:lang w:eastAsia="es-ES_tradnl"/>
              </w:rPr>
              <w:t>Obarenes</w:t>
            </w:r>
            <w:proofErr w:type="spellEnd"/>
            <w:r w:rsidRPr="0038063B">
              <w:rPr>
                <w:rFonts w:ascii="Calibri" w:eastAsia="Times New Roman" w:hAnsi="Calibri" w:cs="Calibri"/>
                <w:b/>
                <w:bCs/>
                <w:sz w:val="20"/>
                <w:szCs w:val="20"/>
                <w:lang w:eastAsia="es-ES_tradnl"/>
              </w:rPr>
              <w:t xml:space="preserve"> dentro del Espacio Red Natura 2000- </w:t>
            </w:r>
            <w:proofErr w:type="spellStart"/>
            <w:r w:rsidRPr="0038063B">
              <w:rPr>
                <w:rFonts w:ascii="Calibri" w:eastAsia="Times New Roman" w:hAnsi="Calibri" w:cs="Calibri"/>
                <w:b/>
                <w:bCs/>
                <w:sz w:val="20"/>
                <w:szCs w:val="20"/>
                <w:lang w:eastAsia="es-ES_tradnl"/>
              </w:rPr>
              <w:t>Obarenes</w:t>
            </w:r>
            <w:proofErr w:type="spellEnd"/>
            <w:r w:rsidRPr="0038063B">
              <w:rPr>
                <w:rFonts w:ascii="Calibri" w:eastAsia="Times New Roman" w:hAnsi="Calibri" w:cs="Calibri"/>
                <w:b/>
                <w:bCs/>
                <w:sz w:val="20"/>
                <w:szCs w:val="20"/>
                <w:lang w:eastAsia="es-ES_tradnl"/>
              </w:rPr>
              <w:t xml:space="preserve"> y Sierra de Cantabria</w:t>
            </w:r>
          </w:p>
        </w:tc>
        <w:tc>
          <w:tcPr>
            <w:tcW w:w="1134" w:type="dxa"/>
            <w:tcBorders>
              <w:top w:val="nil"/>
              <w:left w:val="nil"/>
              <w:bottom w:val="single" w:sz="4" w:space="0" w:color="FFFFFF"/>
              <w:right w:val="single" w:sz="4" w:space="0" w:color="FFFFFF"/>
            </w:tcBorders>
            <w:shd w:val="clear" w:color="B4C6E7" w:fill="B4C6E7"/>
            <w:vAlign w:val="center"/>
          </w:tcPr>
          <w:p w:rsidR="00093AA0" w:rsidRPr="0038063B" w:rsidRDefault="00093AA0" w:rsidP="00C003CF">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 T</w:t>
            </w:r>
          </w:p>
        </w:tc>
        <w:tc>
          <w:tcPr>
            <w:tcW w:w="1701" w:type="dxa"/>
            <w:tcBorders>
              <w:top w:val="nil"/>
              <w:left w:val="nil"/>
              <w:bottom w:val="single" w:sz="4" w:space="0" w:color="FFFFFF"/>
              <w:right w:val="single" w:sz="4" w:space="0" w:color="FFFFFF"/>
            </w:tcBorders>
            <w:shd w:val="clear" w:color="B4C6E7" w:fill="B4C6E7"/>
            <w:vAlign w:val="center"/>
          </w:tcPr>
          <w:p w:rsidR="00093AA0" w:rsidRPr="0038063B" w:rsidRDefault="00DF5BBA" w:rsidP="00E65FAF">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 xml:space="preserve">Consejería de  </w:t>
            </w:r>
            <w:r w:rsidR="00093AA0" w:rsidRPr="0038063B">
              <w:rPr>
                <w:rFonts w:ascii="Calibri" w:eastAsia="Times New Roman" w:hAnsi="Calibri" w:cs="Calibri"/>
                <w:b/>
                <w:color w:val="000000"/>
                <w:sz w:val="20"/>
                <w:szCs w:val="20"/>
                <w:lang w:eastAsia="es-ES_tradnl"/>
              </w:rPr>
              <w:t>Agricultura, Ganadería, Mundo Rural y Medio Ambiente (</w:t>
            </w:r>
            <w:proofErr w:type="spellStart"/>
            <w:r w:rsidR="00093AA0" w:rsidRPr="0038063B">
              <w:rPr>
                <w:rFonts w:ascii="Calibri" w:eastAsia="Times New Roman" w:hAnsi="Calibri" w:cs="Calibri"/>
                <w:b/>
                <w:color w:val="000000"/>
                <w:sz w:val="20"/>
                <w:szCs w:val="20"/>
                <w:lang w:eastAsia="es-ES_tradnl"/>
              </w:rPr>
              <w:t>DGMNyP</w:t>
            </w:r>
            <w:proofErr w:type="spellEnd"/>
            <w:r w:rsidR="00093AA0" w:rsidRPr="0038063B">
              <w:rPr>
                <w:rFonts w:ascii="Calibri" w:eastAsia="Times New Roman" w:hAnsi="Calibri" w:cs="Calibri"/>
                <w:b/>
                <w:color w:val="000000"/>
                <w:sz w:val="20"/>
                <w:szCs w:val="20"/>
                <w:lang w:eastAsia="es-ES_tradnl"/>
              </w:rPr>
              <w:t>)</w:t>
            </w:r>
          </w:p>
        </w:tc>
        <w:tc>
          <w:tcPr>
            <w:tcW w:w="1843" w:type="dxa"/>
            <w:tcBorders>
              <w:top w:val="nil"/>
              <w:left w:val="nil"/>
              <w:bottom w:val="single" w:sz="4" w:space="0" w:color="FFFFFF"/>
              <w:right w:val="single" w:sz="4" w:space="0" w:color="FFFFFF"/>
            </w:tcBorders>
            <w:shd w:val="clear" w:color="B4C6E7" w:fill="B4C6E7"/>
            <w:vAlign w:val="center"/>
          </w:tcPr>
          <w:p w:rsidR="00093AA0" w:rsidRPr="0038063B" w:rsidRDefault="00C003CF" w:rsidP="00C003CF">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w:t>
            </w:r>
            <w:r w:rsidR="00093AA0" w:rsidRPr="0038063B">
              <w:rPr>
                <w:rFonts w:ascii="Calibri" w:eastAsia="Times New Roman" w:hAnsi="Calibri" w:cs="Calibri"/>
                <w:sz w:val="20"/>
                <w:szCs w:val="20"/>
                <w:lang w:eastAsia="es-ES_tradnl"/>
              </w:rPr>
              <w:t>mpresas (incluidas PYMES)</w:t>
            </w:r>
          </w:p>
        </w:tc>
        <w:tc>
          <w:tcPr>
            <w:tcW w:w="3402" w:type="dxa"/>
            <w:tcBorders>
              <w:top w:val="nil"/>
              <w:left w:val="nil"/>
              <w:bottom w:val="single" w:sz="4" w:space="0" w:color="FFFFFF"/>
              <w:right w:val="single" w:sz="4" w:space="0" w:color="FFFFFF"/>
            </w:tcBorders>
            <w:shd w:val="clear" w:color="B4C6E7" w:fill="B4C6E7"/>
            <w:vAlign w:val="center"/>
          </w:tcPr>
          <w:p w:rsidR="00093AA0" w:rsidRPr="0038063B" w:rsidRDefault="00093AA0" w:rsidP="00C003CF">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 xml:space="preserve">Nueva red de senderos de uso público del espacio de </w:t>
            </w:r>
            <w:proofErr w:type="spellStart"/>
            <w:r w:rsidRPr="0038063B">
              <w:rPr>
                <w:rFonts w:ascii="Calibri" w:eastAsia="Times New Roman" w:hAnsi="Calibri" w:cs="Calibri"/>
                <w:color w:val="000000"/>
                <w:sz w:val="20"/>
                <w:szCs w:val="20"/>
                <w:lang w:eastAsia="es-ES_tradnl"/>
              </w:rPr>
              <w:t>Obarenes</w:t>
            </w:r>
            <w:proofErr w:type="spellEnd"/>
            <w:r w:rsidRPr="0038063B">
              <w:rPr>
                <w:rFonts w:ascii="Calibri" w:eastAsia="Times New Roman" w:hAnsi="Calibri" w:cs="Calibri"/>
                <w:color w:val="000000"/>
                <w:sz w:val="20"/>
                <w:szCs w:val="20"/>
                <w:lang w:eastAsia="es-ES_tradnl"/>
              </w:rPr>
              <w:t xml:space="preserve"> y Sierra de Cantabria</w:t>
            </w:r>
          </w:p>
        </w:tc>
        <w:tc>
          <w:tcPr>
            <w:tcW w:w="2592" w:type="dxa"/>
            <w:tcBorders>
              <w:top w:val="nil"/>
              <w:left w:val="nil"/>
              <w:bottom w:val="single" w:sz="4" w:space="0" w:color="FFFFFF"/>
              <w:right w:val="single" w:sz="4" w:space="0" w:color="FFFFFF"/>
            </w:tcBorders>
            <w:shd w:val="clear" w:color="B4C6E7" w:fill="B4C6E7"/>
            <w:vAlign w:val="center"/>
          </w:tcPr>
          <w:p w:rsidR="00093AA0" w:rsidRPr="0038063B" w:rsidRDefault="00093AA0"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180.000</w:t>
            </w:r>
            <w:r w:rsidR="006E1FEF" w:rsidRPr="0038063B">
              <w:rPr>
                <w:rFonts w:ascii="Calibri" w:eastAsia="Times New Roman" w:hAnsi="Calibri" w:cs="Calibri"/>
                <w:sz w:val="20"/>
                <w:szCs w:val="20"/>
                <w:lang w:eastAsia="es-ES_tradnl"/>
              </w:rPr>
              <w:t xml:space="preserve"> </w:t>
            </w:r>
            <w:r w:rsidR="006E1FEF" w:rsidRPr="0038063B">
              <w:rPr>
                <w:rFonts w:ascii="Calibri" w:hAnsi="Calibri" w:cs="Calibri"/>
                <w:bCs/>
                <w:color w:val="000000"/>
                <w:sz w:val="20"/>
                <w:szCs w:val="20"/>
              </w:rPr>
              <w:t>€</w:t>
            </w:r>
          </w:p>
          <w:p w:rsidR="00093AA0" w:rsidRPr="0038063B" w:rsidRDefault="00093AA0" w:rsidP="0038063B">
            <w:pPr>
              <w:jc w:val="center"/>
              <w:rPr>
                <w:rFonts w:ascii="Calibri" w:eastAsia="Times New Roman" w:hAnsi="Calibri" w:cs="Calibri"/>
                <w:sz w:val="20"/>
                <w:szCs w:val="20"/>
                <w:lang w:eastAsia="es-ES_tradnl"/>
              </w:rPr>
            </w:pPr>
          </w:p>
        </w:tc>
      </w:tr>
      <w:tr w:rsidR="00093AA0"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093AA0" w:rsidRPr="0038063B" w:rsidRDefault="00093AA0"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Ayudas Autoconsumo - Ampliación 2</w:t>
            </w:r>
          </w:p>
        </w:tc>
        <w:tc>
          <w:tcPr>
            <w:tcW w:w="1134" w:type="dxa"/>
            <w:tcBorders>
              <w:top w:val="nil"/>
              <w:left w:val="nil"/>
              <w:bottom w:val="single" w:sz="4" w:space="0" w:color="FFFFFF"/>
              <w:right w:val="single" w:sz="4" w:space="0" w:color="FFFFFF"/>
            </w:tcBorders>
            <w:shd w:val="clear" w:color="B4C6E7" w:fill="B4C6E7"/>
            <w:vAlign w:val="center"/>
          </w:tcPr>
          <w:p w:rsidR="00093AA0" w:rsidRPr="0038063B" w:rsidRDefault="0038063B" w:rsidP="00C003CF">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093AA0" w:rsidRPr="0038063B" w:rsidRDefault="00DF5BBA" w:rsidP="00E65FAF">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 xml:space="preserve">Consejería de  </w:t>
            </w:r>
            <w:r w:rsidR="00B878AD" w:rsidRPr="0038063B">
              <w:rPr>
                <w:rFonts w:ascii="Calibri" w:eastAsia="Times New Roman" w:hAnsi="Calibri" w:cs="Calibri"/>
                <w:b/>
                <w:color w:val="000000"/>
                <w:sz w:val="20"/>
                <w:szCs w:val="20"/>
                <w:lang w:eastAsia="es-ES_tradnl"/>
              </w:rPr>
              <w:t>Economía, Innovación Empresa y Trabajo Autónomo</w:t>
            </w:r>
          </w:p>
        </w:tc>
        <w:tc>
          <w:tcPr>
            <w:tcW w:w="1843" w:type="dxa"/>
            <w:tcBorders>
              <w:top w:val="nil"/>
              <w:left w:val="nil"/>
              <w:bottom w:val="single" w:sz="4" w:space="0" w:color="FFFFFF"/>
              <w:right w:val="single" w:sz="4" w:space="0" w:color="FFFFFF"/>
            </w:tcBorders>
            <w:shd w:val="clear" w:color="B4C6E7" w:fill="B4C6E7"/>
            <w:vAlign w:val="center"/>
          </w:tcPr>
          <w:p w:rsidR="00093AA0" w:rsidRPr="0038063B" w:rsidRDefault="00093AA0" w:rsidP="00C003CF">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Públicos (EELL) y privados</w:t>
            </w:r>
          </w:p>
        </w:tc>
        <w:tc>
          <w:tcPr>
            <w:tcW w:w="3402" w:type="dxa"/>
            <w:tcBorders>
              <w:top w:val="nil"/>
              <w:left w:val="nil"/>
              <w:bottom w:val="single" w:sz="4" w:space="0" w:color="FFFFFF"/>
              <w:right w:val="single" w:sz="4" w:space="0" w:color="FFFFFF"/>
            </w:tcBorders>
            <w:shd w:val="clear" w:color="B4C6E7" w:fill="B4C6E7"/>
            <w:vAlign w:val="center"/>
          </w:tcPr>
          <w:p w:rsidR="00093AA0" w:rsidRPr="0038063B" w:rsidRDefault="00093AA0" w:rsidP="00C003CF">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Hay certificado de ingreso. Previsión de generar el crédito y convocar en febrero.</w:t>
            </w:r>
          </w:p>
        </w:tc>
        <w:tc>
          <w:tcPr>
            <w:tcW w:w="2592" w:type="dxa"/>
            <w:tcBorders>
              <w:top w:val="nil"/>
              <w:left w:val="nil"/>
              <w:bottom w:val="single" w:sz="4" w:space="0" w:color="FFFFFF"/>
              <w:right w:val="single" w:sz="4" w:space="0" w:color="FFFFFF"/>
            </w:tcBorders>
            <w:shd w:val="clear" w:color="B4C6E7" w:fill="B4C6E7"/>
            <w:vAlign w:val="center"/>
          </w:tcPr>
          <w:p w:rsidR="00093AA0" w:rsidRPr="0038063B" w:rsidRDefault="00093AA0"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1.992.697</w:t>
            </w:r>
            <w:r w:rsidR="006E1FEF" w:rsidRPr="0038063B">
              <w:rPr>
                <w:rFonts w:ascii="Calibri" w:eastAsia="Times New Roman" w:hAnsi="Calibri" w:cs="Calibri"/>
                <w:sz w:val="20"/>
                <w:szCs w:val="20"/>
                <w:lang w:eastAsia="es-ES_tradnl"/>
              </w:rPr>
              <w:t xml:space="preserve"> </w:t>
            </w:r>
            <w:r w:rsidR="006E1FEF" w:rsidRPr="0038063B">
              <w:rPr>
                <w:rFonts w:ascii="Calibri" w:hAnsi="Calibri" w:cs="Calibri"/>
                <w:bCs/>
                <w:color w:val="000000"/>
                <w:sz w:val="20"/>
                <w:szCs w:val="20"/>
              </w:rPr>
              <w:t>€</w:t>
            </w:r>
          </w:p>
        </w:tc>
      </w:tr>
      <w:tr w:rsidR="00B878AD"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B878AD" w:rsidRPr="0038063B" w:rsidRDefault="00B878AD"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Ayudas Autoconsumo – Remanentes ampliación 2 y ampliación 3</w:t>
            </w:r>
          </w:p>
        </w:tc>
        <w:tc>
          <w:tcPr>
            <w:tcW w:w="1134" w:type="dxa"/>
            <w:tcBorders>
              <w:top w:val="nil"/>
              <w:left w:val="nil"/>
              <w:bottom w:val="single" w:sz="4" w:space="0" w:color="FFFFFF"/>
              <w:right w:val="single" w:sz="4" w:space="0" w:color="FFFFFF"/>
            </w:tcBorders>
            <w:shd w:val="clear" w:color="B4C6E7" w:fill="B4C6E7"/>
            <w:vAlign w:val="center"/>
          </w:tcPr>
          <w:p w:rsidR="00B878AD" w:rsidRPr="0038063B" w:rsidRDefault="0038063B" w:rsidP="00C003CF">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B878AD" w:rsidRPr="0038063B" w:rsidRDefault="00DF5BBA" w:rsidP="00B878AD">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Economía, Innovación Empresa y Trabajo Autónomo</w:t>
            </w:r>
          </w:p>
        </w:tc>
        <w:tc>
          <w:tcPr>
            <w:tcW w:w="1843" w:type="dxa"/>
            <w:tcBorders>
              <w:top w:val="nil"/>
              <w:left w:val="nil"/>
              <w:bottom w:val="single" w:sz="4" w:space="0" w:color="FFFFFF"/>
              <w:right w:val="single" w:sz="4" w:space="0" w:color="FFFFFF"/>
            </w:tcBorders>
            <w:shd w:val="clear" w:color="B4C6E7" w:fill="B4C6E7"/>
            <w:vAlign w:val="center"/>
          </w:tcPr>
          <w:p w:rsidR="00B878AD" w:rsidRPr="0038063B" w:rsidRDefault="00B878AD" w:rsidP="00C003CF">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Públicos (EELL) y privados</w:t>
            </w:r>
          </w:p>
        </w:tc>
        <w:tc>
          <w:tcPr>
            <w:tcW w:w="3402" w:type="dxa"/>
            <w:tcBorders>
              <w:top w:val="nil"/>
              <w:left w:val="nil"/>
              <w:bottom w:val="single" w:sz="4" w:space="0" w:color="FFFFFF"/>
              <w:right w:val="single" w:sz="4" w:space="0" w:color="FFFFFF"/>
            </w:tcBorders>
            <w:shd w:val="clear" w:color="B4C6E7" w:fill="B4C6E7"/>
            <w:vAlign w:val="center"/>
          </w:tcPr>
          <w:p w:rsidR="00B878AD" w:rsidRPr="0038063B" w:rsidRDefault="00B878AD" w:rsidP="00C003CF">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Hay resolución de concesión de IDAE y aceptación de la CAR. Previsión de generar el crédito y convocar en febrero.</w:t>
            </w:r>
          </w:p>
        </w:tc>
        <w:tc>
          <w:tcPr>
            <w:tcW w:w="2592" w:type="dxa"/>
            <w:tcBorders>
              <w:top w:val="nil"/>
              <w:left w:val="nil"/>
              <w:bottom w:val="single" w:sz="4" w:space="0" w:color="FFFFFF"/>
              <w:right w:val="single" w:sz="4" w:space="0" w:color="FFFFFF"/>
            </w:tcBorders>
            <w:shd w:val="clear" w:color="B4C6E7" w:fill="B4C6E7"/>
            <w:vAlign w:val="center"/>
          </w:tcPr>
          <w:p w:rsidR="00B878AD" w:rsidRPr="0038063B" w:rsidRDefault="00B878AD"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4.242.609</w:t>
            </w:r>
            <w:r w:rsidR="006E1FEF" w:rsidRPr="0038063B">
              <w:rPr>
                <w:rFonts w:ascii="Calibri" w:eastAsia="Times New Roman" w:hAnsi="Calibri" w:cs="Calibri"/>
                <w:sz w:val="20"/>
                <w:szCs w:val="20"/>
                <w:lang w:eastAsia="es-ES_tradnl"/>
              </w:rPr>
              <w:t xml:space="preserve"> </w:t>
            </w:r>
            <w:r w:rsidR="006E1FEF" w:rsidRPr="0038063B">
              <w:rPr>
                <w:rFonts w:ascii="Calibri" w:hAnsi="Calibri" w:cs="Calibri"/>
                <w:bCs/>
                <w:color w:val="000000"/>
                <w:sz w:val="20"/>
                <w:szCs w:val="20"/>
              </w:rPr>
              <w:t>€</w:t>
            </w:r>
          </w:p>
        </w:tc>
      </w:tr>
      <w:tr w:rsidR="00B878AD"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B878AD" w:rsidRPr="0038063B" w:rsidRDefault="00B878AD"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PREE 5000 – Ampliación del plazo de solicitud a 31 de julio de 2024</w:t>
            </w:r>
          </w:p>
        </w:tc>
        <w:tc>
          <w:tcPr>
            <w:tcW w:w="1134" w:type="dxa"/>
            <w:tcBorders>
              <w:top w:val="nil"/>
              <w:left w:val="nil"/>
              <w:bottom w:val="single" w:sz="4" w:space="0" w:color="FFFFFF"/>
              <w:right w:val="single" w:sz="4" w:space="0" w:color="FFFFFF"/>
            </w:tcBorders>
            <w:shd w:val="clear" w:color="B4C6E7" w:fill="B4C6E7"/>
            <w:vAlign w:val="center"/>
          </w:tcPr>
          <w:p w:rsidR="00B878AD" w:rsidRPr="0038063B" w:rsidRDefault="0038063B" w:rsidP="00C003CF">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B878AD" w:rsidRPr="0038063B" w:rsidRDefault="00DF5BBA" w:rsidP="00B878AD">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Economía, Innovación Empresa y Trabajo Autónomo</w:t>
            </w:r>
          </w:p>
        </w:tc>
        <w:tc>
          <w:tcPr>
            <w:tcW w:w="1843" w:type="dxa"/>
            <w:tcBorders>
              <w:top w:val="nil"/>
              <w:left w:val="nil"/>
              <w:bottom w:val="single" w:sz="4" w:space="0" w:color="FFFFFF"/>
              <w:right w:val="single" w:sz="4" w:space="0" w:color="FFFFFF"/>
            </w:tcBorders>
            <w:shd w:val="clear" w:color="B4C6E7" w:fill="B4C6E7"/>
            <w:vAlign w:val="center"/>
          </w:tcPr>
          <w:p w:rsidR="00B878AD" w:rsidRPr="0038063B" w:rsidRDefault="00B878AD" w:rsidP="00C003CF">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Públicos (EELL)</w:t>
            </w:r>
          </w:p>
        </w:tc>
        <w:tc>
          <w:tcPr>
            <w:tcW w:w="3402" w:type="dxa"/>
            <w:tcBorders>
              <w:top w:val="nil"/>
              <w:left w:val="nil"/>
              <w:bottom w:val="single" w:sz="4" w:space="0" w:color="FFFFFF"/>
              <w:right w:val="single" w:sz="4" w:space="0" w:color="FFFFFF"/>
            </w:tcBorders>
            <w:shd w:val="clear" w:color="B4C6E7" w:fill="B4C6E7"/>
            <w:vAlign w:val="center"/>
          </w:tcPr>
          <w:p w:rsidR="00B878AD" w:rsidRPr="0038063B" w:rsidRDefault="00B878AD" w:rsidP="00C003CF">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De acuerdo al RD 1178/2023. Ampliación del plazo.</w:t>
            </w:r>
          </w:p>
          <w:p w:rsidR="00B878AD" w:rsidRPr="0038063B" w:rsidRDefault="00B878AD" w:rsidP="00C003CF">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Municipios de menos de 5000 habitantes.</w:t>
            </w:r>
          </w:p>
        </w:tc>
        <w:tc>
          <w:tcPr>
            <w:tcW w:w="2592" w:type="dxa"/>
            <w:tcBorders>
              <w:top w:val="nil"/>
              <w:left w:val="nil"/>
              <w:bottom w:val="single" w:sz="4" w:space="0" w:color="FFFFFF"/>
              <w:right w:val="single" w:sz="4" w:space="0" w:color="FFFFFF"/>
            </w:tcBorders>
            <w:shd w:val="clear" w:color="B4C6E7" w:fill="B4C6E7"/>
            <w:vAlign w:val="center"/>
          </w:tcPr>
          <w:p w:rsidR="00B878AD" w:rsidRPr="0038063B" w:rsidRDefault="00B878AD"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w:t>
            </w:r>
          </w:p>
        </w:tc>
      </w:tr>
      <w:tr w:rsidR="00B878AD"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B878AD" w:rsidRPr="0038063B" w:rsidRDefault="00B878AD"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Renovables térmicas – Ampliación del plazo de solicitud a 31 de julio de 2024</w:t>
            </w:r>
          </w:p>
        </w:tc>
        <w:tc>
          <w:tcPr>
            <w:tcW w:w="1134" w:type="dxa"/>
            <w:tcBorders>
              <w:top w:val="nil"/>
              <w:left w:val="nil"/>
              <w:bottom w:val="single" w:sz="4" w:space="0" w:color="FFFFFF"/>
              <w:right w:val="single" w:sz="4" w:space="0" w:color="FFFFFF"/>
            </w:tcBorders>
            <w:shd w:val="clear" w:color="B4C6E7" w:fill="B4C6E7"/>
            <w:vAlign w:val="center"/>
          </w:tcPr>
          <w:p w:rsidR="00B878AD" w:rsidRPr="0038063B" w:rsidRDefault="0038063B" w:rsidP="00C003CF">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B878AD" w:rsidRPr="0038063B" w:rsidRDefault="00DF5BBA" w:rsidP="00B878AD">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Economía, Innovación Empresa y Trabajo Autónomo</w:t>
            </w:r>
          </w:p>
        </w:tc>
        <w:tc>
          <w:tcPr>
            <w:tcW w:w="1843" w:type="dxa"/>
            <w:tcBorders>
              <w:top w:val="nil"/>
              <w:left w:val="nil"/>
              <w:bottom w:val="single" w:sz="4" w:space="0" w:color="FFFFFF"/>
              <w:right w:val="single" w:sz="4" w:space="0" w:color="FFFFFF"/>
            </w:tcBorders>
            <w:shd w:val="clear" w:color="B4C6E7" w:fill="B4C6E7"/>
            <w:vAlign w:val="center"/>
          </w:tcPr>
          <w:p w:rsidR="00B878AD" w:rsidRPr="0038063B" w:rsidRDefault="00B878AD" w:rsidP="00C003CF">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Públicos (EELL) y privados</w:t>
            </w:r>
          </w:p>
        </w:tc>
        <w:tc>
          <w:tcPr>
            <w:tcW w:w="3402" w:type="dxa"/>
            <w:tcBorders>
              <w:top w:val="nil"/>
              <w:left w:val="nil"/>
              <w:bottom w:val="single" w:sz="4" w:space="0" w:color="FFFFFF"/>
              <w:right w:val="single" w:sz="4" w:space="0" w:color="FFFFFF"/>
            </w:tcBorders>
            <w:shd w:val="clear" w:color="B4C6E7" w:fill="B4C6E7"/>
            <w:vAlign w:val="center"/>
          </w:tcPr>
          <w:p w:rsidR="00B878AD" w:rsidRPr="0038063B" w:rsidRDefault="00B878AD" w:rsidP="00C003CF">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De acuerdo al RD 1178/2023. Ampliación del plazo.</w:t>
            </w:r>
          </w:p>
        </w:tc>
        <w:tc>
          <w:tcPr>
            <w:tcW w:w="2592" w:type="dxa"/>
            <w:tcBorders>
              <w:top w:val="nil"/>
              <w:left w:val="nil"/>
              <w:bottom w:val="single" w:sz="4" w:space="0" w:color="FFFFFF"/>
              <w:right w:val="single" w:sz="4" w:space="0" w:color="FFFFFF"/>
            </w:tcBorders>
            <w:shd w:val="clear" w:color="B4C6E7" w:fill="B4C6E7"/>
            <w:vAlign w:val="center"/>
          </w:tcPr>
          <w:p w:rsidR="00B878AD" w:rsidRPr="0038063B" w:rsidRDefault="00B878AD"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w:t>
            </w:r>
          </w:p>
        </w:tc>
      </w:tr>
      <w:tr w:rsidR="00B878AD"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B878AD" w:rsidRPr="0038063B" w:rsidRDefault="00B878AD"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lastRenderedPageBreak/>
              <w:t>MOVES III – Ampliación del plazo de solicitud a 31 de julio de 2024</w:t>
            </w:r>
          </w:p>
        </w:tc>
        <w:tc>
          <w:tcPr>
            <w:tcW w:w="1134" w:type="dxa"/>
            <w:tcBorders>
              <w:top w:val="nil"/>
              <w:left w:val="nil"/>
              <w:bottom w:val="single" w:sz="4" w:space="0" w:color="FFFFFF"/>
              <w:right w:val="single" w:sz="4" w:space="0" w:color="FFFFFF"/>
            </w:tcBorders>
            <w:shd w:val="clear" w:color="B4C6E7" w:fill="B4C6E7"/>
            <w:vAlign w:val="center"/>
          </w:tcPr>
          <w:p w:rsidR="00B878AD" w:rsidRPr="0038063B" w:rsidRDefault="0038063B" w:rsidP="00C003CF">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B878AD" w:rsidRPr="0038063B" w:rsidRDefault="00DF5BBA" w:rsidP="00B878AD">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Economía, Innovación Empresa y Trabajo Autónomo</w:t>
            </w:r>
          </w:p>
        </w:tc>
        <w:tc>
          <w:tcPr>
            <w:tcW w:w="1843" w:type="dxa"/>
            <w:tcBorders>
              <w:top w:val="nil"/>
              <w:left w:val="nil"/>
              <w:bottom w:val="single" w:sz="4" w:space="0" w:color="FFFFFF"/>
              <w:right w:val="single" w:sz="4" w:space="0" w:color="FFFFFF"/>
            </w:tcBorders>
            <w:shd w:val="clear" w:color="B4C6E7" w:fill="B4C6E7"/>
            <w:vAlign w:val="center"/>
          </w:tcPr>
          <w:p w:rsidR="00B878AD" w:rsidRPr="0038063B" w:rsidRDefault="00B878AD" w:rsidP="00C003CF">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Públicos, EE.LL. y privados</w:t>
            </w:r>
          </w:p>
        </w:tc>
        <w:tc>
          <w:tcPr>
            <w:tcW w:w="3402" w:type="dxa"/>
            <w:tcBorders>
              <w:top w:val="nil"/>
              <w:left w:val="nil"/>
              <w:bottom w:val="single" w:sz="4" w:space="0" w:color="FFFFFF"/>
              <w:right w:val="single" w:sz="4" w:space="0" w:color="FFFFFF"/>
            </w:tcBorders>
            <w:shd w:val="clear" w:color="B4C6E7" w:fill="B4C6E7"/>
            <w:vAlign w:val="center"/>
          </w:tcPr>
          <w:p w:rsidR="00B878AD" w:rsidRPr="0038063B" w:rsidRDefault="00B878AD" w:rsidP="00C003CF">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De acuerdo a Real Decreto 821/2023, de 14 de noviembre. Según punto 1 del artículo único.</w:t>
            </w:r>
          </w:p>
        </w:tc>
        <w:tc>
          <w:tcPr>
            <w:tcW w:w="2592" w:type="dxa"/>
            <w:tcBorders>
              <w:top w:val="nil"/>
              <w:left w:val="nil"/>
              <w:bottom w:val="single" w:sz="4" w:space="0" w:color="FFFFFF"/>
              <w:right w:val="single" w:sz="4" w:space="0" w:color="FFFFFF"/>
            </w:tcBorders>
            <w:shd w:val="clear" w:color="B4C6E7" w:fill="B4C6E7"/>
            <w:vAlign w:val="center"/>
          </w:tcPr>
          <w:p w:rsidR="00B878AD" w:rsidRPr="0038063B" w:rsidRDefault="00B878AD"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 xml:space="preserve">MOVES III – </w:t>
            </w:r>
            <w:r w:rsidR="00B753E2" w:rsidRPr="0038063B">
              <w:rPr>
                <w:rFonts w:ascii="Calibri" w:eastAsia="Times New Roman" w:hAnsi="Calibri" w:cs="Calibri"/>
                <w:b/>
                <w:bCs/>
                <w:sz w:val="20"/>
                <w:szCs w:val="20"/>
                <w:lang w:eastAsia="es-ES_tradnl"/>
              </w:rPr>
              <w:t>2ª Ampliación de presupuesto</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38063B"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Economía, Innovación Empresa y Trabajo Autónomo</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Públicos, EE.LL. y privados</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B753E2"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Actualmente en circuito de firma de la propuesta de generación de crédito</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B753E2"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500.000 €</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Contrato de mantenimiento app de  demanda de empleo</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 T</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Educación y Empleo</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Empresas (incluidas PYMES)</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Desarrollo, mantenimiento, soporte técnico y funcional de la app de gestión de actividades relacionadas con la demanda de empleo.</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78.711,00 €</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Contrato de obras de  mejora energética</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 T</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Educación y Empleo</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Empresas (incluidas PYMES)</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Sustitución de bomba de calor para la mejora energética en la sede del COE- ADER, sita en C/Marqués de Larios 39-41-43-45</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180.000,00 €</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Contrato de consultoría oficinas de empleo</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 T</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Educación y Empleo</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Empresas (incluidas PYMES)</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Consultoría para la evolución del sistema de analítica avanzada de las oficinas de empleo de La Rioja y de la plataforma de integración y modelado de datos</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150.040,00 €</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Contrato de consultoría de Transversalidad de Género en políticas activas de Empleo.</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 T</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Educación y Empleo</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Empresas (incluidas PYMES)</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Servicio de Consultoría y Asistencia Técnica para implementar la Transversalidad de Género en las políticas activas de empleo de la CAR</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18.150,00 €</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lastRenderedPageBreak/>
              <w:t>Contrato de digitalización de aulas de manualidades</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 T</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Educación y Empleo</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Empresas (incluidas PYMES)</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 xml:space="preserve">Aulas manualidades infantil y música digitalizadas </w:t>
            </w:r>
            <w:proofErr w:type="spellStart"/>
            <w:r w:rsidRPr="0038063B">
              <w:rPr>
                <w:rFonts w:ascii="Calibri" w:eastAsia="Times New Roman" w:hAnsi="Calibri" w:cs="Calibri"/>
                <w:color w:val="000000"/>
                <w:sz w:val="20"/>
                <w:szCs w:val="20"/>
                <w:lang w:eastAsia="es-ES_tradnl"/>
              </w:rPr>
              <w:t>EcoDigEdu</w:t>
            </w:r>
            <w:proofErr w:type="spellEnd"/>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232.900 €</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Contrato de mantenimiento plataforma de reconocimiento de competencias profesionales</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 T</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Educación y Empleo</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Empresas (incluidas PYMES)</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Mantenimiento correctivo, evolutivo y soporte técnico y funcional, explotación de plataforma informática de gestión del procedimiento de reconocimiento de competencias profesionales adquiridas por experiencia laboral o vías no formales de formación en La Rioja</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31.145,00 €</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Convocatoria de subvención de formación modular para población activa</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2 T</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Educación y Empleo</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Empresas, asociaciones empresas y entidades sin ánimo de lucro(incluidas PYMES)</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Formación modular para la cualificación y recualificación de la población activa</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909.988,10 €</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Componente 2 Programa 6</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A30DBF"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Instituto de la Vivienda de la Rioja (IRVI)</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 xml:space="preserve">Alquiler Social/ Asequible </w:t>
            </w:r>
          </w:p>
          <w:p w:rsidR="00DF5BBA" w:rsidRPr="0038063B" w:rsidRDefault="00DF5BBA" w:rsidP="00DF5BBA">
            <w:pPr>
              <w:rPr>
                <w:rFonts w:ascii="Calibri" w:eastAsia="Times New Roman" w:hAnsi="Calibri" w:cs="Calibri"/>
                <w:sz w:val="20"/>
                <w:szCs w:val="20"/>
                <w:lang w:eastAsia="es-ES_tradnl"/>
              </w:rPr>
            </w:pP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Redacción del Proyecto para la  Construcción de Edificios Energéticamente Eficientes  Alfaro</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 xml:space="preserve">500.000 </w:t>
            </w:r>
            <w:r w:rsidRPr="0038063B">
              <w:rPr>
                <w:rFonts w:ascii="Calibri" w:hAnsi="Calibri" w:cs="Calibri"/>
                <w:bCs/>
                <w:color w:val="000000"/>
                <w:sz w:val="20"/>
                <w:szCs w:val="20"/>
              </w:rPr>
              <w:t>€</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Componente 2 Programa 1</w:t>
            </w:r>
          </w:p>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 xml:space="preserve">Regeneración Urbana Escala Barrio </w:t>
            </w:r>
          </w:p>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Convenio Sin licitación</w:t>
            </w:r>
          </w:p>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 xml:space="preserve">(Sin trasferir fondos a </w:t>
            </w:r>
            <w:proofErr w:type="spellStart"/>
            <w:r w:rsidRPr="0038063B">
              <w:rPr>
                <w:rFonts w:ascii="Calibri" w:eastAsia="Times New Roman" w:hAnsi="Calibri" w:cs="Calibri"/>
                <w:b/>
                <w:bCs/>
                <w:sz w:val="20"/>
                <w:szCs w:val="20"/>
                <w:lang w:eastAsia="es-ES_tradnl"/>
              </w:rPr>
              <w:t>Irvi</w:t>
            </w:r>
            <w:proofErr w:type="spellEnd"/>
            <w:r w:rsidRPr="0038063B">
              <w:rPr>
                <w:rFonts w:ascii="Calibri" w:eastAsia="Times New Roman" w:hAnsi="Calibri" w:cs="Calibri"/>
                <w:b/>
                <w:bCs/>
                <w:sz w:val="20"/>
                <w:szCs w:val="20"/>
                <w:lang w:eastAsia="es-ES_tradnl"/>
              </w:rPr>
              <w:t>)</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Política Local, Infraestructuras y Lucha contra la Despoblación</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Rehabilitación de Edificios en ámbito delimitado</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 xml:space="preserve">Convenio Agente rehabilitador Logroño y Calahorra , sin licitación </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 xml:space="preserve">6.354,900 </w:t>
            </w:r>
            <w:r w:rsidRPr="0038063B">
              <w:rPr>
                <w:rFonts w:ascii="Calibri" w:hAnsi="Calibri" w:cs="Calibri"/>
                <w:bCs/>
                <w:color w:val="000000"/>
                <w:sz w:val="20"/>
                <w:szCs w:val="20"/>
              </w:rPr>
              <w:t>€</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lastRenderedPageBreak/>
              <w:t>Orden TER/1235/2023, de 15 de noviembre, por la que se aprueban las bases reguladoras y se efectúa la convocatoria correspondiente a 2023 de subvenciones destinadas a la transformación digital y modernización de los sistemas de gestión del padrón municipal de las entidades locales</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38063B"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Política Local, Infraestructuras y Lucha contra la Despoblación</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Empresas informáticas para elaborar aplicaciones relativas al padrón para los Ayuntamientos</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 xml:space="preserve">Puesta en marcha de un nuevo sistema de gestión de la información sobre el territorio de ámbito municipal y de un nuevo sistema de intercambio de información </w:t>
            </w:r>
            <w:proofErr w:type="spellStart"/>
            <w:r w:rsidRPr="0038063B">
              <w:rPr>
                <w:rFonts w:ascii="Calibri" w:eastAsia="Times New Roman" w:hAnsi="Calibri" w:cs="Calibri"/>
                <w:color w:val="000000"/>
                <w:sz w:val="20"/>
                <w:szCs w:val="20"/>
                <w:lang w:eastAsia="es-ES_tradnl"/>
              </w:rPr>
              <w:t>padronal</w:t>
            </w:r>
            <w:proofErr w:type="spellEnd"/>
            <w:r w:rsidRPr="0038063B">
              <w:rPr>
                <w:rFonts w:ascii="Calibri" w:eastAsia="Times New Roman" w:hAnsi="Calibri" w:cs="Calibri"/>
                <w:color w:val="000000"/>
                <w:sz w:val="20"/>
                <w:szCs w:val="20"/>
                <w:lang w:eastAsia="es-ES_tradnl"/>
              </w:rPr>
              <w:t xml:space="preserve"> en tiempo real entre los municipios y el Instituto Nacional de Estadística (INE).</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 xml:space="preserve">1.000.000 </w:t>
            </w:r>
            <w:r w:rsidRPr="0038063B">
              <w:rPr>
                <w:rFonts w:ascii="Calibri" w:hAnsi="Calibri" w:cs="Calibri"/>
                <w:bCs/>
                <w:color w:val="000000"/>
                <w:sz w:val="20"/>
                <w:szCs w:val="20"/>
              </w:rPr>
              <w:t>€</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38063B"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Sistema de información de la Red de Vigilancia en Salud Pública</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38063B"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Salud y Políticas  Sociales</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D.G. Salud Pública, Consumo y Cuidados</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CONTRATACIÓN SERVICIOS DE CONSULTORÍA, DESARROLLO Y EVOLUCIÓN DE APLICACIÓN INFORMÁTICA PARA LA DIRECCIÓN GENERAL DE SALUD PÚBLICA, CONSUMO Y CUIDADOS.</w:t>
            </w:r>
          </w:p>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Sistema de Información de la Red de Vigilancia en Salud Pública, que permitirá la alerta temprana y la respuesta rápida, con el fin de detectar problemas que puedan plantear un riesgo para la salud, difundir información por parte de las autoridades competentes y facilitar la aplicación de medidas de control.</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406.598,18 €</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Contrato</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Salud y Políticas  Sociales</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Medio propio</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Construcción de un centro de día para personas mayores en Torrecilla en Cameros</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 xml:space="preserve">8.932.000,00 </w:t>
            </w:r>
            <w:r w:rsidRPr="0038063B">
              <w:rPr>
                <w:rFonts w:ascii="Calibri" w:hAnsi="Calibri" w:cs="Calibri"/>
                <w:bCs/>
                <w:color w:val="000000"/>
                <w:sz w:val="20"/>
                <w:szCs w:val="20"/>
              </w:rPr>
              <w:t>€</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lastRenderedPageBreak/>
              <w:t>Contrato</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Salud y Políticas  Sociales</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Medio propio</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 xml:space="preserve">Redacción de proyecto de ejecución,  dirección facultativa y coordinación de seguridad y salud en fase de ejecución de las obras de construcción de un centro de </w:t>
            </w:r>
            <w:proofErr w:type="spellStart"/>
            <w:r w:rsidRPr="0038063B">
              <w:rPr>
                <w:rFonts w:ascii="Calibri" w:eastAsia="Times New Roman" w:hAnsi="Calibri" w:cs="Calibri"/>
                <w:color w:val="000000"/>
                <w:sz w:val="20"/>
                <w:szCs w:val="20"/>
                <w:lang w:eastAsia="es-ES_tradnl"/>
              </w:rPr>
              <w:t>dia</w:t>
            </w:r>
            <w:proofErr w:type="spellEnd"/>
            <w:r w:rsidRPr="0038063B">
              <w:rPr>
                <w:rFonts w:ascii="Calibri" w:eastAsia="Times New Roman" w:hAnsi="Calibri" w:cs="Calibri"/>
                <w:color w:val="000000"/>
                <w:sz w:val="20"/>
                <w:szCs w:val="20"/>
                <w:lang w:eastAsia="es-ES_tradnl"/>
              </w:rPr>
              <w:t xml:space="preserve"> y de centro de participación activa para personas mayores en Haro</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 xml:space="preserve">213.565,00 </w:t>
            </w:r>
            <w:r w:rsidRPr="0038063B">
              <w:rPr>
                <w:rFonts w:ascii="Calibri" w:hAnsi="Calibri" w:cs="Calibri"/>
                <w:bCs/>
                <w:color w:val="000000"/>
                <w:sz w:val="20"/>
                <w:szCs w:val="20"/>
              </w:rPr>
              <w:t>€</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Contrato</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Salud y Políticas  Sociales</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Empresas (incluidas PYMES) y Autónomos</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Digitalización expedientes físicos para el avance de la administración electrónica en servicios sociales</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 xml:space="preserve">1.815.000,00 </w:t>
            </w:r>
            <w:r w:rsidRPr="0038063B">
              <w:rPr>
                <w:rFonts w:ascii="Calibri" w:hAnsi="Calibri" w:cs="Calibri"/>
                <w:bCs/>
                <w:color w:val="000000"/>
                <w:sz w:val="20"/>
                <w:szCs w:val="20"/>
              </w:rPr>
              <w:t>€</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Contrato</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Salud y Políticas  Sociales</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Empresas (incluidas PYMES) y Autónomos</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Adquisición de mobiliario necesario para la prestación del servicio de atención 24 horas a mujeres víctimas de agresiones sexuales</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150.000 €</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Contrato</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Salud y Políticas  Sociales</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Empresas (incluidas PYMES) y Autónomos</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Adquisición de equipos audiovisuales e informáticos para el centro de atención 24 horas a mujeres víctimas de violencia y agresión sexual en Logroño</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100.000 €</w:t>
            </w:r>
          </w:p>
        </w:tc>
      </w:tr>
      <w:tr w:rsidR="00DF5BBA" w:rsidRPr="0038063B" w:rsidTr="00093AA0">
        <w:trPr>
          <w:trHeight w:val="1285"/>
        </w:trPr>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 xml:space="preserve">Contrato </w:t>
            </w:r>
          </w:p>
        </w:tc>
        <w:tc>
          <w:tcPr>
            <w:tcW w:w="1134"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Salud y Políticas  Sociales</w:t>
            </w:r>
          </w:p>
        </w:tc>
        <w:tc>
          <w:tcPr>
            <w:tcW w:w="1843"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Empresas (incluidas PYMES) y Autónomos</w:t>
            </w:r>
          </w:p>
        </w:tc>
        <w:tc>
          <w:tcPr>
            <w:tcW w:w="3402" w:type="dxa"/>
            <w:tcBorders>
              <w:top w:val="nil"/>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Adquisición de vehículo para traslado de víctimas de violencia y agresión sexual.</w:t>
            </w:r>
          </w:p>
        </w:tc>
        <w:tc>
          <w:tcPr>
            <w:tcW w:w="2592" w:type="dxa"/>
            <w:tcBorders>
              <w:top w:val="nil"/>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50.000 €</w:t>
            </w:r>
          </w:p>
        </w:tc>
      </w:tr>
      <w:tr w:rsidR="00DF5BBA" w:rsidRPr="0038063B" w:rsidTr="009454B7">
        <w:trPr>
          <w:trHeight w:val="1285"/>
        </w:trPr>
        <w:tc>
          <w:tcPr>
            <w:tcW w:w="3402" w:type="dxa"/>
            <w:tcBorders>
              <w:top w:val="nil"/>
              <w:left w:val="nil"/>
              <w:bottom w:val="single" w:sz="4" w:space="0" w:color="FFFFFF" w:themeColor="background1"/>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lastRenderedPageBreak/>
              <w:t>Contrato</w:t>
            </w:r>
          </w:p>
        </w:tc>
        <w:tc>
          <w:tcPr>
            <w:tcW w:w="1134" w:type="dxa"/>
            <w:tcBorders>
              <w:top w:val="nil"/>
              <w:left w:val="nil"/>
              <w:bottom w:val="single" w:sz="4" w:space="0" w:color="FFFFFF" w:themeColor="background1"/>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nil"/>
              <w:left w:val="nil"/>
              <w:bottom w:val="single" w:sz="4" w:space="0" w:color="FFFFFF" w:themeColor="background1"/>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Salud y Políticas  Sociales</w:t>
            </w:r>
          </w:p>
        </w:tc>
        <w:tc>
          <w:tcPr>
            <w:tcW w:w="1843" w:type="dxa"/>
            <w:tcBorders>
              <w:top w:val="nil"/>
              <w:left w:val="nil"/>
              <w:bottom w:val="single" w:sz="4" w:space="0" w:color="FFFFFF" w:themeColor="background1"/>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Empresas (incluidas PYMES) y Autónomos</w:t>
            </w:r>
          </w:p>
        </w:tc>
        <w:tc>
          <w:tcPr>
            <w:tcW w:w="3402" w:type="dxa"/>
            <w:tcBorders>
              <w:top w:val="nil"/>
              <w:left w:val="nil"/>
              <w:bottom w:val="single" w:sz="4" w:space="0" w:color="FFFFFF" w:themeColor="background1"/>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Servicios integrales asociados al portal web del Centro 24 horas.</w:t>
            </w:r>
          </w:p>
        </w:tc>
        <w:tc>
          <w:tcPr>
            <w:tcW w:w="2592" w:type="dxa"/>
            <w:tcBorders>
              <w:top w:val="nil"/>
              <w:left w:val="nil"/>
              <w:bottom w:val="single" w:sz="4" w:space="0" w:color="FFFFFF" w:themeColor="background1"/>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38.858,88 €</w:t>
            </w:r>
          </w:p>
        </w:tc>
      </w:tr>
      <w:tr w:rsidR="00DF5BBA" w:rsidRPr="0038063B" w:rsidTr="00302A95">
        <w:trPr>
          <w:trHeight w:val="1285"/>
        </w:trPr>
        <w:tc>
          <w:tcPr>
            <w:tcW w:w="3402" w:type="dxa"/>
            <w:tcBorders>
              <w:top w:val="single" w:sz="4" w:space="0" w:color="FFFFFF"/>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SIL - Proyectos para la implantación de un Sistema de Trazabilidad Total para muestras clínicas en Atención Primaria.</w:t>
            </w:r>
          </w:p>
          <w:p w:rsidR="00DF5BBA" w:rsidRPr="0038063B" w:rsidRDefault="00DF5BBA" w:rsidP="0038063B">
            <w:pPr>
              <w:jc w:val="both"/>
              <w:rPr>
                <w:rFonts w:ascii="Calibri" w:eastAsia="Times New Roman" w:hAnsi="Calibri" w:cs="Calibri"/>
                <w:b/>
                <w:bCs/>
                <w:sz w:val="20"/>
                <w:szCs w:val="20"/>
                <w:lang w:eastAsia="es-ES_tradnl"/>
              </w:rPr>
            </w:pPr>
          </w:p>
        </w:tc>
        <w:tc>
          <w:tcPr>
            <w:tcW w:w="1134" w:type="dxa"/>
            <w:tcBorders>
              <w:top w:val="single" w:sz="4" w:space="0" w:color="FFFFFF"/>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single" w:sz="4" w:space="0" w:color="FFFFFF"/>
              <w:left w:val="nil"/>
              <w:bottom w:val="single" w:sz="4" w:space="0" w:color="FFFFFF"/>
              <w:right w:val="single" w:sz="4" w:space="0" w:color="FFFFFF"/>
            </w:tcBorders>
            <w:shd w:val="clear" w:color="B4C6E7" w:fill="B4C6E7"/>
            <w:vAlign w:val="center"/>
          </w:tcPr>
          <w:p w:rsidR="00DF5BBA" w:rsidRPr="0038063B" w:rsidRDefault="003F1F92"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Servicio Riojano de Salud (SERIS)</w:t>
            </w:r>
          </w:p>
        </w:tc>
        <w:tc>
          <w:tcPr>
            <w:tcW w:w="1843" w:type="dxa"/>
            <w:tcBorders>
              <w:top w:val="single" w:sz="4" w:space="0" w:color="FFFFFF"/>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Públicos</w:t>
            </w:r>
          </w:p>
          <w:p w:rsidR="00DF5BBA" w:rsidRPr="0038063B" w:rsidRDefault="00DF5BBA" w:rsidP="00DF5BBA">
            <w:pPr>
              <w:rPr>
                <w:rFonts w:ascii="Calibri" w:eastAsia="Times New Roman" w:hAnsi="Calibri" w:cs="Calibri"/>
                <w:sz w:val="20"/>
                <w:szCs w:val="20"/>
                <w:lang w:eastAsia="es-ES_tradnl"/>
              </w:rPr>
            </w:pPr>
          </w:p>
        </w:tc>
        <w:tc>
          <w:tcPr>
            <w:tcW w:w="3402" w:type="dxa"/>
            <w:tcBorders>
              <w:top w:val="single" w:sz="4" w:space="0" w:color="FFFFFF"/>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Integración con el resto de sistemas de información utilizados en la red de atención sanitario pública de La Rioja y que defina el SPSLR. A su vez, la Plataforma BI el Cuadro de mando de indicadores (CMI) de los laboratorios serán capaces de reportar datos la CMI y al BI corporativo del Servicio Riojano de Salud.</w:t>
            </w:r>
          </w:p>
        </w:tc>
        <w:tc>
          <w:tcPr>
            <w:tcW w:w="2592" w:type="dxa"/>
            <w:tcBorders>
              <w:top w:val="single" w:sz="4" w:space="0" w:color="FFFFFF"/>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342.663,74 €</w:t>
            </w:r>
          </w:p>
        </w:tc>
      </w:tr>
      <w:tr w:rsidR="00DF5BBA" w:rsidRPr="0038063B" w:rsidTr="00CB172C">
        <w:trPr>
          <w:trHeight w:val="1285"/>
        </w:trPr>
        <w:tc>
          <w:tcPr>
            <w:tcW w:w="3402" w:type="dxa"/>
            <w:tcBorders>
              <w:top w:val="single" w:sz="4" w:space="0" w:color="FFFFFF"/>
              <w:left w:val="nil"/>
              <w:bottom w:val="single" w:sz="4" w:space="0" w:color="FFFFFF"/>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Mejora de las salas de docencia en los 14 centros docentes</w:t>
            </w:r>
          </w:p>
          <w:p w:rsidR="00DF5BBA" w:rsidRPr="0038063B" w:rsidRDefault="00DF5BBA" w:rsidP="0038063B">
            <w:pPr>
              <w:jc w:val="both"/>
              <w:rPr>
                <w:rFonts w:ascii="Calibri" w:eastAsia="Times New Roman" w:hAnsi="Calibri" w:cs="Calibri"/>
                <w:b/>
                <w:bCs/>
                <w:sz w:val="20"/>
                <w:szCs w:val="20"/>
                <w:lang w:eastAsia="es-ES_tradnl"/>
              </w:rPr>
            </w:pPr>
          </w:p>
        </w:tc>
        <w:tc>
          <w:tcPr>
            <w:tcW w:w="1134" w:type="dxa"/>
            <w:tcBorders>
              <w:top w:val="single" w:sz="4" w:space="0" w:color="FFFFFF"/>
              <w:left w:val="nil"/>
              <w:bottom w:val="single" w:sz="4" w:space="0" w:color="FFFFFF"/>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single" w:sz="4" w:space="0" w:color="FFFFFF"/>
              <w:left w:val="nil"/>
              <w:bottom w:val="single" w:sz="4" w:space="0" w:color="FFFFFF"/>
              <w:right w:val="single" w:sz="4" w:space="0" w:color="FFFFFF"/>
            </w:tcBorders>
            <w:shd w:val="clear" w:color="B4C6E7" w:fill="B4C6E7"/>
            <w:vAlign w:val="center"/>
          </w:tcPr>
          <w:p w:rsidR="00DF5BBA" w:rsidRPr="0038063B" w:rsidRDefault="003F1F92"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Servicio Riojano de Salud (SERIS)</w:t>
            </w:r>
          </w:p>
        </w:tc>
        <w:tc>
          <w:tcPr>
            <w:tcW w:w="1843" w:type="dxa"/>
            <w:tcBorders>
              <w:top w:val="single" w:sz="4" w:space="0" w:color="FFFFFF"/>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Públicos</w:t>
            </w:r>
          </w:p>
          <w:p w:rsidR="00DF5BBA" w:rsidRPr="0038063B" w:rsidRDefault="00DF5BBA" w:rsidP="00DF5BBA">
            <w:pPr>
              <w:rPr>
                <w:rFonts w:ascii="Calibri" w:eastAsia="Times New Roman" w:hAnsi="Calibri" w:cs="Calibri"/>
                <w:sz w:val="20"/>
                <w:szCs w:val="20"/>
                <w:lang w:eastAsia="es-ES_tradnl"/>
              </w:rPr>
            </w:pPr>
          </w:p>
        </w:tc>
        <w:tc>
          <w:tcPr>
            <w:tcW w:w="3402" w:type="dxa"/>
            <w:tcBorders>
              <w:top w:val="single" w:sz="4" w:space="0" w:color="FFFFFF"/>
              <w:left w:val="nil"/>
              <w:bottom w:val="single" w:sz="4" w:space="0" w:color="FFFFFF"/>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 xml:space="preserve">Mejora de las salas de docencia en los 14 centros docentes con equipos multimedia para la realización de formación </w:t>
            </w:r>
            <w:proofErr w:type="spellStart"/>
            <w:r w:rsidRPr="0038063B">
              <w:rPr>
                <w:rFonts w:ascii="Calibri" w:eastAsia="Times New Roman" w:hAnsi="Calibri" w:cs="Calibri"/>
                <w:color w:val="000000"/>
                <w:sz w:val="20"/>
                <w:szCs w:val="20"/>
                <w:lang w:eastAsia="es-ES_tradnl"/>
              </w:rPr>
              <w:t>on</w:t>
            </w:r>
            <w:proofErr w:type="spellEnd"/>
            <w:r w:rsidRPr="0038063B">
              <w:rPr>
                <w:rFonts w:ascii="Calibri" w:eastAsia="Times New Roman" w:hAnsi="Calibri" w:cs="Calibri"/>
                <w:color w:val="000000"/>
                <w:sz w:val="20"/>
                <w:szCs w:val="20"/>
                <w:lang w:eastAsia="es-ES_tradnl"/>
              </w:rPr>
              <w:t xml:space="preserve"> line y video conferencias</w:t>
            </w:r>
          </w:p>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Inversión en la modernización de las salas de docencia en distintos centros de salud, potenciando el conocimiento, docencia e investigación incluye obra e instalaciones de equipamiento multimedia.</w:t>
            </w:r>
          </w:p>
        </w:tc>
        <w:tc>
          <w:tcPr>
            <w:tcW w:w="2592" w:type="dxa"/>
            <w:tcBorders>
              <w:top w:val="single" w:sz="4" w:space="0" w:color="FFFFFF"/>
              <w:left w:val="nil"/>
              <w:bottom w:val="single" w:sz="4" w:space="0" w:color="FFFFFF"/>
              <w:right w:val="single" w:sz="4" w:space="0" w:color="FFFFFF"/>
            </w:tcBorders>
            <w:shd w:val="clear" w:color="B4C6E7" w:fill="B4C6E7"/>
            <w:vAlign w:val="center"/>
          </w:tcPr>
          <w:p w:rsidR="00DF5BBA" w:rsidRPr="0038063B" w:rsidRDefault="00DF5BBA" w:rsidP="0038063B">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140.000,00 €</w:t>
            </w:r>
          </w:p>
        </w:tc>
      </w:tr>
      <w:tr w:rsidR="00DF5BBA" w:rsidRPr="0038063B" w:rsidTr="00302A95">
        <w:trPr>
          <w:trHeight w:val="1285"/>
        </w:trPr>
        <w:tc>
          <w:tcPr>
            <w:tcW w:w="3402" w:type="dxa"/>
            <w:tcBorders>
              <w:top w:val="single" w:sz="4" w:space="0" w:color="FFFFFF"/>
              <w:left w:val="nil"/>
              <w:bottom w:val="nil"/>
              <w:right w:val="single" w:sz="4" w:space="0" w:color="FFFFFF"/>
            </w:tcBorders>
            <w:shd w:val="clear" w:color="B4C6E7" w:fill="B4C6E7"/>
            <w:vAlign w:val="center"/>
          </w:tcPr>
          <w:p w:rsidR="00DF5BBA" w:rsidRPr="0038063B" w:rsidRDefault="00DF5BBA" w:rsidP="0038063B">
            <w:pPr>
              <w:jc w:val="both"/>
              <w:rPr>
                <w:rFonts w:ascii="Calibri" w:eastAsia="Times New Roman" w:hAnsi="Calibri" w:cs="Calibri"/>
                <w:b/>
                <w:bCs/>
                <w:sz w:val="20"/>
                <w:szCs w:val="20"/>
                <w:lang w:eastAsia="es-ES_tradnl"/>
              </w:rPr>
            </w:pPr>
            <w:r w:rsidRPr="0038063B">
              <w:rPr>
                <w:rFonts w:ascii="Calibri" w:eastAsia="Times New Roman" w:hAnsi="Calibri" w:cs="Calibri"/>
                <w:b/>
                <w:bCs/>
                <w:sz w:val="20"/>
                <w:szCs w:val="20"/>
                <w:lang w:eastAsia="es-ES_tradnl"/>
              </w:rPr>
              <w:t>CONVENIO: CAR - Ayuntamiento Logroño</w:t>
            </w:r>
          </w:p>
        </w:tc>
        <w:tc>
          <w:tcPr>
            <w:tcW w:w="1134" w:type="dxa"/>
            <w:tcBorders>
              <w:top w:val="single" w:sz="4" w:space="0" w:color="FFFFFF"/>
              <w:left w:val="nil"/>
              <w:bottom w:val="nil"/>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1º</w:t>
            </w:r>
          </w:p>
        </w:tc>
        <w:tc>
          <w:tcPr>
            <w:tcW w:w="1701" w:type="dxa"/>
            <w:tcBorders>
              <w:top w:val="single" w:sz="4" w:space="0" w:color="FFFFFF"/>
              <w:left w:val="nil"/>
              <w:bottom w:val="nil"/>
              <w:right w:val="single" w:sz="4" w:space="0" w:color="FFFFFF"/>
            </w:tcBorders>
            <w:shd w:val="clear" w:color="B4C6E7" w:fill="B4C6E7"/>
            <w:vAlign w:val="center"/>
          </w:tcPr>
          <w:p w:rsidR="00DF5BBA" w:rsidRPr="0038063B" w:rsidRDefault="00DF5BBA" w:rsidP="00DF5BBA">
            <w:pPr>
              <w:rPr>
                <w:rFonts w:ascii="Calibri" w:eastAsia="Times New Roman" w:hAnsi="Calibri" w:cs="Calibri"/>
                <w:b/>
                <w:color w:val="000000"/>
                <w:sz w:val="20"/>
                <w:szCs w:val="20"/>
                <w:lang w:eastAsia="es-ES_tradnl"/>
              </w:rPr>
            </w:pPr>
            <w:r w:rsidRPr="0038063B">
              <w:rPr>
                <w:rFonts w:ascii="Calibri" w:eastAsia="Times New Roman" w:hAnsi="Calibri" w:cs="Calibri"/>
                <w:b/>
                <w:color w:val="000000"/>
                <w:sz w:val="20"/>
                <w:szCs w:val="20"/>
                <w:lang w:eastAsia="es-ES_tradnl"/>
              </w:rPr>
              <w:t>Consejería de   Hacienda, Gobernanza Pública, Sociedad Digital y Portavocía del Gobierno</w:t>
            </w:r>
          </w:p>
        </w:tc>
        <w:tc>
          <w:tcPr>
            <w:tcW w:w="1843" w:type="dxa"/>
            <w:tcBorders>
              <w:top w:val="single" w:sz="4" w:space="0" w:color="FFFFFF"/>
              <w:left w:val="nil"/>
              <w:bottom w:val="nil"/>
              <w:right w:val="single" w:sz="4" w:space="0" w:color="FFFFFF"/>
            </w:tcBorders>
            <w:shd w:val="clear" w:color="B4C6E7" w:fill="B4C6E7"/>
            <w:vAlign w:val="center"/>
          </w:tcPr>
          <w:p w:rsidR="00DF5BBA" w:rsidRPr="0038063B" w:rsidRDefault="00DF5BBA" w:rsidP="00DF5BBA">
            <w:pPr>
              <w:rPr>
                <w:rFonts w:ascii="Calibri" w:eastAsia="Times New Roman" w:hAnsi="Calibri" w:cs="Calibri"/>
                <w:sz w:val="20"/>
                <w:szCs w:val="20"/>
                <w:lang w:eastAsia="es-ES_tradnl"/>
              </w:rPr>
            </w:pPr>
            <w:r w:rsidRPr="0038063B">
              <w:rPr>
                <w:rFonts w:ascii="Calibri" w:eastAsia="Times New Roman" w:hAnsi="Calibri" w:cs="Calibri"/>
                <w:color w:val="000000"/>
                <w:sz w:val="20"/>
                <w:szCs w:val="20"/>
                <w:lang w:eastAsia="es-ES_tradnl"/>
              </w:rPr>
              <w:t>Pymes, empresas emergentes y nuevas empresas</w:t>
            </w:r>
          </w:p>
        </w:tc>
        <w:tc>
          <w:tcPr>
            <w:tcW w:w="3402" w:type="dxa"/>
            <w:tcBorders>
              <w:top w:val="single" w:sz="4" w:space="0" w:color="FFFFFF"/>
              <w:left w:val="nil"/>
              <w:bottom w:val="nil"/>
              <w:right w:val="single" w:sz="4" w:space="0" w:color="FFFFFF"/>
            </w:tcBorders>
            <w:shd w:val="clear" w:color="B4C6E7" w:fill="B4C6E7"/>
            <w:vAlign w:val="center"/>
          </w:tcPr>
          <w:p w:rsidR="00DF5BBA" w:rsidRPr="0038063B" w:rsidRDefault="00DF5BBA" w:rsidP="00DF5BBA">
            <w:pPr>
              <w:rPr>
                <w:rFonts w:ascii="Calibri" w:eastAsia="Times New Roman" w:hAnsi="Calibri" w:cs="Calibri"/>
                <w:color w:val="000000"/>
                <w:sz w:val="20"/>
                <w:szCs w:val="20"/>
                <w:lang w:eastAsia="es-ES_tradnl"/>
              </w:rPr>
            </w:pPr>
            <w:r w:rsidRPr="0038063B">
              <w:rPr>
                <w:rFonts w:ascii="Calibri" w:eastAsia="Times New Roman" w:hAnsi="Calibri" w:cs="Calibri"/>
                <w:color w:val="000000"/>
                <w:sz w:val="20"/>
                <w:szCs w:val="20"/>
                <w:lang w:eastAsia="es-ES_tradnl"/>
              </w:rPr>
              <w:t>Aceleración de ecosistemas de emprendimiento e innovación basados en Gemelos Digitales</w:t>
            </w:r>
          </w:p>
        </w:tc>
        <w:tc>
          <w:tcPr>
            <w:tcW w:w="2592" w:type="dxa"/>
            <w:tcBorders>
              <w:top w:val="single" w:sz="4" w:space="0" w:color="FFFFFF"/>
              <w:left w:val="nil"/>
              <w:bottom w:val="nil"/>
              <w:right w:val="single" w:sz="4" w:space="0" w:color="FFFFFF"/>
            </w:tcBorders>
            <w:shd w:val="clear" w:color="B4C6E7" w:fill="B4C6E7"/>
            <w:vAlign w:val="center"/>
          </w:tcPr>
          <w:p w:rsidR="00DF5BBA" w:rsidRPr="0038063B" w:rsidRDefault="00DF5BBA" w:rsidP="00DF5BBA">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 xml:space="preserve">5.250.000,00 euros </w:t>
            </w:r>
          </w:p>
          <w:p w:rsidR="00DF5BBA" w:rsidRPr="0038063B" w:rsidRDefault="00DF5BBA" w:rsidP="00DF5BBA">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(PRTR)</w:t>
            </w:r>
          </w:p>
          <w:p w:rsidR="00DF5BBA" w:rsidRPr="0038063B" w:rsidRDefault="00DF5BBA" w:rsidP="00DF5BBA">
            <w:pPr>
              <w:jc w:val="center"/>
              <w:rPr>
                <w:rFonts w:ascii="Calibri" w:eastAsia="Times New Roman" w:hAnsi="Calibri" w:cs="Calibri"/>
                <w:sz w:val="20"/>
                <w:szCs w:val="20"/>
                <w:lang w:eastAsia="es-ES_tradnl"/>
              </w:rPr>
            </w:pPr>
            <w:r w:rsidRPr="0038063B">
              <w:rPr>
                <w:rFonts w:ascii="Calibri" w:eastAsia="Times New Roman" w:hAnsi="Calibri" w:cs="Calibri"/>
                <w:sz w:val="20"/>
                <w:szCs w:val="20"/>
                <w:lang w:eastAsia="es-ES_tradnl"/>
              </w:rPr>
              <w:t>1.750.000,00 euros (Ayuntamiento Logroño</w:t>
            </w:r>
          </w:p>
        </w:tc>
      </w:tr>
    </w:tbl>
    <w:p w:rsidR="00D30F86" w:rsidRPr="0038063B" w:rsidRDefault="00D30F86">
      <w:pPr>
        <w:rPr>
          <w:rFonts w:ascii="Calibri" w:eastAsia="Times New Roman" w:hAnsi="Calibri" w:cs="Calibri"/>
          <w:b/>
          <w:bCs/>
          <w:sz w:val="20"/>
          <w:szCs w:val="20"/>
          <w:lang w:eastAsia="es-ES_tradnl"/>
        </w:rPr>
      </w:pPr>
    </w:p>
    <w:sectPr w:rsidR="00D30F86" w:rsidRPr="0038063B" w:rsidSect="00061F4B">
      <w:headerReference w:type="default" r:id="rId8"/>
      <w:pgSz w:w="16840" w:h="11900" w:orient="landscape"/>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E8" w:rsidRDefault="001F1DE8" w:rsidP="009617D5">
      <w:r>
        <w:separator/>
      </w:r>
    </w:p>
  </w:endnote>
  <w:endnote w:type="continuationSeparator" w:id="0">
    <w:p w:rsidR="001F1DE8" w:rsidRDefault="001F1DE8" w:rsidP="0096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E8" w:rsidRDefault="001F1DE8" w:rsidP="009617D5">
      <w:r>
        <w:separator/>
      </w:r>
    </w:p>
  </w:footnote>
  <w:footnote w:type="continuationSeparator" w:id="0">
    <w:p w:rsidR="001F1DE8" w:rsidRDefault="001F1DE8" w:rsidP="0096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CB" w:rsidRDefault="00BF42CB">
    <w:pPr>
      <w:pStyle w:val="Encabezado"/>
    </w:pPr>
    <w:r>
      <w:rPr>
        <w:noProof/>
        <w:lang w:eastAsia="es-ES"/>
      </w:rPr>
      <w:drawing>
        <wp:inline distT="0" distB="0" distL="0" distR="0" wp14:anchorId="03E15C54" wp14:editId="731DF9D3">
          <wp:extent cx="1573001" cy="487363"/>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64774" cy="577763"/>
                  </a:xfrm>
                  <a:prstGeom prst="rect">
                    <a:avLst/>
                  </a:prstGeom>
                </pic:spPr>
              </pic:pic>
            </a:graphicData>
          </a:graphic>
        </wp:inline>
      </w:drawing>
    </w:r>
    <w:r w:rsidR="00745BE7">
      <w:rPr>
        <w:noProof/>
        <w:lang w:eastAsia="es-ES"/>
      </w:rPr>
      <w:t xml:space="preserve">    </w:t>
    </w:r>
    <w:r>
      <w:rPr>
        <w:noProof/>
        <w:lang w:eastAsia="es-ES"/>
      </w:rPr>
      <w:drawing>
        <wp:inline distT="0" distB="0" distL="0" distR="0" wp14:anchorId="190E659E" wp14:editId="16E15A74">
          <wp:extent cx="1146274" cy="4913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2">
                    <a:extLst>
                      <a:ext uri="{28A0092B-C50C-407E-A947-70E740481C1C}">
                        <a14:useLocalDpi xmlns:a14="http://schemas.microsoft.com/office/drawing/2010/main" val="0"/>
                      </a:ext>
                    </a:extLst>
                  </a:blip>
                  <a:srcRect t="14840" b="8809"/>
                  <a:stretch/>
                </pic:blipFill>
                <pic:spPr bwMode="auto">
                  <a:xfrm>
                    <a:off x="0" y="0"/>
                    <a:ext cx="1230583" cy="52745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BF42CB">
      <w:rPr>
        <w:noProof/>
        <w:lang w:eastAsia="es-ES"/>
      </w:rPr>
      <w:drawing>
        <wp:inline distT="0" distB="0" distL="0" distR="0">
          <wp:extent cx="1712794" cy="538480"/>
          <wp:effectExtent l="0" t="0" r="1905" b="0"/>
          <wp:docPr id="6" name="Imagen 6" descr="C:\Users\mdiezg\AppData\Local\Temp\Temp1_Imagen_Gobierno_2022.zip\Imagen_Gobierno_2022\Pantalla\Color\La Rioj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iezg\AppData\Local\Temp\Temp1_Imagen_Gobierno_2022.zip\Imagen_Gobierno_2022\Pantalla\Color\La Rioja_color.jpg"/>
                  <pic:cNvPicPr>
                    <a:picLocks noChangeAspect="1" noChangeArrowheads="1"/>
                  </pic:cNvPicPr>
                </pic:nvPicPr>
                <pic:blipFill rotWithShape="1">
                  <a:blip r:embed="rId3">
                    <a:extLst>
                      <a:ext uri="{28A0092B-C50C-407E-A947-70E740481C1C}">
                        <a14:useLocalDpi xmlns:a14="http://schemas.microsoft.com/office/drawing/2010/main" val="0"/>
                      </a:ext>
                    </a:extLst>
                  </a:blip>
                  <a:srcRect l="8839" t="9734" r="5616" b="13227"/>
                  <a:stretch/>
                </pic:blipFill>
                <pic:spPr bwMode="auto">
                  <a:xfrm>
                    <a:off x="0" y="0"/>
                    <a:ext cx="1853439" cy="58269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229F"/>
    <w:multiLevelType w:val="hybridMultilevel"/>
    <w:tmpl w:val="AAD8B5FE"/>
    <w:lvl w:ilvl="0" w:tplc="5B3C7130">
      <w:numFmt w:val="bullet"/>
      <w:lvlText w:val=""/>
      <w:lvlJc w:val="left"/>
      <w:pPr>
        <w:ind w:left="720" w:hanging="360"/>
      </w:pPr>
      <w:rPr>
        <w:rFonts w:ascii="Symbol" w:eastAsia="Times New Roman" w:hAnsi="Symbol" w:cs="Times New Roman" w:hint="default"/>
        <w:color w:val="1F497D"/>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CB"/>
    <w:rsid w:val="00061F4B"/>
    <w:rsid w:val="00093AA0"/>
    <w:rsid w:val="000A0A05"/>
    <w:rsid w:val="00156997"/>
    <w:rsid w:val="001D3DDD"/>
    <w:rsid w:val="001F1DE8"/>
    <w:rsid w:val="001F6E1F"/>
    <w:rsid w:val="002000A5"/>
    <w:rsid w:val="00302A95"/>
    <w:rsid w:val="0038063B"/>
    <w:rsid w:val="003A7105"/>
    <w:rsid w:val="003E58E1"/>
    <w:rsid w:val="003F1F92"/>
    <w:rsid w:val="00414170"/>
    <w:rsid w:val="0043283F"/>
    <w:rsid w:val="00461135"/>
    <w:rsid w:val="004E7C6A"/>
    <w:rsid w:val="00545FB2"/>
    <w:rsid w:val="005B40C3"/>
    <w:rsid w:val="005E5BC5"/>
    <w:rsid w:val="006634E6"/>
    <w:rsid w:val="006E1FEF"/>
    <w:rsid w:val="0072036E"/>
    <w:rsid w:val="00722076"/>
    <w:rsid w:val="00724174"/>
    <w:rsid w:val="00745BE7"/>
    <w:rsid w:val="0082412F"/>
    <w:rsid w:val="0088382C"/>
    <w:rsid w:val="008F1A80"/>
    <w:rsid w:val="009454B7"/>
    <w:rsid w:val="00947A56"/>
    <w:rsid w:val="009617D5"/>
    <w:rsid w:val="0098454B"/>
    <w:rsid w:val="00A30DBF"/>
    <w:rsid w:val="00AE0E64"/>
    <w:rsid w:val="00B53DCE"/>
    <w:rsid w:val="00B753E2"/>
    <w:rsid w:val="00B878AD"/>
    <w:rsid w:val="00BF42CB"/>
    <w:rsid w:val="00C003CF"/>
    <w:rsid w:val="00C47FD4"/>
    <w:rsid w:val="00C57B62"/>
    <w:rsid w:val="00C85C58"/>
    <w:rsid w:val="00CB172C"/>
    <w:rsid w:val="00D30F86"/>
    <w:rsid w:val="00DA4424"/>
    <w:rsid w:val="00DA477C"/>
    <w:rsid w:val="00DB185C"/>
    <w:rsid w:val="00DE0DA0"/>
    <w:rsid w:val="00DF5BBA"/>
    <w:rsid w:val="00E0103A"/>
    <w:rsid w:val="00E33F85"/>
    <w:rsid w:val="00E65FAF"/>
    <w:rsid w:val="00F12AC8"/>
    <w:rsid w:val="00F245E5"/>
    <w:rsid w:val="00F637AA"/>
    <w:rsid w:val="00FA3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930E07-9BD9-43A2-BB1F-6C4BB767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17D5"/>
    <w:pPr>
      <w:tabs>
        <w:tab w:val="center" w:pos="4252"/>
        <w:tab w:val="right" w:pos="8504"/>
      </w:tabs>
    </w:pPr>
  </w:style>
  <w:style w:type="character" w:customStyle="1" w:styleId="EncabezadoCar">
    <w:name w:val="Encabezado Car"/>
    <w:basedOn w:val="Fuentedeprrafopredeter"/>
    <w:link w:val="Encabezado"/>
    <w:uiPriority w:val="99"/>
    <w:rsid w:val="009617D5"/>
  </w:style>
  <w:style w:type="paragraph" w:styleId="Piedepgina">
    <w:name w:val="footer"/>
    <w:basedOn w:val="Normal"/>
    <w:link w:val="PiedepginaCar"/>
    <w:uiPriority w:val="99"/>
    <w:unhideWhenUsed/>
    <w:rsid w:val="009617D5"/>
    <w:pPr>
      <w:tabs>
        <w:tab w:val="center" w:pos="4252"/>
        <w:tab w:val="right" w:pos="8504"/>
      </w:tabs>
    </w:pPr>
  </w:style>
  <w:style w:type="character" w:customStyle="1" w:styleId="PiedepginaCar">
    <w:name w:val="Pie de página Car"/>
    <w:basedOn w:val="Fuentedeprrafopredeter"/>
    <w:link w:val="Piedepgina"/>
    <w:uiPriority w:val="99"/>
    <w:rsid w:val="009617D5"/>
  </w:style>
  <w:style w:type="table" w:styleId="Tablaconcuadrcula">
    <w:name w:val="Table Grid"/>
    <w:basedOn w:val="Tablanormal"/>
    <w:uiPriority w:val="39"/>
    <w:rsid w:val="00C57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F42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2CB"/>
    <w:rPr>
      <w:rFonts w:ascii="Segoe UI" w:hAnsi="Segoe UI" w:cs="Segoe UI"/>
      <w:sz w:val="18"/>
      <w:szCs w:val="18"/>
    </w:rPr>
  </w:style>
  <w:style w:type="paragraph" w:styleId="Prrafodelista">
    <w:name w:val="List Paragraph"/>
    <w:basedOn w:val="Normal"/>
    <w:uiPriority w:val="34"/>
    <w:qFormat/>
    <w:rsid w:val="00D30F86"/>
    <w:pPr>
      <w:ind w:left="720"/>
      <w:contextualSpacing/>
    </w:pPr>
  </w:style>
  <w:style w:type="paragraph" w:styleId="NormalWeb">
    <w:name w:val="Normal (Web)"/>
    <w:basedOn w:val="Normal"/>
    <w:uiPriority w:val="99"/>
    <w:unhideWhenUsed/>
    <w:rsid w:val="00093AA0"/>
    <w:rPr>
      <w:rFonts w:ascii="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2814">
      <w:bodyDiv w:val="1"/>
      <w:marLeft w:val="0"/>
      <w:marRight w:val="0"/>
      <w:marTop w:val="0"/>
      <w:marBottom w:val="0"/>
      <w:divBdr>
        <w:top w:val="none" w:sz="0" w:space="0" w:color="auto"/>
        <w:left w:val="none" w:sz="0" w:space="0" w:color="auto"/>
        <w:bottom w:val="none" w:sz="0" w:space="0" w:color="auto"/>
        <w:right w:val="none" w:sz="0" w:space="0" w:color="auto"/>
      </w:divBdr>
      <w:divsChild>
        <w:div w:id="1658995577">
          <w:marLeft w:val="0"/>
          <w:marRight w:val="0"/>
          <w:marTop w:val="0"/>
          <w:marBottom w:val="0"/>
          <w:divBdr>
            <w:top w:val="none" w:sz="0" w:space="0" w:color="auto"/>
            <w:left w:val="none" w:sz="0" w:space="0" w:color="auto"/>
            <w:bottom w:val="none" w:sz="0" w:space="0" w:color="auto"/>
            <w:right w:val="none" w:sz="0" w:space="0" w:color="auto"/>
          </w:divBdr>
        </w:div>
        <w:div w:id="300500646">
          <w:marLeft w:val="720"/>
          <w:marRight w:val="0"/>
          <w:marTop w:val="0"/>
          <w:marBottom w:val="0"/>
          <w:divBdr>
            <w:top w:val="none" w:sz="0" w:space="0" w:color="auto"/>
            <w:left w:val="none" w:sz="0" w:space="0" w:color="auto"/>
            <w:bottom w:val="none" w:sz="0" w:space="0" w:color="auto"/>
            <w:right w:val="none" w:sz="0" w:space="0" w:color="auto"/>
          </w:divBdr>
        </w:div>
        <w:div w:id="1815561222">
          <w:marLeft w:val="720"/>
          <w:marRight w:val="0"/>
          <w:marTop w:val="0"/>
          <w:marBottom w:val="0"/>
          <w:divBdr>
            <w:top w:val="none" w:sz="0" w:space="0" w:color="auto"/>
            <w:left w:val="none" w:sz="0" w:space="0" w:color="auto"/>
            <w:bottom w:val="none" w:sz="0" w:space="0" w:color="auto"/>
            <w:right w:val="none" w:sz="0" w:space="0" w:color="auto"/>
          </w:divBdr>
        </w:div>
        <w:div w:id="1098988391">
          <w:marLeft w:val="720"/>
          <w:marRight w:val="0"/>
          <w:marTop w:val="0"/>
          <w:marBottom w:val="0"/>
          <w:divBdr>
            <w:top w:val="none" w:sz="0" w:space="0" w:color="auto"/>
            <w:left w:val="none" w:sz="0" w:space="0" w:color="auto"/>
            <w:bottom w:val="none" w:sz="0" w:space="0" w:color="auto"/>
            <w:right w:val="none" w:sz="0" w:space="0" w:color="auto"/>
          </w:divBdr>
        </w:div>
        <w:div w:id="176192242">
          <w:marLeft w:val="720"/>
          <w:marRight w:val="0"/>
          <w:marTop w:val="0"/>
          <w:marBottom w:val="0"/>
          <w:divBdr>
            <w:top w:val="none" w:sz="0" w:space="0" w:color="auto"/>
            <w:left w:val="none" w:sz="0" w:space="0" w:color="auto"/>
            <w:bottom w:val="none" w:sz="0" w:space="0" w:color="auto"/>
            <w:right w:val="none" w:sz="0" w:space="0" w:color="auto"/>
          </w:divBdr>
        </w:div>
        <w:div w:id="1034235571">
          <w:marLeft w:val="720"/>
          <w:marRight w:val="0"/>
          <w:marTop w:val="0"/>
          <w:marBottom w:val="0"/>
          <w:divBdr>
            <w:top w:val="none" w:sz="0" w:space="0" w:color="auto"/>
            <w:left w:val="none" w:sz="0" w:space="0" w:color="auto"/>
            <w:bottom w:val="none" w:sz="0" w:space="0" w:color="auto"/>
            <w:right w:val="none" w:sz="0" w:space="0" w:color="auto"/>
          </w:divBdr>
        </w:div>
        <w:div w:id="824737067">
          <w:marLeft w:val="720"/>
          <w:marRight w:val="0"/>
          <w:marTop w:val="0"/>
          <w:marBottom w:val="0"/>
          <w:divBdr>
            <w:top w:val="none" w:sz="0" w:space="0" w:color="auto"/>
            <w:left w:val="none" w:sz="0" w:space="0" w:color="auto"/>
            <w:bottom w:val="none" w:sz="0" w:space="0" w:color="auto"/>
            <w:right w:val="none" w:sz="0" w:space="0" w:color="auto"/>
          </w:divBdr>
        </w:div>
      </w:divsChild>
    </w:div>
    <w:div w:id="384527735">
      <w:bodyDiv w:val="1"/>
      <w:marLeft w:val="0"/>
      <w:marRight w:val="0"/>
      <w:marTop w:val="0"/>
      <w:marBottom w:val="0"/>
      <w:divBdr>
        <w:top w:val="none" w:sz="0" w:space="0" w:color="auto"/>
        <w:left w:val="none" w:sz="0" w:space="0" w:color="auto"/>
        <w:bottom w:val="none" w:sz="0" w:space="0" w:color="auto"/>
        <w:right w:val="none" w:sz="0" w:space="0" w:color="auto"/>
      </w:divBdr>
    </w:div>
    <w:div w:id="1183087134">
      <w:bodyDiv w:val="1"/>
      <w:marLeft w:val="0"/>
      <w:marRight w:val="0"/>
      <w:marTop w:val="0"/>
      <w:marBottom w:val="0"/>
      <w:divBdr>
        <w:top w:val="none" w:sz="0" w:space="0" w:color="auto"/>
        <w:left w:val="none" w:sz="0" w:space="0" w:color="auto"/>
        <w:bottom w:val="none" w:sz="0" w:space="0" w:color="auto"/>
        <w:right w:val="none" w:sz="0" w:space="0" w:color="auto"/>
      </w:divBdr>
    </w:div>
    <w:div w:id="1301618222">
      <w:bodyDiv w:val="1"/>
      <w:marLeft w:val="0"/>
      <w:marRight w:val="0"/>
      <w:marTop w:val="0"/>
      <w:marBottom w:val="0"/>
      <w:divBdr>
        <w:top w:val="none" w:sz="0" w:space="0" w:color="auto"/>
        <w:left w:val="none" w:sz="0" w:space="0" w:color="auto"/>
        <w:bottom w:val="none" w:sz="0" w:space="0" w:color="auto"/>
        <w:right w:val="none" w:sz="0" w:space="0" w:color="auto"/>
      </w:divBdr>
    </w:div>
    <w:div w:id="1318533771">
      <w:bodyDiv w:val="1"/>
      <w:marLeft w:val="0"/>
      <w:marRight w:val="0"/>
      <w:marTop w:val="0"/>
      <w:marBottom w:val="0"/>
      <w:divBdr>
        <w:top w:val="none" w:sz="0" w:space="0" w:color="auto"/>
        <w:left w:val="none" w:sz="0" w:space="0" w:color="auto"/>
        <w:bottom w:val="none" w:sz="0" w:space="0" w:color="auto"/>
        <w:right w:val="none" w:sz="0" w:space="0" w:color="auto"/>
      </w:divBdr>
    </w:div>
    <w:div w:id="1930307766">
      <w:bodyDiv w:val="1"/>
      <w:marLeft w:val="0"/>
      <w:marRight w:val="0"/>
      <w:marTop w:val="0"/>
      <w:marBottom w:val="0"/>
      <w:divBdr>
        <w:top w:val="none" w:sz="0" w:space="0" w:color="auto"/>
        <w:left w:val="none" w:sz="0" w:space="0" w:color="auto"/>
        <w:bottom w:val="none" w:sz="0" w:space="0" w:color="auto"/>
        <w:right w:val="none" w:sz="0" w:space="0" w:color="auto"/>
      </w:divBdr>
    </w:div>
    <w:div w:id="19936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ezg\Downloads\Proximas_convocatorias_PRTR_S1_202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2D22-C225-4B2C-A83F-1B0565FA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Proximas_convocatorias_PRTR_S1_2022(1)</Template>
  <TotalTime>0</TotalTime>
  <Pages>8</Pages>
  <Words>1728</Words>
  <Characters>9509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Díez Grenabuena</dc:creator>
  <cp:keywords/>
  <dc:description/>
  <cp:lastModifiedBy>Margarita Díez Grenabuena</cp:lastModifiedBy>
  <cp:revision>2</cp:revision>
  <cp:lastPrinted>2022-07-14T10:27:00Z</cp:lastPrinted>
  <dcterms:created xsi:type="dcterms:W3CDTF">2024-04-17T11:44:00Z</dcterms:created>
  <dcterms:modified xsi:type="dcterms:W3CDTF">2024-04-17T11:44:00Z</dcterms:modified>
</cp:coreProperties>
</file>